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732C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安棚镇</w:t>
      </w: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202</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5</w:t>
      </w: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—202</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6</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年受灾群众冬春生活救助</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实施</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方案</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征求意见稿</w:t>
      </w:r>
    </w:p>
    <w:p w14:paraId="6618531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p>
    <w:p w14:paraId="7956C41D">
      <w:pPr>
        <w:pStyle w:val="2"/>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default" w:ascii="黑体" w:hAnsi="黑体" w:eastAsia="黑体" w:cs="黑体"/>
          <w:color w:val="000000" w:themeColor="text1"/>
          <w:sz w:val="32"/>
          <w:szCs w:val="32"/>
          <w14:textFill>
            <w14:solidFill>
              <w14:schemeClr w14:val="tx1"/>
            </w14:solidFill>
          </w14:textFill>
        </w:rPr>
        <w:t>、基本情况</w:t>
      </w:r>
      <w:bookmarkStart w:id="0" w:name="_GoBack"/>
      <w:bookmarkEnd w:id="0"/>
    </w:p>
    <w:p w14:paraId="1D1C1C80">
      <w:pPr>
        <w:keepNext w:val="0"/>
        <w:keepLines w:val="0"/>
        <w:pageBreakBefore w:val="0"/>
        <w:widowControl w:val="0"/>
        <w:kinsoku/>
        <w:wordWrap/>
        <w:overflowPunct/>
        <w:topLinePunct w:val="0"/>
        <w:autoSpaceDE/>
        <w:bidi w:val="0"/>
        <w:adjustRightInd/>
        <w:snapToGrid/>
        <w:spacing w:line="60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2025年以来，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安棚镇</w:t>
      </w:r>
      <w:r>
        <w:rPr>
          <w:rFonts w:hint="eastAsia" w:ascii="仿宋_GB2312" w:hAnsi="仿宋_GB2312" w:eastAsia="仿宋_GB2312" w:cs="仿宋_GB2312"/>
          <w:color w:val="000000" w:themeColor="text1"/>
          <w:sz w:val="32"/>
          <w:szCs w:val="32"/>
          <w14:textFill>
            <w14:solidFill>
              <w14:schemeClr w14:val="tx1"/>
            </w14:solidFill>
          </w14:textFill>
        </w:rPr>
        <w:t>自然灾害呈现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旱涝交替、多灾并发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特征，以旱灾、洪涝灾害为主，风雹、雪灾等灾害叠加发生，</w:t>
      </w:r>
      <w:r>
        <w:rPr>
          <w:rFonts w:hint="eastAsia" w:ascii="仿宋_GB2312" w:hAnsi="仿宋_GB2312" w:eastAsia="仿宋_GB2312" w:cs="仿宋_GB2312"/>
          <w:sz w:val="32"/>
          <w:szCs w:val="32"/>
        </w:rPr>
        <w:t>特别是今年</w:t>
      </w:r>
      <w:r>
        <w:rPr>
          <w:rFonts w:hint="eastAsia" w:ascii="仿宋_GB2312" w:hAnsi="仿宋_GB2312" w:eastAsia="仿宋_GB2312" w:cs="仿宋_GB2312"/>
          <w:sz w:val="32"/>
          <w:szCs w:val="32"/>
          <w:lang w:val="en-US" w:eastAsia="zh-CN"/>
        </w:rPr>
        <w:t>9月份以来，我县</w:t>
      </w:r>
      <w:r>
        <w:rPr>
          <w:rFonts w:hint="eastAsia" w:ascii="仿宋_GB2312" w:hAnsi="仿宋_GB2312" w:eastAsia="仿宋_GB2312" w:cs="仿宋_GB2312"/>
          <w:color w:val="auto"/>
          <w:sz w:val="32"/>
          <w:szCs w:val="32"/>
          <w:lang w:val="en-US" w:eastAsia="zh-CN"/>
        </w:rPr>
        <w:t>大部出现大到暴雨和连阴雨天气，</w:t>
      </w:r>
      <w:r>
        <w:rPr>
          <w:rFonts w:hint="eastAsia" w:ascii="仿宋_GB2312" w:hAnsi="仿宋_GB2312" w:eastAsia="仿宋_GB2312" w:cs="仿宋_GB2312"/>
          <w:b w:val="0"/>
          <w:bCs w:val="0"/>
          <w:color w:val="auto"/>
          <w:sz w:val="32"/>
          <w:szCs w:val="32"/>
          <w:lang w:val="en-US" w:eastAsia="zh-CN"/>
        </w:rPr>
        <w:t>给安棚镇受灾群众生产生活造成较大影响和损失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2025年安棚镇共计20218</w:t>
      </w:r>
      <w:r>
        <w:rPr>
          <w:rFonts w:hint="eastAsia" w:ascii="仿宋_GB2312" w:hAnsi="仿宋_GB2312" w:eastAsia="仿宋_GB2312" w:cs="仿宋_GB2312"/>
          <w:bCs/>
          <w:color w:val="000000" w:themeColor="text1"/>
          <w:sz w:val="32"/>
          <w:szCs w:val="32"/>
          <w14:textFill>
            <w14:solidFill>
              <w14:schemeClr w14:val="tx1"/>
            </w14:solidFill>
          </w14:textFill>
        </w:rPr>
        <w:t>人受灾</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农作物受灾面积</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943.26</w:t>
      </w:r>
      <w:r>
        <w:rPr>
          <w:rFonts w:hint="eastAsia" w:ascii="仿宋_GB2312" w:hAnsi="仿宋_GB2312" w:eastAsia="仿宋_GB2312" w:cs="仿宋_GB2312"/>
          <w:bCs/>
          <w:color w:val="000000" w:themeColor="text1"/>
          <w:sz w:val="32"/>
          <w:szCs w:val="32"/>
          <w14:textFill>
            <w14:solidFill>
              <w14:schemeClr w14:val="tx1"/>
            </w14:solidFill>
          </w14:textFill>
        </w:rPr>
        <w:t>公顷</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成灾面积</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489.15</w:t>
      </w:r>
      <w:r>
        <w:rPr>
          <w:rFonts w:hint="eastAsia" w:ascii="仿宋_GB2312" w:hAnsi="仿宋_GB2312" w:eastAsia="仿宋_GB2312" w:cs="仿宋_GB2312"/>
          <w:bCs/>
          <w:color w:val="000000" w:themeColor="text1"/>
          <w:sz w:val="32"/>
          <w:szCs w:val="32"/>
          <w14:textFill>
            <w14:solidFill>
              <w14:schemeClr w14:val="tx1"/>
            </w14:solidFill>
          </w14:textFill>
        </w:rPr>
        <w:t>公顷</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；其中</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农林牧渔业损失</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659.85万</w:t>
      </w:r>
      <w:r>
        <w:rPr>
          <w:rFonts w:hint="eastAsia" w:ascii="仿宋_GB2312" w:hAnsi="仿宋_GB2312" w:eastAsia="仿宋_GB2312" w:cs="仿宋_GB2312"/>
          <w:bCs/>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14:textFill>
            <w14:solidFill>
              <w14:schemeClr w14:val="tx1"/>
            </w14:solidFill>
          </w14:textFill>
        </w:rPr>
        <w:t>严重自然灾害形势造成部分受灾群众今冬明春生活困难，冬春救助工作任务较重。</w:t>
      </w:r>
    </w:p>
    <w:p w14:paraId="7E97ACBD">
      <w:pPr>
        <w:pStyle w:val="2"/>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default" w:ascii="黑体" w:hAnsi="黑体" w:eastAsia="黑体" w:cs="黑体"/>
          <w:color w:val="000000" w:themeColor="text1"/>
          <w:sz w:val="32"/>
          <w:szCs w:val="32"/>
          <w14:textFill>
            <w14:solidFill>
              <w14:schemeClr w14:val="tx1"/>
            </w14:solidFill>
          </w14:textFill>
        </w:rPr>
        <w:t>、重点救助对象</w:t>
      </w:r>
    </w:p>
    <w:p w14:paraId="0C87D725">
      <w:pPr>
        <w:pStyle w:val="2"/>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color w:val="000000" w:themeColor="text1"/>
          <w:sz w:val="32"/>
          <w:szCs w:val="32"/>
          <w14:textFill>
            <w14:solidFill>
              <w14:schemeClr w14:val="tx1"/>
            </w14:solidFill>
          </w14:textFill>
        </w:rPr>
      </w:pPr>
      <w:r>
        <w:rPr>
          <w:rFonts w:hint="default" w:ascii="楷体_GB2312" w:hAnsi="楷体_GB2312" w:eastAsia="楷体_GB2312" w:cs="楷体_GB2312"/>
          <w:b/>
          <w:bCs/>
          <w:color w:val="000000" w:themeColor="text1"/>
          <w:sz w:val="32"/>
          <w:szCs w:val="32"/>
          <w14:textFill>
            <w14:solidFill>
              <w14:schemeClr w14:val="tx1"/>
            </w14:solidFill>
          </w14:textFill>
        </w:rPr>
        <w:t>救助对象范围</w:t>
      </w:r>
    </w:p>
    <w:p w14:paraId="22C6E3E2">
      <w:pPr>
        <w:keepNext w:val="0"/>
        <w:keepLines w:val="0"/>
        <w:pageBreakBefore w:val="0"/>
        <w:widowControl w:val="0"/>
        <w:kinsoku/>
        <w:wordWrap/>
        <w:overflowPunct/>
        <w:topLinePunct w:val="0"/>
        <w:autoSpaceDE/>
        <w:bidi w:val="0"/>
        <w:adjustRightInd/>
        <w:snapToGrid/>
        <w:spacing w:line="600" w:lineRule="exact"/>
        <w:ind w:firstLine="640"/>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sz w:val="32"/>
          <w:szCs w:val="32"/>
          <w14:textFill>
            <w14:solidFill>
              <w14:schemeClr w14:val="tx1"/>
            </w14:solidFill>
          </w14:textFill>
        </w:rPr>
        <w:t>救助对象范围为2025年遭受自然灾害导致冬春临时生活困难的受灾人员。重点关注因灾房屋倒损户、农作物绝收户、家庭财产严重损失户；低保对象、分散供养特困人员、低保边缘家庭、支出型困难家庭、防止返贫监测对象；散居孤儿、留守老人、留守儿童、残疾人等特殊困难群体；因灾收入大幅减少、基本生活难以维持的其他受灾群众。对因灾遭遇临时生活困难的各类受灾群众应全部纳入救助范围，不得随意增设非必要性限制条件，确保应救尽救、不遗漏一户一人。</w:t>
      </w:r>
    </w:p>
    <w:p w14:paraId="7613310C">
      <w:pPr>
        <w:pStyle w:val="2"/>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default" w:ascii="黑体" w:hAnsi="黑体" w:eastAsia="黑体" w:cs="黑体"/>
          <w:color w:val="000000" w:themeColor="text1"/>
          <w:sz w:val="32"/>
          <w:szCs w:val="32"/>
          <w14:textFill>
            <w14:solidFill>
              <w14:schemeClr w14:val="tx1"/>
            </w14:solidFill>
          </w14:textFill>
        </w:rPr>
        <w:t>、救助原则</w:t>
      </w:r>
    </w:p>
    <w:p w14:paraId="01125A21">
      <w:pPr>
        <w:pStyle w:val="2"/>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color w:val="000000" w:themeColor="text1"/>
          <w:sz w:val="32"/>
          <w:szCs w:val="32"/>
          <w14:textFill>
            <w14:solidFill>
              <w14:schemeClr w14:val="tx1"/>
            </w14:solidFill>
          </w14:textFill>
        </w:rPr>
      </w:pPr>
      <w:r>
        <w:rPr>
          <w:rFonts w:hint="default" w:ascii="楷体_GB2312" w:hAnsi="楷体_GB2312" w:eastAsia="楷体_GB2312" w:cs="楷体_GB2312"/>
          <w:b/>
          <w:bCs/>
          <w:color w:val="000000" w:themeColor="text1"/>
          <w:sz w:val="32"/>
          <w:szCs w:val="32"/>
          <w14:textFill>
            <w14:solidFill>
              <w14:schemeClr w14:val="tx1"/>
            </w14:solidFill>
          </w14:textFill>
        </w:rPr>
        <w:t>（一）兜底保障，民生优先</w:t>
      </w:r>
    </w:p>
    <w:p w14:paraId="0A0E1C51">
      <w:pPr>
        <w:keepNext w:val="0"/>
        <w:keepLines w:val="0"/>
        <w:pageBreakBefore w:val="0"/>
        <w:widowControl w:val="0"/>
        <w:kinsoku/>
        <w:wordWrap/>
        <w:overflowPunct/>
        <w:topLinePunct w:val="0"/>
        <w:autoSpaceDE/>
        <w:bidi w:val="0"/>
        <w:adjustRightInd/>
        <w:snapToGrid/>
        <w:spacing w:line="600" w:lineRule="exact"/>
        <w:ind w:firstLine="640"/>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sz w:val="32"/>
          <w:szCs w:val="32"/>
          <w14:textFill>
            <w14:solidFill>
              <w14:schemeClr w14:val="tx1"/>
            </w14:solidFill>
          </w14:textFill>
        </w:rPr>
        <w:t>聚焦受灾群众冬春基本生活需求，优先保障特殊困难群体和重灾户，确保救助资源向最困难、最需要的群众倾斜。</w:t>
      </w:r>
    </w:p>
    <w:p w14:paraId="2556B01F">
      <w:pPr>
        <w:pStyle w:val="2"/>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color w:val="000000" w:themeColor="text1"/>
          <w:sz w:val="32"/>
          <w:szCs w:val="32"/>
          <w14:textFill>
            <w14:solidFill>
              <w14:schemeClr w14:val="tx1"/>
            </w14:solidFill>
          </w14:textFill>
        </w:rPr>
      </w:pPr>
      <w:r>
        <w:rPr>
          <w:rFonts w:hint="default" w:ascii="楷体_GB2312" w:hAnsi="楷体_GB2312" w:eastAsia="楷体_GB2312" w:cs="楷体_GB2312"/>
          <w:b/>
          <w:bCs/>
          <w:color w:val="000000" w:themeColor="text1"/>
          <w:sz w:val="32"/>
          <w:szCs w:val="32"/>
          <w14:textFill>
            <w14:solidFill>
              <w14:schemeClr w14:val="tx1"/>
            </w14:solidFill>
          </w14:textFill>
        </w:rPr>
        <w:t>（二）精准施策，分类施救</w:t>
      </w:r>
    </w:p>
    <w:p w14:paraId="4DCDC5E5">
      <w:pPr>
        <w:keepNext w:val="0"/>
        <w:keepLines w:val="0"/>
        <w:pageBreakBefore w:val="0"/>
        <w:widowControl w:val="0"/>
        <w:kinsoku/>
        <w:wordWrap/>
        <w:overflowPunct/>
        <w:topLinePunct w:val="0"/>
        <w:autoSpaceDE/>
        <w:bidi w:val="0"/>
        <w:adjustRightInd/>
        <w:snapToGrid/>
        <w:spacing w:line="600" w:lineRule="exact"/>
        <w:ind w:firstLine="640"/>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sz w:val="32"/>
          <w:szCs w:val="32"/>
          <w14:textFill>
            <w14:solidFill>
              <w14:schemeClr w14:val="tx1"/>
            </w14:solidFill>
          </w14:textFill>
        </w:rPr>
        <w:t>综合考量受灾程度、家庭经济状况、自救能力等因素，分档制定救助标准，对特殊困难群体给予重点倾斜，杜绝平均分配、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一刀切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等现象。</w:t>
      </w:r>
    </w:p>
    <w:p w14:paraId="29E584CE">
      <w:pPr>
        <w:pStyle w:val="2"/>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color w:val="000000" w:themeColor="text1"/>
          <w:sz w:val="32"/>
          <w:szCs w:val="32"/>
          <w14:textFill>
            <w14:solidFill>
              <w14:schemeClr w14:val="tx1"/>
            </w14:solidFill>
          </w14:textFill>
        </w:rPr>
      </w:pPr>
      <w:r>
        <w:rPr>
          <w:rFonts w:hint="default" w:ascii="楷体_GB2312" w:hAnsi="楷体_GB2312" w:eastAsia="楷体_GB2312" w:cs="楷体_GB2312"/>
          <w:b/>
          <w:bCs/>
          <w:color w:val="000000" w:themeColor="text1"/>
          <w:sz w:val="32"/>
          <w:szCs w:val="32"/>
          <w14:textFill>
            <w14:solidFill>
              <w14:schemeClr w14:val="tx1"/>
            </w14:solidFill>
          </w14:textFill>
        </w:rPr>
        <w:t>（三）规范有序，公开公正</w:t>
      </w:r>
    </w:p>
    <w:p w14:paraId="0F3204EC">
      <w:pPr>
        <w:keepNext w:val="0"/>
        <w:keepLines w:val="0"/>
        <w:pageBreakBefore w:val="0"/>
        <w:widowControl w:val="0"/>
        <w:kinsoku/>
        <w:wordWrap/>
        <w:overflowPunct/>
        <w:topLinePunct w:val="0"/>
        <w:autoSpaceDE/>
        <w:bidi w:val="0"/>
        <w:adjustRightInd/>
        <w:snapToGrid/>
        <w:spacing w:line="600" w:lineRule="exact"/>
        <w:ind w:firstLine="640"/>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sz w:val="32"/>
          <w:szCs w:val="32"/>
          <w14:textFill>
            <w14:solidFill>
              <w14:schemeClr w14:val="tx1"/>
            </w14:solidFill>
          </w14:textFill>
        </w:rPr>
        <w:t>严格执行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户报、村评、乡审、县定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工作程序和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两次公示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要求，全程依托国家自然灾害救助资金管理系统开展工作，确保救助过程阳光透明、结果公平公正。</w:t>
      </w:r>
    </w:p>
    <w:p w14:paraId="0FE7244F">
      <w:pPr>
        <w:pStyle w:val="2"/>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color w:val="000000" w:themeColor="text1"/>
          <w:sz w:val="32"/>
          <w:szCs w:val="32"/>
          <w14:textFill>
            <w14:solidFill>
              <w14:schemeClr w14:val="tx1"/>
            </w14:solidFill>
          </w14:textFill>
        </w:rPr>
      </w:pPr>
      <w:r>
        <w:rPr>
          <w:rFonts w:hint="default" w:ascii="楷体_GB2312" w:hAnsi="楷体_GB2312" w:eastAsia="楷体_GB2312" w:cs="楷体_GB2312"/>
          <w:b/>
          <w:bCs/>
          <w:color w:val="000000" w:themeColor="text1"/>
          <w:sz w:val="32"/>
          <w:szCs w:val="32"/>
          <w14:textFill>
            <w14:solidFill>
              <w14:schemeClr w14:val="tx1"/>
            </w14:solidFill>
          </w14:textFill>
        </w:rPr>
        <w:t>（四）专款专用，高效便民</w:t>
      </w:r>
    </w:p>
    <w:p w14:paraId="173B6742">
      <w:pPr>
        <w:keepNext w:val="0"/>
        <w:keepLines w:val="0"/>
        <w:pageBreakBefore w:val="0"/>
        <w:widowControl w:val="0"/>
        <w:kinsoku/>
        <w:wordWrap/>
        <w:overflowPunct/>
        <w:topLinePunct w:val="0"/>
        <w:autoSpaceDE/>
        <w:bidi w:val="0"/>
        <w:adjustRightInd/>
        <w:snapToGrid/>
        <w:spacing w:line="600" w:lineRule="exact"/>
        <w:ind w:firstLine="640"/>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sz w:val="32"/>
          <w:szCs w:val="32"/>
          <w14:textFill>
            <w14:solidFill>
              <w14:schemeClr w14:val="tx1"/>
            </w14:solidFill>
          </w14:textFill>
        </w:rPr>
        <w:t>严格规范救助资金和物资管理，加快资金拨付进度，优化发放流程，确保救助款物及时足额送达受灾群众手中。</w:t>
      </w:r>
    </w:p>
    <w:p w14:paraId="186A98B8">
      <w:pPr>
        <w:pStyle w:val="2"/>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default" w:ascii="黑体" w:hAnsi="黑体" w:eastAsia="黑体" w:cs="黑体"/>
          <w:color w:val="000000" w:themeColor="text1"/>
          <w:sz w:val="32"/>
          <w:szCs w:val="32"/>
          <w14:textFill>
            <w14:solidFill>
              <w14:schemeClr w14:val="tx1"/>
            </w14:solidFill>
          </w14:textFill>
        </w:rPr>
        <w:t>、工作安排</w:t>
      </w:r>
    </w:p>
    <w:p w14:paraId="4A8189D1">
      <w:pPr>
        <w:pStyle w:val="2"/>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color w:val="000000" w:themeColor="text1"/>
          <w:sz w:val="32"/>
          <w:szCs w:val="32"/>
          <w14:textFill>
            <w14:solidFill>
              <w14:schemeClr w14:val="tx1"/>
            </w14:solidFill>
          </w14:textFill>
        </w:rPr>
      </w:pPr>
      <w:r>
        <w:rPr>
          <w:rFonts w:hint="default" w:ascii="楷体_GB2312" w:hAnsi="楷体_GB2312" w:eastAsia="楷体_GB2312" w:cs="楷体_GB2312"/>
          <w:b/>
          <w:bCs/>
          <w:color w:val="000000" w:themeColor="text1"/>
          <w:sz w:val="32"/>
          <w:szCs w:val="32"/>
          <w14:textFill>
            <w14:solidFill>
              <w14:schemeClr w14:val="tx1"/>
            </w14:solidFill>
          </w14:textFill>
        </w:rPr>
        <w:t>（一）严格需生活救助调查核定程序</w:t>
      </w:r>
    </w:p>
    <w:p w14:paraId="3EA6C6E6">
      <w:pPr>
        <w:keepNext w:val="0"/>
        <w:keepLines w:val="0"/>
        <w:pageBreakBefore w:val="0"/>
        <w:widowControl w:val="0"/>
        <w:kinsoku/>
        <w:wordWrap/>
        <w:overflowPunct/>
        <w:topLinePunct w:val="0"/>
        <w:autoSpaceDE/>
        <w:bidi w:val="0"/>
        <w:adjustRightInd/>
        <w:snapToGrid/>
        <w:spacing w:line="600" w:lineRule="exact"/>
        <w:ind w:firstLine="640"/>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各村</w:t>
      </w:r>
      <w:r>
        <w:rPr>
          <w:rFonts w:hint="default" w:ascii="仿宋_GB2312" w:hAnsi="仿宋_GB2312" w:eastAsia="仿宋_GB2312" w:cs="仿宋_GB2312"/>
          <w:color w:val="000000" w:themeColor="text1"/>
          <w:sz w:val="32"/>
          <w:szCs w:val="32"/>
          <w14:textFill>
            <w14:solidFill>
              <w14:schemeClr w14:val="tx1"/>
            </w14:solidFill>
          </w14:textFill>
        </w:rPr>
        <w:t>按照《受灾人口冬春生活救助工作规范》要求，结合本年度受灾实际情况精准核定受灾困难人员，迅速开展冬春需生活救助对象的调查、评估和核定工作，要组织力量深入村、组基层和户，做好冬春生活救助人员的调查、统计、核定、监督、指导，做到底数清、情况明、对象准，确保应救尽救。需生活救助对象的核定工作要严格通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户报、村评、乡审、县定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四个步骤：一是本人申请或者村（居）民小组提名；二是村（居）民委员会民主评议公示；三是乡（镇）人民政府（街道办事处）审核；四是县级应急管理部门审批，确保公开、公平、公正。对于老年人、残疾人、丧失劳动能力的重病患者等特殊受灾困难群众，应主动将其列为救助对象开展救助工作。要抓紧组织开展冬春生活救助业务和系统操作相关培训，确保各级救灾人员懂系统、会操作，按照时间节点完成冬春生活救助各项工作任务。</w:t>
      </w:r>
    </w:p>
    <w:p w14:paraId="526CFBC9">
      <w:pPr>
        <w:pStyle w:val="2"/>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color w:val="000000" w:themeColor="text1"/>
          <w:sz w:val="32"/>
          <w:szCs w:val="32"/>
          <w14:textFill>
            <w14:solidFill>
              <w14:schemeClr w14:val="tx1"/>
            </w14:solidFill>
          </w14:textFill>
        </w:rPr>
      </w:pPr>
      <w:r>
        <w:rPr>
          <w:rFonts w:hint="default" w:ascii="楷体_GB2312" w:hAnsi="楷体_GB2312" w:eastAsia="楷体_GB2312" w:cs="楷体_GB2312"/>
          <w:b/>
          <w:bCs/>
          <w:color w:val="000000" w:themeColor="text1"/>
          <w:sz w:val="32"/>
          <w:szCs w:val="32"/>
          <w14:textFill>
            <w14:solidFill>
              <w14:schemeClr w14:val="tx1"/>
            </w14:solidFill>
          </w14:textFill>
        </w:rPr>
        <w:t>（二）制定实施方案，实施精准救助</w:t>
      </w:r>
    </w:p>
    <w:p w14:paraId="2A489D55">
      <w:pPr>
        <w:pStyle w:val="2"/>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严格救助标准，制定实施方案。</w:t>
      </w:r>
      <w:r>
        <w:rPr>
          <w:rFonts w:hint="eastAsia" w:ascii="仿宋_GB2312" w:hAnsi="仿宋_GB2312" w:eastAsia="仿宋_GB2312" w:cs="仿宋_GB2312"/>
          <w:color w:val="000000" w:themeColor="text1"/>
          <w:sz w:val="32"/>
          <w:szCs w:val="32"/>
          <w14:textFill>
            <w14:solidFill>
              <w14:schemeClr w14:val="tx1"/>
            </w14:solidFill>
          </w14:textFill>
        </w:rPr>
        <w:t>按照</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分类救助、重点救助、精准救助</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原则和省制定的</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每人不低于100元不高于300元且每户不高于2000元</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的指导标准，结合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安棚镇</w:t>
      </w:r>
      <w:r>
        <w:rPr>
          <w:rFonts w:hint="eastAsia" w:ascii="仿宋_GB2312" w:hAnsi="仿宋_GB2312" w:eastAsia="仿宋_GB2312" w:cs="仿宋_GB2312"/>
          <w:color w:val="000000" w:themeColor="text1"/>
          <w:sz w:val="32"/>
          <w:szCs w:val="32"/>
          <w14:textFill>
            <w14:solidFill>
              <w14:schemeClr w14:val="tx1"/>
            </w14:solidFill>
          </w14:textFill>
        </w:rPr>
        <w:t>需生活救助人员总数、受灾人员困难程度、冬春生活救助款物总量等因素，根据具体情况划分救助档次不得少于三档</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坚决杜绝按照受灾人口、受灾面积、受灾家庭平均分配，最大限度地发挥救灾款物的使用、经济和社会效益。要做好因灾遭受临时生活困难的各类受灾群众救助，切实做好冬春生活救助和低保、临时救助、困难帮扶等机制的有序衔接。</w:t>
      </w:r>
    </w:p>
    <w:p w14:paraId="15778B8D">
      <w:pPr>
        <w:pStyle w:val="2"/>
        <w:keepNext w:val="0"/>
        <w:keepLines w:val="0"/>
        <w:pageBreakBefore w:val="0"/>
        <w:widowControl w:val="0"/>
        <w:kinsoku/>
        <w:wordWrap/>
        <w:overflowPunct w:val="0"/>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强化款物保障，精准发放到位。</w:t>
      </w:r>
      <w:r>
        <w:rPr>
          <w:rFonts w:hint="eastAsia" w:ascii="仿宋_GB2312" w:hAnsi="仿宋_GB2312" w:eastAsia="仿宋_GB2312" w:cs="仿宋_GB2312"/>
          <w:color w:val="000000" w:themeColor="text1"/>
          <w:sz w:val="32"/>
          <w:szCs w:val="32"/>
          <w14:textFill>
            <w14:solidFill>
              <w14:schemeClr w14:val="tx1"/>
            </w14:solidFill>
          </w14:textFill>
        </w:rPr>
        <w:t>上级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救</w:t>
      </w:r>
      <w:r>
        <w:rPr>
          <w:rFonts w:hint="eastAsia" w:ascii="仿宋_GB2312" w:hAnsi="仿宋_GB2312" w:eastAsia="仿宋_GB2312" w:cs="仿宋_GB2312"/>
          <w:color w:val="000000" w:themeColor="text1"/>
          <w:sz w:val="32"/>
          <w:szCs w:val="32"/>
          <w14:textFill>
            <w14:solidFill>
              <w14:schemeClr w14:val="tx1"/>
            </w14:solidFill>
          </w14:textFill>
        </w:rPr>
        <w:t>助资金下达后，在已确定的救助对象范围内，按照民主评议、登记造册、张榜公布、公开发放的工作规程，对已确定的救助对象针对性进行分档救助、精准救助，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同时要做好对需救助群众的动态识别管理，对前期上报的需救助群众中已死亡的人员，在二次民主评议时要做好数据更新，对已死亡的需救助人员要及时删除。</w:t>
      </w:r>
      <w:r>
        <w:rPr>
          <w:rFonts w:hint="eastAsia" w:ascii="仿宋_GB2312" w:hAnsi="仿宋_GB2312" w:eastAsia="仿宋_GB2312" w:cs="仿宋_GB2312"/>
          <w:color w:val="000000" w:themeColor="text1"/>
          <w:sz w:val="32"/>
          <w:szCs w:val="32"/>
          <w14:textFill>
            <w14:solidFill>
              <w14:schemeClr w14:val="tx1"/>
            </w14:solidFill>
          </w14:textFill>
        </w:rPr>
        <w:t>资金发放要求全部通过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河南财政惠民</w:t>
      </w:r>
      <w:r>
        <w:rPr>
          <w:rFonts w:hint="eastAsia" w:ascii="仿宋_GB2312" w:hAnsi="仿宋_GB2312" w:eastAsia="仿宋_GB2312" w:cs="仿宋_GB2312"/>
          <w:color w:val="000000" w:themeColor="text1"/>
          <w:sz w:val="32"/>
          <w:szCs w:val="32"/>
          <w14:textFill>
            <w14:solidFill>
              <w14:schemeClr w14:val="tx1"/>
            </w14:solidFill>
          </w14:textFill>
        </w:rPr>
        <w:t>一卡通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系统</w:t>
      </w:r>
      <w:r>
        <w:rPr>
          <w:rFonts w:hint="eastAsia" w:ascii="仿宋_GB2312" w:hAnsi="仿宋_GB2312" w:eastAsia="仿宋_GB2312" w:cs="仿宋_GB2312"/>
          <w:color w:val="000000" w:themeColor="text1"/>
          <w:sz w:val="32"/>
          <w:szCs w:val="32"/>
          <w14:textFill>
            <w14:solidFill>
              <w14:schemeClr w14:val="tx1"/>
            </w14:solidFill>
          </w14:textFill>
        </w:rPr>
        <w:t>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注明</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冬春救助</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字样，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协调相关部门</w:t>
      </w:r>
      <w:r>
        <w:rPr>
          <w:rFonts w:hint="eastAsia" w:ascii="仿宋_GB2312" w:hAnsi="仿宋_GB2312" w:eastAsia="仿宋_GB2312" w:cs="仿宋_GB2312"/>
          <w:color w:val="000000" w:themeColor="text1"/>
          <w:sz w:val="32"/>
          <w:szCs w:val="32"/>
          <w14:textFill>
            <w14:solidFill>
              <w14:schemeClr w14:val="tx1"/>
            </w14:solidFill>
          </w14:textFill>
        </w:rPr>
        <w:t>发送打款提示信息，确保春节前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将救助资金</w:t>
      </w:r>
      <w:r>
        <w:rPr>
          <w:rFonts w:hint="eastAsia" w:ascii="仿宋_GB2312" w:hAnsi="仿宋_GB2312" w:eastAsia="仿宋_GB2312" w:cs="仿宋_GB2312"/>
          <w:color w:val="000000" w:themeColor="text1"/>
          <w:sz w:val="32"/>
          <w:szCs w:val="32"/>
          <w14:textFill>
            <w14:solidFill>
              <w14:schemeClr w14:val="tx1"/>
            </w14:solidFill>
          </w14:textFill>
        </w:rPr>
        <w:t>发放至受灾困难群众。</w:t>
      </w:r>
    </w:p>
    <w:p w14:paraId="12480143">
      <w:pPr>
        <w:pStyle w:val="2"/>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做好工作档案，完善救助台账。</w:t>
      </w:r>
      <w:r>
        <w:rPr>
          <w:rFonts w:hint="eastAsia" w:ascii="仿宋_GB2312" w:hAnsi="仿宋_GB2312" w:eastAsia="仿宋_GB2312" w:cs="仿宋_GB2312"/>
          <w:color w:val="000000" w:themeColor="text1"/>
          <w:sz w:val="32"/>
          <w:szCs w:val="32"/>
          <w14:textFill>
            <w14:solidFill>
              <w14:schemeClr w14:val="tx1"/>
            </w14:solidFill>
          </w14:textFill>
        </w:rPr>
        <w:t>要及时登记需（已）生活救助人员信息，完善救助款物的流向手续，规范已救助工作台账。及时核查受灾人员冬春生活救助情况，按要求在国家自然灾害灾情管理系统和国家自然灾害救助资金管理系统及时填报冬春生活需（已）救助情况与需（已）救助人员相关信息，对因死亡或其他特殊情况导致未能进行救助的需救助人员要以书面形式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应急、财政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部门</w:t>
      </w:r>
      <w:r>
        <w:rPr>
          <w:rFonts w:hint="eastAsia" w:ascii="仿宋_GB2312" w:hAnsi="仿宋_GB2312" w:eastAsia="仿宋_GB2312" w:cs="仿宋_GB2312"/>
          <w:color w:val="000000" w:themeColor="text1"/>
          <w:sz w:val="32"/>
          <w:szCs w:val="32"/>
          <w14:textFill>
            <w14:solidFill>
              <w14:schemeClr w14:val="tx1"/>
            </w14:solidFill>
          </w14:textFill>
        </w:rPr>
        <w:t>上报具体原因，确保冬春生活救助工作取得实效。</w:t>
      </w:r>
    </w:p>
    <w:p w14:paraId="45972C3A">
      <w:pPr>
        <w:pStyle w:val="2"/>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、工作要求</w:t>
      </w:r>
    </w:p>
    <w:p w14:paraId="42F16CFF">
      <w:pPr>
        <w:pStyle w:val="2"/>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color w:val="000000" w:themeColor="text1"/>
          <w:sz w:val="32"/>
          <w:szCs w:val="32"/>
          <w14:textFill>
            <w14:solidFill>
              <w14:schemeClr w14:val="tx1"/>
            </w14:solidFill>
          </w14:textFill>
        </w:rPr>
      </w:pPr>
      <w:r>
        <w:rPr>
          <w:rFonts w:hint="default" w:ascii="楷体_GB2312" w:hAnsi="楷体_GB2312" w:eastAsia="楷体_GB2312" w:cs="楷体_GB2312"/>
          <w:b/>
          <w:bCs/>
          <w:color w:val="000000" w:themeColor="text1"/>
          <w:sz w:val="32"/>
          <w:szCs w:val="32"/>
          <w14:textFill>
            <w14:solidFill>
              <w14:schemeClr w14:val="tx1"/>
            </w14:solidFill>
          </w14:textFill>
        </w:rPr>
        <w:t>（一）规范开展救助工作，严格救灾款物管理</w:t>
      </w:r>
    </w:p>
    <w:p w14:paraId="2C21C46F">
      <w:pPr>
        <w:pStyle w:val="2"/>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按照《中央自然灾害救灾资金管理暂行办法》《受灾人员冬春生活救助工作规范》等</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相关</w:t>
      </w:r>
      <w:r>
        <w:rPr>
          <w:rFonts w:hint="default" w:ascii="Times New Roman" w:hAnsi="Times New Roman" w:eastAsia="仿宋_GB2312" w:cs="Times New Roman"/>
          <w:color w:val="000000" w:themeColor="text1"/>
          <w:sz w:val="32"/>
          <w:szCs w:val="32"/>
          <w14:textFill>
            <w14:solidFill>
              <w14:schemeClr w14:val="tx1"/>
            </w14:solidFill>
          </w14:textFill>
        </w:rPr>
        <w:t>规定，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安棚镇</w:t>
      </w:r>
      <w:r>
        <w:rPr>
          <w:rFonts w:hint="default" w:ascii="Times New Roman" w:hAnsi="Times New Roman" w:eastAsia="仿宋_GB2312" w:cs="Times New Roman"/>
          <w:color w:val="000000" w:themeColor="text1"/>
          <w:sz w:val="32"/>
          <w:szCs w:val="32"/>
          <w14:textFill>
            <w14:solidFill>
              <w14:schemeClr w14:val="tx1"/>
            </w14:solidFill>
          </w14:textFill>
        </w:rPr>
        <w:t>综合运用现场检查、系统抽查、电话核验等方式，对上报的需生活救助人员信息进行评估、审核及把关。冬春生活救助资金下达后，要严格按照财政资金管理有关要求，加快资金下拨进度，确保在春节前全部发放到受灾群众手中，坚决杜绝资金截留、发放迟缓或沉淀不用。严肃冬春生活救助款物管理使用纪律，确保规范安全管理使用。</w:t>
      </w:r>
    </w:p>
    <w:p w14:paraId="57192CF6">
      <w:pPr>
        <w:pStyle w:val="2"/>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color w:val="000000" w:themeColor="text1"/>
          <w:sz w:val="32"/>
          <w:szCs w:val="32"/>
          <w14:textFill>
            <w14:solidFill>
              <w14:schemeClr w14:val="tx1"/>
            </w14:solidFill>
          </w14:textFill>
        </w:rPr>
      </w:pPr>
      <w:r>
        <w:rPr>
          <w:rFonts w:hint="default" w:ascii="楷体_GB2312" w:hAnsi="楷体_GB2312" w:eastAsia="楷体_GB2312" w:cs="楷体_GB2312"/>
          <w:b/>
          <w:bCs/>
          <w:color w:val="000000" w:themeColor="text1"/>
          <w:sz w:val="32"/>
          <w:szCs w:val="32"/>
          <w14:textFill>
            <w14:solidFill>
              <w14:schemeClr w14:val="tx1"/>
            </w14:solidFill>
          </w14:textFill>
        </w:rPr>
        <w:t>（二）确保工作进度，认真做好绩效评估</w:t>
      </w:r>
    </w:p>
    <w:p w14:paraId="17AA85BF">
      <w:pPr>
        <w:pStyle w:val="2"/>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安棚镇</w:t>
      </w:r>
      <w:r>
        <w:rPr>
          <w:rFonts w:hint="default" w:ascii="Times New Roman" w:hAnsi="Times New Roman" w:eastAsia="仿宋_GB2312" w:cs="Times New Roman"/>
          <w:color w:val="000000" w:themeColor="text1"/>
          <w:sz w:val="32"/>
          <w:szCs w:val="32"/>
          <w14:textFill>
            <w14:solidFill>
              <w14:schemeClr w14:val="tx1"/>
            </w14:solidFill>
          </w14:textFill>
        </w:rPr>
        <w:t>全力保障冬春救助工作顺利开展，合理安排冬春救助工作的整体进度。对本行政区域内的实际救助效果进行中期和终期绩效评估，并形成文字报告上报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z w:val="32"/>
          <w:szCs w:val="32"/>
          <w14:textFill>
            <w14:solidFill>
              <w14:schemeClr w14:val="tx1"/>
            </w14:solidFill>
          </w14:textFill>
        </w:rPr>
        <w:t>应急管理部门。</w:t>
      </w:r>
    </w:p>
    <w:p w14:paraId="4EA8A9EF">
      <w:pPr>
        <w:pStyle w:val="2"/>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color w:val="000000" w:themeColor="text1"/>
          <w:sz w:val="32"/>
          <w:szCs w:val="32"/>
          <w14:textFill>
            <w14:solidFill>
              <w14:schemeClr w14:val="tx1"/>
            </w14:solidFill>
          </w14:textFill>
        </w:rPr>
      </w:pPr>
      <w:r>
        <w:rPr>
          <w:rFonts w:hint="default" w:ascii="楷体_GB2312" w:hAnsi="楷体_GB2312" w:eastAsia="楷体_GB2312" w:cs="楷体_GB2312"/>
          <w:b/>
          <w:bCs/>
          <w:color w:val="000000" w:themeColor="text1"/>
          <w:sz w:val="32"/>
          <w:szCs w:val="32"/>
          <w14:textFill>
            <w14:solidFill>
              <w14:schemeClr w14:val="tx1"/>
            </w14:solidFill>
          </w14:textFill>
        </w:rPr>
        <w:t>（三）加大督查力度，确保工作取得实效</w:t>
      </w:r>
    </w:p>
    <w:p w14:paraId="1CF58114">
      <w:pPr>
        <w:pStyle w:val="2"/>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坚持专款专用、无偿使用、重点使用、分类救助的原则发放补助资金，确保资金发放手续齐备、专账管理、专人负责、账款相符。坚决防止随意分配和平均发放，特别要杜绝优亲厚友情况出现，确保公开、公平、公正救助</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主动配合财政、审计、纪检监察等有关部门，对冬春救助资金的分配、投向和管理使用情况实行全程监管。</w:t>
      </w:r>
    </w:p>
    <w:p w14:paraId="61191B0A">
      <w:pPr>
        <w:pStyle w:val="2"/>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3F6ED4A">
      <w:pPr>
        <w:pStyle w:val="2"/>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附表：1.受灾人员生活困难救助申请表</w:t>
      </w:r>
    </w:p>
    <w:p w14:paraId="540E0117">
      <w:pPr>
        <w:pStyle w:val="3"/>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2.桐柏县安棚镇2025—2026年冬春救助档次</w:t>
      </w:r>
    </w:p>
    <w:p w14:paraId="0FE80FE9">
      <w:pPr>
        <w:pStyle w:val="3"/>
        <w:rPr>
          <w:rFonts w:hint="eastAsia" w:eastAsia="仿宋_GB2312"/>
          <w:lang w:val="en-US" w:eastAsia="zh-CN"/>
        </w:rPr>
      </w:pPr>
    </w:p>
    <w:p w14:paraId="5B72C3D3">
      <w:pPr>
        <w:pStyle w:val="3"/>
        <w:rPr>
          <w:rFonts w:hint="eastAsia" w:eastAsia="仿宋_GB2312"/>
          <w:lang w:val="en-US" w:eastAsia="zh-CN"/>
        </w:rPr>
      </w:pPr>
    </w:p>
    <w:p w14:paraId="1945AF05">
      <w:pPr>
        <w:pStyle w:val="3"/>
        <w:rPr>
          <w:rFonts w:hint="eastAsia" w:eastAsia="仿宋_GB2312"/>
          <w:lang w:val="en-US" w:eastAsia="zh-CN"/>
        </w:rPr>
      </w:pPr>
    </w:p>
    <w:p w14:paraId="32209569">
      <w:pPr>
        <w:pStyle w:val="3"/>
        <w:rPr>
          <w:rFonts w:hint="eastAsia" w:eastAsia="仿宋_GB2312"/>
          <w:lang w:val="en-US" w:eastAsia="zh-CN"/>
        </w:rPr>
      </w:pPr>
    </w:p>
    <w:p w14:paraId="3B1193D3">
      <w:pPr>
        <w:spacing w:before="65" w:line="228" w:lineRule="auto"/>
        <w:rPr>
          <w:rFonts w:hint="eastAsia" w:ascii="黑体" w:hAnsi="黑体" w:eastAsia="黑体" w:cs="黑体"/>
          <w:sz w:val="31"/>
          <w:szCs w:val="31"/>
          <w:lang w:eastAsia="zh-CN"/>
        </w:rPr>
      </w:pPr>
      <w:r>
        <w:rPr>
          <w:rFonts w:ascii="黑体" w:hAnsi="黑体" w:eastAsia="黑体" w:cs="黑体"/>
          <w:spacing w:val="-4"/>
          <w:sz w:val="31"/>
          <w:szCs w:val="31"/>
        </w:rPr>
        <w:t>附表</w:t>
      </w:r>
      <w:r>
        <w:rPr>
          <w:rFonts w:ascii="黑体" w:hAnsi="黑体" w:eastAsia="黑体" w:cs="黑体"/>
          <w:spacing w:val="-45"/>
          <w:sz w:val="31"/>
          <w:szCs w:val="31"/>
        </w:rPr>
        <w:t xml:space="preserve"> </w:t>
      </w:r>
      <w:r>
        <w:rPr>
          <w:rFonts w:ascii="黑体" w:hAnsi="黑体" w:eastAsia="黑体" w:cs="黑体"/>
          <w:spacing w:val="-4"/>
          <w:sz w:val="31"/>
          <w:szCs w:val="31"/>
        </w:rPr>
        <w:t>1</w:t>
      </w:r>
      <w:r>
        <w:rPr>
          <w:rFonts w:hint="eastAsia" w:ascii="黑体" w:hAnsi="黑体" w:eastAsia="黑体" w:cs="黑体"/>
          <w:spacing w:val="-4"/>
          <w:sz w:val="31"/>
          <w:szCs w:val="31"/>
          <w:lang w:eastAsia="zh-CN"/>
        </w:rPr>
        <w:t>：</w:t>
      </w:r>
    </w:p>
    <w:p w14:paraId="445598A0">
      <w:pPr>
        <w:spacing w:before="141" w:line="446" w:lineRule="exact"/>
        <w:ind w:left="1831"/>
        <w:outlineLvl w:val="1"/>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
          <w:position w:val="-2"/>
          <w:sz w:val="44"/>
          <w:szCs w:val="44"/>
        </w:rPr>
        <w:t>受灾人员生活困难救助申请表</w:t>
      </w:r>
    </w:p>
    <w:p w14:paraId="3131B08C">
      <w:pPr>
        <w:spacing w:line="402" w:lineRule="auto"/>
        <w:rPr>
          <w:rFonts w:ascii="Arial"/>
          <w:sz w:val="21"/>
        </w:rPr>
      </w:pPr>
    </w:p>
    <w:p w14:paraId="1C381537">
      <w:pPr>
        <w:spacing w:before="59" w:line="219" w:lineRule="auto"/>
        <w:ind w:left="38"/>
        <w:rPr>
          <w:rFonts w:ascii="宋体" w:hAnsi="宋体" w:eastAsia="宋体" w:cs="宋体"/>
          <w:sz w:val="18"/>
          <w:szCs w:val="18"/>
        </w:rPr>
      </w:pPr>
      <w:r>
        <w:rPr>
          <w:rFonts w:ascii="宋体" w:hAnsi="宋体" w:eastAsia="宋体" w:cs="宋体"/>
          <w:spacing w:val="-1"/>
          <w:sz w:val="18"/>
          <w:szCs w:val="18"/>
        </w:rPr>
        <w:t>所在区域：</w:t>
      </w:r>
      <w:r>
        <w:rPr>
          <w:rFonts w:ascii="宋体" w:hAnsi="宋体" w:eastAsia="宋体" w:cs="宋体"/>
          <w:spacing w:val="-1"/>
          <w:sz w:val="18"/>
          <w:szCs w:val="18"/>
          <w:u w:val="single" w:color="auto"/>
        </w:rPr>
        <w:t xml:space="preserve">           </w:t>
      </w:r>
      <w:r>
        <w:rPr>
          <w:rFonts w:ascii="宋体" w:hAnsi="宋体" w:eastAsia="宋体" w:cs="宋体"/>
          <w:spacing w:val="-82"/>
          <w:sz w:val="18"/>
          <w:szCs w:val="18"/>
        </w:rPr>
        <w:t xml:space="preserve"> </w:t>
      </w:r>
      <w:r>
        <w:rPr>
          <w:rFonts w:ascii="宋体" w:hAnsi="宋体" w:eastAsia="宋体" w:cs="宋体"/>
          <w:spacing w:val="-1"/>
          <w:sz w:val="18"/>
          <w:szCs w:val="18"/>
        </w:rPr>
        <w:t>县（市、区）</w:t>
      </w:r>
      <w:r>
        <w:rPr>
          <w:rFonts w:ascii="宋体" w:hAnsi="宋体" w:eastAsia="宋体" w:cs="宋体"/>
          <w:spacing w:val="-1"/>
          <w:sz w:val="18"/>
          <w:szCs w:val="18"/>
          <w:u w:val="single" w:color="auto"/>
        </w:rPr>
        <w:t xml:space="preserve">      </w:t>
      </w:r>
      <w:r>
        <w:rPr>
          <w:rFonts w:ascii="宋体" w:hAnsi="宋体" w:eastAsia="宋体" w:cs="宋体"/>
          <w:spacing w:val="-2"/>
          <w:sz w:val="18"/>
          <w:szCs w:val="18"/>
          <w:u w:val="single" w:color="auto"/>
        </w:rPr>
        <w:t xml:space="preserve">      </w:t>
      </w:r>
      <w:r>
        <w:rPr>
          <w:rFonts w:ascii="宋体" w:hAnsi="宋体" w:eastAsia="宋体" w:cs="宋体"/>
          <w:spacing w:val="-74"/>
          <w:sz w:val="18"/>
          <w:szCs w:val="18"/>
        </w:rPr>
        <w:t xml:space="preserve"> </w:t>
      </w:r>
      <w:r>
        <w:rPr>
          <w:rFonts w:ascii="宋体" w:hAnsi="宋体" w:eastAsia="宋体" w:cs="宋体"/>
          <w:spacing w:val="-2"/>
          <w:sz w:val="18"/>
          <w:szCs w:val="18"/>
        </w:rPr>
        <w:t>乡镇（街道）</w:t>
      </w:r>
      <w:r>
        <w:rPr>
          <w:rFonts w:ascii="宋体" w:hAnsi="宋体" w:eastAsia="宋体" w:cs="宋体"/>
          <w:spacing w:val="-2"/>
          <w:sz w:val="18"/>
          <w:szCs w:val="18"/>
          <w:u w:val="single" w:color="auto"/>
        </w:rPr>
        <w:t xml:space="preserve">         </w:t>
      </w:r>
      <w:r>
        <w:rPr>
          <w:rFonts w:ascii="宋体" w:hAnsi="宋体" w:eastAsia="宋体" w:cs="宋体"/>
          <w:spacing w:val="-82"/>
          <w:sz w:val="18"/>
          <w:szCs w:val="18"/>
        </w:rPr>
        <w:t xml:space="preserve"> </w:t>
      </w:r>
      <w:r>
        <w:rPr>
          <w:rFonts w:ascii="宋体" w:hAnsi="宋体" w:eastAsia="宋体" w:cs="宋体"/>
          <w:spacing w:val="-2"/>
          <w:sz w:val="18"/>
          <w:szCs w:val="18"/>
        </w:rPr>
        <w:t>村</w:t>
      </w:r>
      <w:r>
        <w:rPr>
          <w:rFonts w:ascii="宋体" w:hAnsi="宋体" w:eastAsia="宋体" w:cs="宋体"/>
          <w:spacing w:val="23"/>
          <w:sz w:val="18"/>
          <w:szCs w:val="18"/>
        </w:rPr>
        <w:t xml:space="preserve">  </w:t>
      </w:r>
      <w:r>
        <w:rPr>
          <w:rFonts w:ascii="宋体" w:hAnsi="宋体" w:eastAsia="宋体" w:cs="宋体"/>
          <w:spacing w:val="-2"/>
          <w:sz w:val="18"/>
          <w:szCs w:val="18"/>
        </w:rPr>
        <w:t xml:space="preserve">填表日期： </w:t>
      </w:r>
      <w:r>
        <w:rPr>
          <w:rFonts w:hint="eastAsia" w:ascii="宋体" w:hAnsi="宋体" w:eastAsia="宋体" w:cs="宋体"/>
          <w:spacing w:val="-2"/>
          <w:sz w:val="18"/>
          <w:szCs w:val="18"/>
          <w:lang w:val="en-US" w:eastAsia="zh-CN"/>
        </w:rPr>
        <w:t xml:space="preserve">   </w:t>
      </w:r>
      <w:r>
        <w:rPr>
          <w:rFonts w:ascii="宋体" w:hAnsi="宋体" w:eastAsia="宋体" w:cs="宋体"/>
          <w:spacing w:val="-2"/>
          <w:sz w:val="18"/>
          <w:szCs w:val="18"/>
        </w:rPr>
        <w:t xml:space="preserve"> 年   月    日</w:t>
      </w:r>
    </w:p>
    <w:p w14:paraId="25652EFE">
      <w:pPr>
        <w:spacing w:line="139" w:lineRule="exact"/>
      </w:pPr>
    </w:p>
    <w:tbl>
      <w:tblPr>
        <w:tblStyle w:val="10"/>
        <w:tblW w:w="89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4"/>
        <w:gridCol w:w="1153"/>
        <w:gridCol w:w="1230"/>
        <w:gridCol w:w="2256"/>
        <w:gridCol w:w="1136"/>
        <w:gridCol w:w="1520"/>
      </w:tblGrid>
      <w:tr w14:paraId="59D9A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6" w:hRule="atLeast"/>
        </w:trPr>
        <w:tc>
          <w:tcPr>
            <w:tcW w:w="1694" w:type="dxa"/>
            <w:vAlign w:val="top"/>
          </w:tcPr>
          <w:p w14:paraId="5149BB0A">
            <w:pPr>
              <w:pStyle w:val="9"/>
              <w:spacing w:before="153" w:line="219" w:lineRule="auto"/>
              <w:ind w:left="454"/>
            </w:pPr>
            <w:r>
              <w:rPr>
                <w:spacing w:val="-2"/>
              </w:rPr>
              <w:t>户主姓名</w:t>
            </w:r>
          </w:p>
        </w:tc>
        <w:tc>
          <w:tcPr>
            <w:tcW w:w="1153" w:type="dxa"/>
            <w:vAlign w:val="top"/>
          </w:tcPr>
          <w:p w14:paraId="3146E0D2">
            <w:pPr>
              <w:rPr>
                <w:rFonts w:ascii="Arial"/>
                <w:sz w:val="21"/>
              </w:rPr>
            </w:pPr>
          </w:p>
        </w:tc>
        <w:tc>
          <w:tcPr>
            <w:tcW w:w="1230" w:type="dxa"/>
            <w:vAlign w:val="top"/>
          </w:tcPr>
          <w:p w14:paraId="7FC5F889">
            <w:pPr>
              <w:pStyle w:val="9"/>
              <w:spacing w:before="153" w:line="219" w:lineRule="auto"/>
              <w:ind w:left="215"/>
            </w:pPr>
            <w:r>
              <w:rPr>
                <w:spacing w:val="-3"/>
              </w:rPr>
              <w:t>身份证号码</w:t>
            </w:r>
          </w:p>
        </w:tc>
        <w:tc>
          <w:tcPr>
            <w:tcW w:w="2256" w:type="dxa"/>
            <w:vAlign w:val="top"/>
          </w:tcPr>
          <w:p w14:paraId="39858911">
            <w:pPr>
              <w:rPr>
                <w:rFonts w:ascii="Arial"/>
                <w:sz w:val="21"/>
              </w:rPr>
            </w:pPr>
          </w:p>
        </w:tc>
        <w:tc>
          <w:tcPr>
            <w:tcW w:w="1136" w:type="dxa"/>
            <w:vAlign w:val="top"/>
          </w:tcPr>
          <w:p w14:paraId="7037D6E3">
            <w:pPr>
              <w:pStyle w:val="9"/>
              <w:spacing w:before="153" w:line="221" w:lineRule="auto"/>
              <w:ind w:left="215"/>
            </w:pPr>
            <w:r>
              <w:rPr>
                <w:spacing w:val="-2"/>
              </w:rPr>
              <w:t>联系方式</w:t>
            </w:r>
          </w:p>
        </w:tc>
        <w:tc>
          <w:tcPr>
            <w:tcW w:w="1520" w:type="dxa"/>
            <w:vAlign w:val="top"/>
          </w:tcPr>
          <w:p w14:paraId="75380509">
            <w:pPr>
              <w:rPr>
                <w:rFonts w:ascii="Arial"/>
                <w:sz w:val="21"/>
              </w:rPr>
            </w:pPr>
          </w:p>
        </w:tc>
      </w:tr>
      <w:tr w14:paraId="7BDEB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694" w:type="dxa"/>
            <w:vAlign w:val="top"/>
          </w:tcPr>
          <w:p w14:paraId="1EDD7720">
            <w:pPr>
              <w:pStyle w:val="9"/>
              <w:spacing w:before="149" w:line="220" w:lineRule="auto"/>
              <w:ind w:left="455"/>
            </w:pPr>
            <w:r>
              <w:rPr>
                <w:spacing w:val="-3"/>
              </w:rPr>
              <w:t>家庭人口</w:t>
            </w:r>
          </w:p>
        </w:tc>
        <w:tc>
          <w:tcPr>
            <w:tcW w:w="1153" w:type="dxa"/>
            <w:vAlign w:val="top"/>
          </w:tcPr>
          <w:p w14:paraId="7FC5016A">
            <w:pPr>
              <w:rPr>
                <w:rFonts w:ascii="Arial"/>
                <w:sz w:val="21"/>
              </w:rPr>
            </w:pPr>
          </w:p>
        </w:tc>
        <w:tc>
          <w:tcPr>
            <w:tcW w:w="1230" w:type="dxa"/>
            <w:vAlign w:val="top"/>
          </w:tcPr>
          <w:p w14:paraId="60312CCC">
            <w:pPr>
              <w:pStyle w:val="9"/>
              <w:spacing w:before="149" w:line="219" w:lineRule="auto"/>
              <w:ind w:left="220"/>
            </w:pPr>
            <w:r>
              <w:rPr>
                <w:spacing w:val="-4"/>
              </w:rPr>
              <w:t>需救助人口</w:t>
            </w:r>
          </w:p>
        </w:tc>
        <w:tc>
          <w:tcPr>
            <w:tcW w:w="2256" w:type="dxa"/>
            <w:vAlign w:val="top"/>
          </w:tcPr>
          <w:p w14:paraId="4C2E3024">
            <w:pPr>
              <w:rPr>
                <w:rFonts w:ascii="Arial"/>
                <w:sz w:val="21"/>
              </w:rPr>
            </w:pPr>
          </w:p>
        </w:tc>
        <w:tc>
          <w:tcPr>
            <w:tcW w:w="1136" w:type="dxa"/>
            <w:vAlign w:val="top"/>
          </w:tcPr>
          <w:p w14:paraId="38E735F2">
            <w:pPr>
              <w:rPr>
                <w:rFonts w:ascii="Arial"/>
                <w:sz w:val="21"/>
              </w:rPr>
            </w:pPr>
          </w:p>
        </w:tc>
        <w:tc>
          <w:tcPr>
            <w:tcW w:w="1520" w:type="dxa"/>
            <w:vAlign w:val="top"/>
          </w:tcPr>
          <w:p w14:paraId="2E6C8061">
            <w:pPr>
              <w:rPr>
                <w:rFonts w:ascii="Arial"/>
                <w:sz w:val="21"/>
              </w:rPr>
            </w:pPr>
          </w:p>
        </w:tc>
      </w:tr>
      <w:tr w14:paraId="05441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694" w:type="dxa"/>
            <w:vAlign w:val="top"/>
          </w:tcPr>
          <w:p w14:paraId="7C4C29FA">
            <w:pPr>
              <w:pStyle w:val="9"/>
              <w:spacing w:before="85" w:line="220" w:lineRule="auto"/>
              <w:ind w:left="455"/>
            </w:pPr>
            <w:r>
              <w:rPr>
                <w:spacing w:val="-3"/>
              </w:rPr>
              <w:t>家庭地址</w:t>
            </w:r>
          </w:p>
        </w:tc>
        <w:tc>
          <w:tcPr>
            <w:tcW w:w="7295" w:type="dxa"/>
            <w:gridSpan w:val="5"/>
            <w:vAlign w:val="top"/>
          </w:tcPr>
          <w:p w14:paraId="603F721C">
            <w:pPr>
              <w:pStyle w:val="9"/>
              <w:tabs>
                <w:tab w:val="left" w:pos="2151"/>
              </w:tabs>
              <w:spacing w:before="125" w:line="219" w:lineRule="auto"/>
              <w:ind w:left="532"/>
            </w:pPr>
            <w:r>
              <w:rPr>
                <w:u w:val="single" w:color="auto"/>
              </w:rPr>
              <w:tab/>
            </w:r>
            <w:r>
              <w:rPr>
                <w:spacing w:val="-77"/>
              </w:rPr>
              <w:t xml:space="preserve"> </w:t>
            </w:r>
            <w:r>
              <w:rPr>
                <w:spacing w:val="-5"/>
              </w:rPr>
              <w:t>村（居）</w:t>
            </w:r>
            <w:r>
              <w:rPr>
                <w:u w:val="single" w:color="auto"/>
              </w:rPr>
              <w:t xml:space="preserve">                  </w:t>
            </w:r>
            <w:r>
              <w:rPr>
                <w:spacing w:val="-53"/>
              </w:rPr>
              <w:t xml:space="preserve"> </w:t>
            </w:r>
            <w:r>
              <w:rPr>
                <w:spacing w:val="-5"/>
              </w:rPr>
              <w:t>自然村（组）</w:t>
            </w:r>
          </w:p>
        </w:tc>
      </w:tr>
      <w:tr w14:paraId="00CD3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1694" w:type="dxa"/>
            <w:vAlign w:val="top"/>
          </w:tcPr>
          <w:p w14:paraId="63C0AB7F">
            <w:pPr>
              <w:spacing w:line="312" w:lineRule="auto"/>
              <w:rPr>
                <w:rFonts w:ascii="Arial"/>
                <w:sz w:val="21"/>
              </w:rPr>
            </w:pPr>
          </w:p>
          <w:p w14:paraId="4D81C9C2">
            <w:pPr>
              <w:spacing w:line="312" w:lineRule="auto"/>
              <w:rPr>
                <w:rFonts w:ascii="Arial"/>
                <w:sz w:val="21"/>
              </w:rPr>
            </w:pPr>
          </w:p>
          <w:p w14:paraId="790F92A7">
            <w:pPr>
              <w:pStyle w:val="9"/>
              <w:spacing w:before="58" w:line="219" w:lineRule="auto"/>
              <w:ind w:left="217"/>
            </w:pPr>
            <w:r>
              <w:rPr>
                <w:spacing w:val="-2"/>
              </w:rPr>
              <w:t>受灾家庭类别</w:t>
            </w:r>
          </w:p>
          <w:p w14:paraId="6D988E85">
            <w:pPr>
              <w:pStyle w:val="9"/>
              <w:spacing w:before="85" w:line="221" w:lineRule="auto"/>
              <w:ind w:left="223"/>
            </w:pPr>
            <w:r>
              <w:rPr>
                <w:spacing w:val="-4"/>
              </w:rPr>
              <w:t>（可多选）</w:t>
            </w:r>
          </w:p>
        </w:tc>
        <w:tc>
          <w:tcPr>
            <w:tcW w:w="7295" w:type="dxa"/>
            <w:gridSpan w:val="5"/>
            <w:vAlign w:val="top"/>
          </w:tcPr>
          <w:p w14:paraId="7BDD0E0A">
            <w:pPr>
              <w:pStyle w:val="9"/>
              <w:spacing w:before="86" w:line="219" w:lineRule="auto"/>
              <w:ind w:left="470"/>
            </w:pPr>
            <w:r>
              <w:rPr>
                <w:spacing w:val="-3"/>
              </w:rPr>
              <w:t>□倒房重建户      □脱贫户</w:t>
            </w:r>
            <w:r>
              <w:rPr>
                <w:spacing w:val="3"/>
              </w:rPr>
              <w:t xml:space="preserve">           </w:t>
            </w:r>
            <w:r>
              <w:rPr>
                <w:spacing w:val="-3"/>
              </w:rPr>
              <w:t>□因灾致贫返贫户</w:t>
            </w:r>
            <w:r>
              <w:rPr>
                <w:spacing w:val="5"/>
              </w:rPr>
              <w:t xml:space="preserve">      </w:t>
            </w:r>
            <w:r>
              <w:rPr>
                <w:spacing w:val="-3"/>
              </w:rPr>
              <w:t>□受灾低保对象</w:t>
            </w:r>
          </w:p>
          <w:p w14:paraId="0B1CBD8C">
            <w:pPr>
              <w:pStyle w:val="9"/>
              <w:spacing w:before="85" w:line="219" w:lineRule="auto"/>
              <w:ind w:left="470"/>
            </w:pPr>
            <w:r>
              <w:rPr>
                <w:spacing w:val="-3"/>
              </w:rPr>
              <w:t>□受灾低保边缘户  □分散供养特困人员</w:t>
            </w:r>
            <w:r>
              <w:rPr>
                <w:spacing w:val="34"/>
              </w:rPr>
              <w:t xml:space="preserve"> </w:t>
            </w:r>
            <w:r>
              <w:rPr>
                <w:spacing w:val="-3"/>
              </w:rPr>
              <w:t>□散居孤儿</w:t>
            </w:r>
            <w:r>
              <w:rPr>
                <w:spacing w:val="2"/>
              </w:rPr>
              <w:t xml:space="preserve">            </w:t>
            </w:r>
            <w:r>
              <w:rPr>
                <w:spacing w:val="-3"/>
              </w:rPr>
              <w:t>□留守老人</w:t>
            </w:r>
          </w:p>
          <w:p w14:paraId="5BE960B2">
            <w:pPr>
              <w:pStyle w:val="9"/>
              <w:spacing w:before="87" w:line="219" w:lineRule="auto"/>
              <w:ind w:left="470"/>
            </w:pPr>
            <w:r>
              <w:rPr>
                <w:spacing w:val="-5"/>
              </w:rPr>
              <w:t>□留守儿童</w:t>
            </w:r>
            <w:r>
              <w:rPr>
                <w:spacing w:val="5"/>
              </w:rPr>
              <w:t xml:space="preserve">        </w:t>
            </w:r>
            <w:r>
              <w:rPr>
                <w:spacing w:val="-5"/>
              </w:rPr>
              <w:t>□残疾人</w:t>
            </w:r>
            <w:r>
              <w:rPr>
                <w:spacing w:val="2"/>
              </w:rPr>
              <w:t xml:space="preserve">           </w:t>
            </w:r>
            <w:r>
              <w:rPr>
                <w:spacing w:val="-5"/>
              </w:rPr>
              <w:t>□生活困难的优抚对象</w:t>
            </w:r>
          </w:p>
          <w:p w14:paraId="313010E6">
            <w:pPr>
              <w:pStyle w:val="9"/>
              <w:spacing w:before="86" w:line="220" w:lineRule="auto"/>
              <w:ind w:left="470"/>
            </w:pPr>
            <w:r>
              <w:rPr>
                <w:spacing w:val="-1"/>
              </w:rPr>
              <w:t>□因学生上学导致的困难家庭    □因病</w:t>
            </w:r>
            <w:r>
              <w:rPr>
                <w:spacing w:val="-2"/>
              </w:rPr>
              <w:t>或突发事故导致的困难家庭</w:t>
            </w:r>
            <w:r>
              <w:rPr>
                <w:spacing w:val="12"/>
              </w:rPr>
              <w:t xml:space="preserve">  </w:t>
            </w:r>
            <w:r>
              <w:rPr>
                <w:spacing w:val="-2"/>
              </w:rPr>
              <w:t>□一般户</w:t>
            </w:r>
          </w:p>
          <w:p w14:paraId="2C225682">
            <w:pPr>
              <w:pStyle w:val="9"/>
              <w:spacing w:before="85" w:line="220" w:lineRule="auto"/>
              <w:ind w:left="470"/>
            </w:pPr>
            <w:r>
              <w:rPr>
                <w:spacing w:val="-5"/>
              </w:rPr>
              <w:t>□其他困难户</w:t>
            </w:r>
          </w:p>
        </w:tc>
      </w:tr>
      <w:tr w14:paraId="1636B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694" w:type="dxa"/>
            <w:vAlign w:val="top"/>
          </w:tcPr>
          <w:p w14:paraId="22EA4FDB">
            <w:pPr>
              <w:spacing w:line="326" w:lineRule="auto"/>
              <w:rPr>
                <w:rFonts w:ascii="Arial"/>
                <w:sz w:val="21"/>
              </w:rPr>
            </w:pPr>
          </w:p>
          <w:p w14:paraId="7366ABB3">
            <w:pPr>
              <w:pStyle w:val="9"/>
              <w:spacing w:before="59" w:line="219" w:lineRule="auto"/>
              <w:ind w:left="213"/>
            </w:pPr>
            <w:r>
              <w:rPr>
                <w:spacing w:val="-2"/>
              </w:rPr>
              <w:t>遭受灾种类型</w:t>
            </w:r>
          </w:p>
          <w:p w14:paraId="6042902B">
            <w:pPr>
              <w:pStyle w:val="9"/>
              <w:spacing w:before="85" w:line="221" w:lineRule="auto"/>
              <w:ind w:left="223"/>
            </w:pPr>
            <w:r>
              <w:rPr>
                <w:spacing w:val="-4"/>
              </w:rPr>
              <w:t>（可多选）</w:t>
            </w:r>
          </w:p>
        </w:tc>
        <w:tc>
          <w:tcPr>
            <w:tcW w:w="7295" w:type="dxa"/>
            <w:gridSpan w:val="5"/>
            <w:vAlign w:val="top"/>
          </w:tcPr>
          <w:p w14:paraId="1D1E53E6">
            <w:pPr>
              <w:spacing w:line="326" w:lineRule="auto"/>
              <w:rPr>
                <w:rFonts w:ascii="Arial"/>
                <w:sz w:val="21"/>
              </w:rPr>
            </w:pPr>
          </w:p>
          <w:p w14:paraId="32B5E0EF">
            <w:pPr>
              <w:pStyle w:val="9"/>
              <w:spacing w:before="58" w:line="219" w:lineRule="auto"/>
              <w:ind w:left="410"/>
            </w:pPr>
            <w:r>
              <w:rPr>
                <w:spacing w:val="-6"/>
              </w:rPr>
              <w:t>□干旱  □洪涝</w:t>
            </w:r>
            <w:r>
              <w:rPr>
                <w:spacing w:val="8"/>
              </w:rPr>
              <w:t xml:space="preserve">   </w:t>
            </w:r>
            <w:r>
              <w:rPr>
                <w:spacing w:val="-6"/>
              </w:rPr>
              <w:t>□风雹</w:t>
            </w:r>
            <w:r>
              <w:rPr>
                <w:spacing w:val="9"/>
              </w:rPr>
              <w:t xml:space="preserve">   </w:t>
            </w:r>
            <w:r>
              <w:rPr>
                <w:spacing w:val="-6"/>
              </w:rPr>
              <w:t>□地震</w:t>
            </w:r>
            <w:r>
              <w:rPr>
                <w:spacing w:val="8"/>
              </w:rPr>
              <w:t xml:space="preserve">   </w:t>
            </w:r>
            <w:r>
              <w:rPr>
                <w:spacing w:val="-6"/>
              </w:rPr>
              <w:t>□雪灾</w:t>
            </w:r>
            <w:r>
              <w:rPr>
                <w:spacing w:val="8"/>
              </w:rPr>
              <w:t xml:space="preserve">   </w:t>
            </w:r>
            <w:r>
              <w:rPr>
                <w:spacing w:val="-6"/>
              </w:rPr>
              <w:t>□滑坡</w:t>
            </w:r>
            <w:r>
              <w:rPr>
                <w:spacing w:val="9"/>
              </w:rPr>
              <w:t xml:space="preserve">   </w:t>
            </w:r>
            <w:r>
              <w:rPr>
                <w:spacing w:val="-6"/>
              </w:rPr>
              <w:t>□泥石流</w:t>
            </w:r>
            <w:r>
              <w:rPr>
                <w:spacing w:val="8"/>
              </w:rPr>
              <w:t xml:space="preserve">   </w:t>
            </w:r>
            <w:r>
              <w:rPr>
                <w:spacing w:val="-7"/>
              </w:rPr>
              <w:t>□生物灾害</w:t>
            </w:r>
          </w:p>
          <w:p w14:paraId="2B012B29">
            <w:pPr>
              <w:pStyle w:val="9"/>
              <w:spacing w:before="86" w:line="220" w:lineRule="auto"/>
              <w:ind w:left="410"/>
            </w:pPr>
            <w:r>
              <w:rPr>
                <w:spacing w:val="-6"/>
              </w:rPr>
              <w:t>□低温冷冻</w:t>
            </w:r>
          </w:p>
        </w:tc>
      </w:tr>
      <w:tr w14:paraId="61BC8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694" w:type="dxa"/>
            <w:vAlign w:val="top"/>
          </w:tcPr>
          <w:p w14:paraId="49A4063C">
            <w:pPr>
              <w:spacing w:line="327" w:lineRule="auto"/>
              <w:rPr>
                <w:rFonts w:ascii="Arial"/>
                <w:sz w:val="21"/>
              </w:rPr>
            </w:pPr>
          </w:p>
          <w:p w14:paraId="7A30B639">
            <w:pPr>
              <w:pStyle w:val="9"/>
              <w:spacing w:before="58" w:line="219" w:lineRule="auto"/>
              <w:ind w:left="237"/>
            </w:pPr>
            <w:r>
              <w:rPr>
                <w:spacing w:val="-6"/>
              </w:rPr>
              <w:t>申请救助类别</w:t>
            </w:r>
          </w:p>
          <w:p w14:paraId="14B31F16">
            <w:pPr>
              <w:pStyle w:val="9"/>
              <w:spacing w:before="85" w:line="221" w:lineRule="auto"/>
              <w:ind w:left="223"/>
            </w:pPr>
            <w:r>
              <w:rPr>
                <w:spacing w:val="-4"/>
              </w:rPr>
              <w:t>（可多选）</w:t>
            </w:r>
          </w:p>
        </w:tc>
        <w:tc>
          <w:tcPr>
            <w:tcW w:w="7295" w:type="dxa"/>
            <w:gridSpan w:val="5"/>
            <w:vAlign w:val="top"/>
          </w:tcPr>
          <w:p w14:paraId="11F4066E">
            <w:pPr>
              <w:pStyle w:val="9"/>
              <w:spacing w:before="87" w:line="219" w:lineRule="auto"/>
              <w:ind w:left="470"/>
            </w:pPr>
            <w:r>
              <w:rPr>
                <w:spacing w:val="-2"/>
              </w:rPr>
              <w:t>□冬春生活困难救助     □旱灾生活困难救助</w:t>
            </w:r>
            <w:r>
              <w:rPr>
                <w:spacing w:val="8"/>
              </w:rPr>
              <w:t xml:space="preserve">    </w:t>
            </w:r>
            <w:r>
              <w:rPr>
                <w:spacing w:val="-2"/>
              </w:rPr>
              <w:t>□灾害应急救助</w:t>
            </w:r>
          </w:p>
          <w:p w14:paraId="50C211FE">
            <w:pPr>
              <w:pStyle w:val="9"/>
              <w:spacing w:before="86" w:line="219" w:lineRule="auto"/>
              <w:ind w:left="470"/>
            </w:pPr>
            <w:r>
              <w:rPr>
                <w:spacing w:val="-2"/>
              </w:rPr>
              <w:t>□因灾临时生活救助     □遇难人员家属抚慰</w:t>
            </w:r>
            <w:r>
              <w:rPr>
                <w:spacing w:val="8"/>
              </w:rPr>
              <w:t xml:space="preserve">    </w:t>
            </w:r>
            <w:r>
              <w:rPr>
                <w:spacing w:val="-2"/>
              </w:rPr>
              <w:t>□过渡性生活救助</w:t>
            </w:r>
          </w:p>
          <w:p w14:paraId="513DC747">
            <w:pPr>
              <w:pStyle w:val="9"/>
              <w:spacing w:before="86" w:line="220" w:lineRule="auto"/>
              <w:ind w:left="470"/>
            </w:pPr>
            <w:r>
              <w:rPr>
                <w:spacing w:val="-3"/>
              </w:rPr>
              <w:t>□倒塌和损坏住房恢复重建</w:t>
            </w:r>
          </w:p>
        </w:tc>
      </w:tr>
      <w:tr w14:paraId="37C75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7" w:hRule="atLeast"/>
        </w:trPr>
        <w:tc>
          <w:tcPr>
            <w:tcW w:w="1694" w:type="dxa"/>
            <w:textDirection w:val="tbRlV"/>
            <w:vAlign w:val="top"/>
          </w:tcPr>
          <w:p w14:paraId="40EBEAC4">
            <w:pPr>
              <w:spacing w:line="292" w:lineRule="auto"/>
              <w:rPr>
                <w:rFonts w:ascii="Arial"/>
                <w:sz w:val="21"/>
              </w:rPr>
            </w:pPr>
          </w:p>
          <w:p w14:paraId="784B2D04">
            <w:pPr>
              <w:spacing w:line="293" w:lineRule="auto"/>
              <w:rPr>
                <w:rFonts w:ascii="Arial"/>
                <w:sz w:val="21"/>
              </w:rPr>
            </w:pPr>
          </w:p>
          <w:p w14:paraId="6DB9117D">
            <w:pPr>
              <w:pStyle w:val="9"/>
              <w:spacing w:before="60" w:line="209" w:lineRule="auto"/>
              <w:ind w:left="856"/>
            </w:pPr>
            <w:r>
              <w:rPr>
                <w:spacing w:val="-1"/>
              </w:rPr>
              <w:t>救</w:t>
            </w:r>
            <w:r>
              <w:rPr>
                <w:spacing w:val="34"/>
              </w:rPr>
              <w:t xml:space="preserve"> </w:t>
            </w:r>
            <w:r>
              <w:rPr>
                <w:spacing w:val="-1"/>
              </w:rPr>
              <w:t>助</w:t>
            </w:r>
            <w:r>
              <w:rPr>
                <w:spacing w:val="30"/>
              </w:rPr>
              <w:t xml:space="preserve"> </w:t>
            </w:r>
            <w:r>
              <w:rPr>
                <w:spacing w:val="-1"/>
              </w:rPr>
              <w:t>申</w:t>
            </w:r>
            <w:r>
              <w:rPr>
                <w:spacing w:val="30"/>
              </w:rPr>
              <w:t xml:space="preserve"> </w:t>
            </w:r>
            <w:r>
              <w:rPr>
                <w:spacing w:val="-1"/>
              </w:rPr>
              <w:t>请</w:t>
            </w:r>
            <w:r>
              <w:rPr>
                <w:spacing w:val="30"/>
              </w:rPr>
              <w:t xml:space="preserve"> </w:t>
            </w:r>
            <w:r>
              <w:rPr>
                <w:spacing w:val="-1"/>
              </w:rPr>
              <w:t>理</w:t>
            </w:r>
            <w:r>
              <w:rPr>
                <w:spacing w:val="31"/>
              </w:rPr>
              <w:t xml:space="preserve"> </w:t>
            </w:r>
            <w:r>
              <w:rPr>
                <w:spacing w:val="-1"/>
              </w:rPr>
              <w:t>由</w:t>
            </w:r>
          </w:p>
        </w:tc>
        <w:tc>
          <w:tcPr>
            <w:tcW w:w="7295" w:type="dxa"/>
            <w:gridSpan w:val="5"/>
            <w:vAlign w:val="top"/>
          </w:tcPr>
          <w:p w14:paraId="3F112E50">
            <w:pPr>
              <w:spacing w:line="253" w:lineRule="auto"/>
              <w:rPr>
                <w:rFonts w:ascii="Arial"/>
                <w:sz w:val="21"/>
              </w:rPr>
            </w:pPr>
          </w:p>
          <w:p w14:paraId="448371D8">
            <w:pPr>
              <w:spacing w:line="253" w:lineRule="auto"/>
              <w:rPr>
                <w:rFonts w:ascii="Arial"/>
                <w:sz w:val="21"/>
              </w:rPr>
            </w:pPr>
          </w:p>
          <w:p w14:paraId="7A3A2398">
            <w:pPr>
              <w:spacing w:line="253" w:lineRule="auto"/>
              <w:rPr>
                <w:rFonts w:ascii="Arial"/>
                <w:sz w:val="21"/>
              </w:rPr>
            </w:pPr>
          </w:p>
          <w:p w14:paraId="7A8B3D8E">
            <w:pPr>
              <w:spacing w:line="254" w:lineRule="auto"/>
              <w:rPr>
                <w:rFonts w:ascii="Arial"/>
                <w:sz w:val="21"/>
              </w:rPr>
            </w:pPr>
          </w:p>
          <w:p w14:paraId="6A189282">
            <w:pPr>
              <w:spacing w:line="254" w:lineRule="auto"/>
              <w:rPr>
                <w:rFonts w:ascii="Arial"/>
                <w:sz w:val="21"/>
              </w:rPr>
            </w:pPr>
          </w:p>
          <w:p w14:paraId="49927D41">
            <w:pPr>
              <w:spacing w:line="254" w:lineRule="auto"/>
              <w:rPr>
                <w:rFonts w:ascii="Arial"/>
                <w:sz w:val="21"/>
              </w:rPr>
            </w:pPr>
          </w:p>
          <w:p w14:paraId="4312E9D0">
            <w:pPr>
              <w:spacing w:line="254" w:lineRule="auto"/>
              <w:rPr>
                <w:rFonts w:ascii="Arial"/>
                <w:sz w:val="21"/>
              </w:rPr>
            </w:pPr>
          </w:p>
          <w:p w14:paraId="7CADD755">
            <w:pPr>
              <w:spacing w:line="254" w:lineRule="auto"/>
              <w:rPr>
                <w:rFonts w:ascii="Arial"/>
                <w:sz w:val="21"/>
              </w:rPr>
            </w:pPr>
          </w:p>
          <w:p w14:paraId="6A9DDDE2">
            <w:pPr>
              <w:pStyle w:val="9"/>
              <w:spacing w:before="59" w:line="219" w:lineRule="auto"/>
              <w:ind w:left="4375"/>
            </w:pPr>
            <w:r>
              <w:rPr>
                <w:spacing w:val="-3"/>
              </w:rPr>
              <w:t>申请人（提名人）签名：</w:t>
            </w:r>
          </w:p>
          <w:p w14:paraId="03595287">
            <w:pPr>
              <w:spacing w:line="325" w:lineRule="auto"/>
              <w:rPr>
                <w:rFonts w:ascii="Arial"/>
                <w:sz w:val="21"/>
              </w:rPr>
            </w:pPr>
          </w:p>
          <w:p w14:paraId="6A8FA8EA">
            <w:pPr>
              <w:pStyle w:val="9"/>
              <w:spacing w:before="59" w:line="219" w:lineRule="auto"/>
              <w:ind w:left="4532"/>
            </w:pPr>
            <w:r>
              <w:rPr>
                <w:spacing w:val="-7"/>
              </w:rPr>
              <w:t>年</w:t>
            </w:r>
            <w:r>
              <w:rPr>
                <w:spacing w:val="2"/>
              </w:rPr>
              <w:t xml:space="preserve">     </w:t>
            </w:r>
            <w:r>
              <w:rPr>
                <w:spacing w:val="-7"/>
              </w:rPr>
              <w:t>月</w:t>
            </w:r>
            <w:r>
              <w:rPr>
                <w:spacing w:val="9"/>
              </w:rPr>
              <w:t xml:space="preserve">    </w:t>
            </w:r>
            <w:r>
              <w:rPr>
                <w:spacing w:val="-7"/>
              </w:rPr>
              <w:t>日</w:t>
            </w:r>
          </w:p>
        </w:tc>
      </w:tr>
      <w:tr w14:paraId="48034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4" w:hRule="atLeast"/>
        </w:trPr>
        <w:tc>
          <w:tcPr>
            <w:tcW w:w="1694" w:type="dxa"/>
            <w:textDirection w:val="tbRlV"/>
            <w:vAlign w:val="top"/>
          </w:tcPr>
          <w:p w14:paraId="44A718E1">
            <w:pPr>
              <w:spacing w:line="469" w:lineRule="auto"/>
              <w:rPr>
                <w:rFonts w:ascii="Arial"/>
                <w:sz w:val="21"/>
              </w:rPr>
            </w:pPr>
          </w:p>
          <w:p w14:paraId="5BE2F823">
            <w:pPr>
              <w:pStyle w:val="9"/>
              <w:spacing w:before="60" w:line="209" w:lineRule="auto"/>
              <w:ind w:left="512"/>
            </w:pPr>
            <w:r>
              <w:rPr>
                <w:spacing w:val="-1"/>
              </w:rPr>
              <w:t>备</w:t>
            </w:r>
            <w:r>
              <w:rPr>
                <w:spacing w:val="15"/>
              </w:rPr>
              <w:t xml:space="preserve">    </w:t>
            </w:r>
            <w:r>
              <w:rPr>
                <w:spacing w:val="-1"/>
              </w:rPr>
              <w:t>注</w:t>
            </w:r>
          </w:p>
        </w:tc>
        <w:tc>
          <w:tcPr>
            <w:tcW w:w="7295" w:type="dxa"/>
            <w:gridSpan w:val="5"/>
            <w:vAlign w:val="top"/>
          </w:tcPr>
          <w:p w14:paraId="0874BCC0">
            <w:pPr>
              <w:rPr>
                <w:rFonts w:ascii="Arial"/>
                <w:sz w:val="21"/>
              </w:rPr>
            </w:pPr>
          </w:p>
        </w:tc>
      </w:tr>
    </w:tbl>
    <w:p w14:paraId="3F7A2439">
      <w:pPr>
        <w:spacing w:before="27" w:line="277" w:lineRule="auto"/>
        <w:ind w:left="343" w:right="363" w:firstLine="415"/>
        <w:rPr>
          <w:rFonts w:ascii="宋体" w:hAnsi="宋体" w:eastAsia="宋体" w:cs="宋体"/>
          <w:sz w:val="18"/>
          <w:szCs w:val="18"/>
        </w:rPr>
      </w:pPr>
      <w:r>
        <w:rPr>
          <w:rFonts w:ascii="宋体" w:hAnsi="宋体" w:eastAsia="宋体" w:cs="宋体"/>
          <w:sz w:val="18"/>
          <w:szCs w:val="18"/>
        </w:rPr>
        <w:t>注：</w:t>
      </w:r>
      <w:r>
        <w:rPr>
          <w:rFonts w:ascii="Calibri" w:hAnsi="Calibri" w:eastAsia="Calibri" w:cs="Calibri"/>
          <w:sz w:val="18"/>
          <w:szCs w:val="18"/>
        </w:rPr>
        <w:t>1..</w:t>
      </w:r>
      <w:r>
        <w:rPr>
          <w:rFonts w:ascii="宋体" w:hAnsi="宋体" w:eastAsia="宋体" w:cs="宋体"/>
          <w:sz w:val="18"/>
          <w:szCs w:val="18"/>
        </w:rPr>
        <w:t>本表一式一份，由村（居）委会留存。</w:t>
      </w:r>
      <w:r>
        <w:rPr>
          <w:rFonts w:ascii="Calibri" w:hAnsi="Calibri" w:eastAsia="Calibri" w:cs="Calibri"/>
          <w:sz w:val="18"/>
          <w:szCs w:val="18"/>
        </w:rPr>
        <w:t>2.</w:t>
      </w:r>
      <w:r>
        <w:rPr>
          <w:rFonts w:ascii="宋体" w:hAnsi="宋体" w:eastAsia="宋体" w:cs="宋体"/>
          <w:sz w:val="18"/>
          <w:szCs w:val="18"/>
        </w:rPr>
        <w:t>老年人、残疾人、丧失劳动能力的</w:t>
      </w:r>
      <w:r>
        <w:rPr>
          <w:rFonts w:ascii="宋体" w:hAnsi="宋体" w:eastAsia="宋体" w:cs="宋体"/>
          <w:spacing w:val="-1"/>
          <w:sz w:val="18"/>
          <w:szCs w:val="18"/>
        </w:rPr>
        <w:t>重病患者等特殊受灾困难群众，本人办理申请手续困难的特殊群体由村小组向村委提名。</w:t>
      </w:r>
    </w:p>
    <w:p w14:paraId="09C14E1E">
      <w:pPr>
        <w:spacing w:line="277" w:lineRule="auto"/>
        <w:rPr>
          <w:rFonts w:ascii="宋体" w:hAnsi="宋体" w:eastAsia="宋体" w:cs="宋体"/>
          <w:sz w:val="18"/>
          <w:szCs w:val="18"/>
        </w:rPr>
        <w:sectPr>
          <w:pgSz w:w="11900" w:h="16840"/>
          <w:pgMar w:top="2098" w:right="1587" w:bottom="1984" w:left="1587" w:header="0" w:footer="0" w:gutter="0"/>
          <w:cols w:space="720" w:num="1"/>
        </w:sectPr>
      </w:pPr>
    </w:p>
    <w:p w14:paraId="4711F082">
      <w:pPr>
        <w:keepNext w:val="0"/>
        <w:keepLines w:val="0"/>
        <w:pageBreakBefore w:val="0"/>
        <w:widowControl w:val="0"/>
        <w:kinsoku/>
        <w:wordWrap/>
        <w:topLinePunct w:val="0"/>
        <w:autoSpaceDE/>
        <w:autoSpaceDN/>
        <w:bidi w:val="0"/>
        <w:adjustRightInd/>
        <w:snapToGrid/>
        <w:spacing w:line="580" w:lineRule="exact"/>
        <w:textAlignment w:val="auto"/>
        <w:rPr>
          <w:rFonts w:hint="eastAsia"/>
          <w:lang w:val="en-US" w:eastAsia="zh-CN"/>
        </w:rPr>
      </w:pPr>
      <w:r>
        <w:rPr>
          <w:rFonts w:hint="eastAsia" w:ascii="黑体" w:hAnsi="黑体" w:eastAsia="黑体" w:cs="黑体"/>
          <w:color w:val="000000" w:themeColor="text1"/>
          <w:sz w:val="32"/>
          <w:szCs w:val="32"/>
          <w:lang w:val="en-US" w:eastAsia="zh-CN"/>
          <w14:textFill>
            <w14:solidFill>
              <w14:schemeClr w14:val="tx1"/>
            </w14:solidFill>
          </w14:textFill>
        </w:rPr>
        <w:t>附表2：</w:t>
      </w:r>
    </w:p>
    <w:p w14:paraId="1B6954AA">
      <w:pPr>
        <w:pStyle w:val="2"/>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桐柏县安棚镇2025—2026年冬春救助档次</w:t>
      </w:r>
    </w:p>
    <w:p w14:paraId="5893DAE7">
      <w:pPr>
        <w:pStyle w:val="2"/>
        <w:jc w:val="center"/>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（指导性意见，仅供参考）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4077"/>
        <w:gridCol w:w="2705"/>
      </w:tblGrid>
      <w:tr w14:paraId="3B7B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962" w:type="dxa"/>
            <w:vAlign w:val="center"/>
          </w:tcPr>
          <w:p w14:paraId="36F994B9">
            <w:pPr>
              <w:pStyle w:val="3"/>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第一档</w:t>
            </w:r>
          </w:p>
        </w:tc>
        <w:tc>
          <w:tcPr>
            <w:tcW w:w="4077" w:type="dxa"/>
            <w:shd w:val="clear" w:color="auto" w:fill="auto"/>
            <w:vAlign w:val="center"/>
          </w:tcPr>
          <w:p w14:paraId="6129C381">
            <w:pPr>
              <w:pStyle w:val="3"/>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受灾的</w:t>
            </w:r>
            <w:r>
              <w:rPr>
                <w:rFonts w:hint="eastAsia" w:ascii="仿宋_GB2312" w:hAnsi="仿宋_GB2312" w:eastAsia="仿宋_GB2312" w:cs="仿宋_GB2312"/>
                <w:color w:val="000000" w:themeColor="text1"/>
                <w:sz w:val="24"/>
                <w:szCs w:val="24"/>
                <w14:textFill>
                  <w14:solidFill>
                    <w14:schemeClr w14:val="tx1"/>
                  </w14:solidFill>
                </w14:textFill>
              </w:rPr>
              <w:t>一般困难群众</w:t>
            </w:r>
          </w:p>
        </w:tc>
        <w:tc>
          <w:tcPr>
            <w:tcW w:w="2705" w:type="dxa"/>
            <w:vAlign w:val="center"/>
          </w:tcPr>
          <w:p w14:paraId="2B34BB87">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themeColor="text1"/>
                <w:sz w:val="24"/>
                <w:szCs w:val="24"/>
                <w14:textFill>
                  <w14:solidFill>
                    <w14:schemeClr w14:val="tx1"/>
                  </w14:solidFill>
                </w14:textFill>
              </w:rPr>
              <w:t>100-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200</w:t>
            </w:r>
            <w:r>
              <w:rPr>
                <w:rFonts w:hint="eastAsia" w:ascii="仿宋_GB2312" w:hAnsi="仿宋_GB2312" w:eastAsia="仿宋_GB2312" w:cs="仿宋_GB2312"/>
                <w:color w:val="000000" w:themeColor="text1"/>
                <w:sz w:val="24"/>
                <w:szCs w:val="24"/>
                <w14:textFill>
                  <w14:solidFill>
                    <w14:schemeClr w14:val="tx1"/>
                  </w14:solidFill>
                </w14:textFill>
              </w:rPr>
              <w:t>元/人</w:t>
            </w:r>
          </w:p>
        </w:tc>
      </w:tr>
      <w:tr w14:paraId="4FBB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trPr>
        <w:tc>
          <w:tcPr>
            <w:tcW w:w="1962" w:type="dxa"/>
            <w:vAlign w:val="center"/>
          </w:tcPr>
          <w:p w14:paraId="4A83CDA2">
            <w:pPr>
              <w:pStyle w:val="3"/>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第二档</w:t>
            </w:r>
          </w:p>
        </w:tc>
        <w:tc>
          <w:tcPr>
            <w:tcW w:w="4077" w:type="dxa"/>
            <w:shd w:val="clear" w:color="auto" w:fill="auto"/>
            <w:vAlign w:val="center"/>
          </w:tcPr>
          <w:p w14:paraId="7499FAF0">
            <w:pPr>
              <w:pStyle w:val="3"/>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000000" w:themeColor="text1"/>
                <w:sz w:val="24"/>
                <w:szCs w:val="24"/>
                <w14:textFill>
                  <w14:solidFill>
                    <w14:schemeClr w14:val="tx1"/>
                  </w14:solidFill>
                </w14:textFill>
              </w:rPr>
              <w:t>受灾的低保对象、分散供养特困人员、低保边缘家庭、支出型困难家庭、防止返贫监测对象、散居孤儿、留守老人、留守儿童、残疾人</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倒房重建户、农作物绝收户、家庭财产严重损失户、丧失劳动能力的重病患者</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等</w:t>
            </w:r>
          </w:p>
        </w:tc>
        <w:tc>
          <w:tcPr>
            <w:tcW w:w="2705" w:type="dxa"/>
            <w:vAlign w:val="center"/>
          </w:tcPr>
          <w:p w14:paraId="40DD5808">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200</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300</w:t>
            </w:r>
            <w:r>
              <w:rPr>
                <w:rFonts w:hint="eastAsia" w:ascii="仿宋_GB2312" w:hAnsi="仿宋_GB2312" w:eastAsia="仿宋_GB2312" w:cs="仿宋_GB2312"/>
                <w:color w:val="000000" w:themeColor="text1"/>
                <w:sz w:val="24"/>
                <w:szCs w:val="24"/>
                <w14:textFill>
                  <w14:solidFill>
                    <w14:schemeClr w14:val="tx1"/>
                  </w14:solidFill>
                </w14:textFill>
              </w:rPr>
              <w:t>元/人</w:t>
            </w:r>
          </w:p>
        </w:tc>
      </w:tr>
      <w:tr w14:paraId="1BE9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trPr>
        <w:tc>
          <w:tcPr>
            <w:tcW w:w="1962" w:type="dxa"/>
            <w:vAlign w:val="center"/>
          </w:tcPr>
          <w:p w14:paraId="60D931FD">
            <w:pPr>
              <w:pStyle w:val="3"/>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第三档</w:t>
            </w:r>
          </w:p>
        </w:tc>
        <w:tc>
          <w:tcPr>
            <w:tcW w:w="4077" w:type="dxa"/>
            <w:shd w:val="clear" w:color="auto" w:fill="auto"/>
            <w:vAlign w:val="center"/>
          </w:tcPr>
          <w:p w14:paraId="72D3A7C6">
            <w:pPr>
              <w:pStyle w:val="3"/>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000000" w:themeColor="text1"/>
                <w:sz w:val="24"/>
                <w:szCs w:val="24"/>
                <w14:textFill>
                  <w14:solidFill>
                    <w14:schemeClr w14:val="tx1"/>
                  </w14:solidFill>
                </w14:textFill>
              </w:rPr>
              <w:t>极少数几种因素叠加的受灾极度困难群众</w:t>
            </w:r>
          </w:p>
        </w:tc>
        <w:tc>
          <w:tcPr>
            <w:tcW w:w="2705" w:type="dxa"/>
            <w:vAlign w:val="center"/>
          </w:tcPr>
          <w:p w14:paraId="578DC2F9">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themeColor="text1"/>
                <w:sz w:val="24"/>
                <w:szCs w:val="24"/>
                <w14:textFill>
                  <w14:solidFill>
                    <w14:schemeClr w14:val="tx1"/>
                  </w14:solidFill>
                </w14:textFill>
              </w:rPr>
              <w:t>300元/人</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且</w:t>
            </w:r>
            <w:r>
              <w:rPr>
                <w:rFonts w:hint="eastAsia" w:ascii="仿宋_GB2312" w:hAnsi="仿宋_GB2312" w:eastAsia="仿宋_GB2312" w:cs="仿宋_GB2312"/>
                <w:color w:val="000000" w:themeColor="text1"/>
                <w:sz w:val="24"/>
                <w:szCs w:val="24"/>
                <w14:textFill>
                  <w14:solidFill>
                    <w14:schemeClr w14:val="tx1"/>
                  </w14:solidFill>
                </w14:textFill>
              </w:rPr>
              <w:t>2000元/户</w:t>
            </w:r>
          </w:p>
        </w:tc>
      </w:tr>
    </w:tbl>
    <w:p w14:paraId="67F95641"/>
    <w:sectPr>
      <w:footerReference r:id="rId3" w:type="default"/>
      <w:pgSz w:w="11906" w:h="16838"/>
      <w:pgMar w:top="1463" w:right="1440" w:bottom="1463" w:left="1440" w:header="851" w:footer="141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59D8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8B3A8">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18B3A8">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06E86"/>
    <w:rsid w:val="001F351C"/>
    <w:rsid w:val="0B206E86"/>
    <w:rsid w:val="1E822E23"/>
    <w:rsid w:val="1FF90A0F"/>
    <w:rsid w:val="32D64192"/>
    <w:rsid w:val="766A5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18"/>
      <w:szCs w:val="18"/>
      <w:lang w:val="zh-CN" w:bidi="zh-CN"/>
    </w:rPr>
  </w:style>
  <w:style w:type="paragraph" w:styleId="3">
    <w:name w:val="Body Text 2"/>
    <w:basedOn w:val="1"/>
    <w:unhideWhenUsed/>
    <w:qFormat/>
    <w:uiPriority w:val="0"/>
    <w:pPr>
      <w:spacing w:after="120" w:line="480" w:lineRule="auto"/>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Text"/>
    <w:basedOn w:val="1"/>
    <w:semiHidden/>
    <w:qFormat/>
    <w:uiPriority w:val="0"/>
    <w:rPr>
      <w:rFonts w:ascii="宋体" w:hAnsi="宋体" w:eastAsia="宋体" w:cs="宋体"/>
      <w:sz w:val="18"/>
      <w:szCs w:val="18"/>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2452</Words>
  <Characters>2522</Characters>
  <Lines>0</Lines>
  <Paragraphs>0</Paragraphs>
  <TotalTime>1</TotalTime>
  <ScaleCrop>false</ScaleCrop>
  <LinksUpToDate>false</LinksUpToDate>
  <CharactersWithSpaces>2524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2025-01-07T02:17:00Z</dcterms:created>
  <dc:creator>庆国</dc:creator>
  <cp:lastModifiedBy>我不会唱歌啊  </cp:lastModifiedBy>
  <cp:lastPrinted>2026-01-19T01:34:00Z</cp:lastPrinted>
  <dcterms:modified xsi:type="dcterms:W3CDTF">2026-06-25T02:40:42Z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E61773C3E9284ABE8309CDB7727A06A7_13</vt:lpwstr>
  </property>
  <property fmtid="{D5CDD505-2E9C-101B-9397-08002B2CF9AE}" pid="4" name="KSOTemplateDocerSaveRecord">
    <vt:lpwstr>eyJoZGlkIjoiOTdjM2M2NTMyNTQ0ZjVlZjBhNWI5OTBmYTkwMDdjNTIiLCJ1c2VySWQiOiIzMTc3NzIxMjUifQ==</vt:lpwstr>
  </property>
</Properties>
</file>