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06DB6">
      <w:pPr>
        <w:pStyle w:val="2"/>
        <w:bidi w:val="0"/>
        <w:jc w:val="center"/>
        <w:rPr>
          <w:rFonts w:hint="eastAsia" w:ascii="方正公文仿宋" w:hAnsi="方正公文仿宋" w:eastAsia="方正公文仿宋" w:cs="方正公文仿宋"/>
          <w:sz w:val="40"/>
          <w:szCs w:val="22"/>
        </w:rPr>
      </w:pPr>
      <w:r>
        <w:rPr>
          <w:rFonts w:hint="eastAsia" w:ascii="方正公文仿宋" w:hAnsi="方正公文仿宋" w:eastAsia="方正公文仿宋" w:cs="方正公文仿宋"/>
          <w:sz w:val="40"/>
          <w:szCs w:val="22"/>
        </w:rPr>
        <w:t>桐柏县2026年</w:t>
      </w:r>
      <w:r>
        <w:rPr>
          <w:rFonts w:hint="eastAsia" w:ascii="方正公文仿宋" w:hAnsi="方正公文仿宋" w:eastAsia="方正公文仿宋" w:cs="方正公文仿宋"/>
          <w:sz w:val="40"/>
          <w:szCs w:val="22"/>
          <w:lang w:val="en-US" w:eastAsia="zh-CN"/>
        </w:rPr>
        <w:t>1</w:t>
      </w:r>
      <w:bookmarkStart w:id="0" w:name="_GoBack"/>
      <w:bookmarkEnd w:id="0"/>
      <w:r>
        <w:rPr>
          <w:rFonts w:hint="eastAsia" w:ascii="方正公文仿宋" w:hAnsi="方正公文仿宋" w:eastAsia="方正公文仿宋" w:cs="方正公文仿宋"/>
          <w:sz w:val="40"/>
          <w:szCs w:val="22"/>
        </w:rPr>
        <w:t>-3月份主要经济指标完成情况</w:t>
      </w:r>
    </w:p>
    <w:p w14:paraId="3CEE5C53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1、地区生产总值: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全县地区生产总值53.2亿元，同比增长6.9%，高于市平均增速0.6个百分点，居全市第6位。</w:t>
      </w:r>
    </w:p>
    <w:p w14:paraId="455FBC4C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2、农业总产值: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全县农林牧渔业总产值10.0亿元，同比增长3.9%，高于市平均增速0.3个百分点，居全市第2位。</w:t>
      </w:r>
    </w:p>
    <w:p w14:paraId="098D53F8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3、工业增加值: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全县规模以上工业增加值同比增长12.9%，高于市平均增速4个百分点，居全市第6位。规模以下工业增加值同比增长7.4%。</w:t>
      </w:r>
    </w:p>
    <w:p w14:paraId="4BC67EEE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4、建筑业总产值: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全县建筑业总产值同比下降3.5%，低于市平均增速0.2个百分点，居全市第8位。</w:t>
      </w:r>
    </w:p>
    <w:p w14:paraId="6DBF0C2B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5、商贸业: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全县社会消费品零售总额23.4亿元，同比增长4.3%，·高于市平均增速0.9个百分点，居全市第6位。</w:t>
      </w:r>
    </w:p>
    <w:p w14:paraId="53517EC2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6、固定资产投资: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全县固定资产投资同比下降15.6%，低于市平均增速20.5个百分点，居全市第13位。</w:t>
      </w:r>
    </w:p>
    <w:p w14:paraId="619DCB05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7、商品房销售面积: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全县商品房销售面积同比下降7.8%，低于市平均增速5.7个百分点，居全市第10位。</w:t>
      </w:r>
    </w:p>
    <w:p w14:paraId="7C91B2F6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8、“四上”企业入库情况: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全县共申报规上企业31家，居全市第10位。其中工业6家(居全市并列第12位)，商贸业14家，服务业3家，建筑业1家，房地产业7家。</w:t>
      </w:r>
    </w:p>
    <w:p w14:paraId="0D12E188">
      <w:pPr>
        <w:ind w:firstLine="601" w:firstLineChars="200"/>
        <w:rPr>
          <w:rFonts w:hint="eastAsia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9、新开工项目入库情况: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全县新开工项目25个，居全市第4位;其中亿元以上新开工项目3个，居全市第5位。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53A8004-0634-4566-B381-C9E63F79E90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3D88D08-3B43-4103-9A27-BCD2D0F7FE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5790D"/>
    <w:rsid w:val="2CF5790D"/>
    <w:rsid w:val="5341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536</Characters>
  <Lines>0</Lines>
  <Paragraphs>0</Paragraphs>
  <TotalTime>1</TotalTime>
  <ScaleCrop>false</ScaleCrop>
  <LinksUpToDate>false</LinksUpToDate>
  <CharactersWithSpaces>536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2026-04-24T02:58:00Z</dcterms:created>
  <dc:creator>哈哈哈哈哈哈</dc:creator>
  <cp:lastModifiedBy>回忆</cp:lastModifiedBy>
  <dcterms:modified xsi:type="dcterms:W3CDTF">2026-06-23T09:21:53Z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2B456A56E33343CBBC3CCD0C26295988_11</vt:lpwstr>
  </property>
  <property fmtid="{D5CDD505-2E9C-101B-9397-08002B2CF9AE}" pid="4" name="KSOTemplateDocerSaveRecord">
    <vt:lpwstr>eyJoZGlkIjoiZDY4ZWQwZTExNTQ0ZTRjNGZkMmFmMWUwMzU5OGQ1Y2IiLCJ1c2VySWQiOiIxMDc3NDYzODI2In0=</vt:lpwstr>
  </property>
</Properties>
</file>