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0F3">
      <w:pPr>
        <w:overflowPunct w:val="0"/>
        <w:spacing w:line="880" w:lineRule="exact"/>
        <w:ind w:firstLine="664" w:firstLineChars="200"/>
        <w:rPr>
          <w:rFonts w:ascii="Times New Roman" w:hAnsi="Times New Roman" w:eastAsia="仿宋_GB2312" w:cs="Times New Roman"/>
          <w:spacing w:val="6"/>
          <w:sz w:val="32"/>
          <w:szCs w:val="32"/>
        </w:rPr>
      </w:pPr>
    </w:p>
    <w:p w14:paraId="2685CF7B">
      <w:pPr>
        <w:overflowPunct w:val="0"/>
        <w:spacing w:line="620" w:lineRule="exact"/>
        <w:ind w:firstLine="664" w:firstLineChars="200"/>
        <w:rPr>
          <w:rFonts w:ascii="Times New Roman" w:hAnsi="Times New Roman" w:eastAsia="仿宋_GB2312" w:cs="Times New Roman"/>
          <w:spacing w:val="6"/>
          <w:sz w:val="32"/>
          <w:szCs w:val="32"/>
        </w:rPr>
      </w:pPr>
    </w:p>
    <w:p w14:paraId="4C3696BD">
      <w:pPr>
        <w:overflowPunct w:val="0"/>
        <w:spacing w:line="620" w:lineRule="exact"/>
        <w:ind w:firstLine="664" w:firstLineChars="200"/>
        <w:rPr>
          <w:rFonts w:ascii="Times New Roman" w:hAnsi="Times New Roman" w:eastAsia="仿宋_GB2312" w:cs="Times New Roman"/>
          <w:spacing w:val="6"/>
          <w:sz w:val="32"/>
          <w:szCs w:val="32"/>
        </w:rPr>
      </w:pPr>
    </w:p>
    <w:p w14:paraId="668D2258">
      <w:pPr>
        <w:overflowPunct w:val="0"/>
        <w:snapToGrid w:val="0"/>
        <w:ind w:firstLine="664"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 xml:space="preserve"> </w:t>
      </w:r>
    </w:p>
    <w:p w14:paraId="6E457E61">
      <w:pPr>
        <w:overflowPunct w:val="0"/>
        <w:snapToGrid w:val="0"/>
        <w:ind w:firstLine="504" w:firstLineChars="200"/>
        <w:rPr>
          <w:rFonts w:ascii="Times New Roman" w:hAnsi="Times New Roman" w:eastAsia="仿宋_GB2312" w:cs="Times New Roman"/>
          <w:spacing w:val="6"/>
          <w:sz w:val="24"/>
          <w:szCs w:val="32"/>
        </w:rPr>
      </w:pPr>
    </w:p>
    <w:p w14:paraId="476D8A78">
      <w:pPr>
        <w:overflowPunct w:val="0"/>
        <w:ind w:firstLine="104" w:firstLineChars="200"/>
        <w:rPr>
          <w:rFonts w:ascii="Times New Roman" w:hAnsi="Times New Roman" w:eastAsia="仿宋_GB2312" w:cs="Times New Roman"/>
          <w:spacing w:val="6"/>
          <w:sz w:val="4"/>
          <w:szCs w:val="32"/>
        </w:rPr>
      </w:pPr>
    </w:p>
    <w:p w14:paraId="0EEC0409">
      <w:pPr>
        <w:overflowPunct w:val="0"/>
        <w:spacing w:line="620" w:lineRule="exact"/>
        <w:jc w:val="center"/>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 xml:space="preserve">桐民字〔 </w:t>
      </w:r>
      <w:r>
        <w:rPr>
          <w:rFonts w:ascii="Times New Roman" w:hAnsi="Times New Roman" w:eastAsia="仿宋_GB2312" w:cs="Times New Roman"/>
          <w:spacing w:val="6"/>
          <w:sz w:val="32"/>
          <w:szCs w:val="32"/>
        </w:rPr>
        <w:t>20</w:t>
      </w:r>
      <w:r>
        <w:rPr>
          <w:rFonts w:hint="eastAsia" w:ascii="Times New Roman" w:hAnsi="Times New Roman" w:eastAsia="仿宋_GB2312" w:cs="Times New Roman"/>
          <w:spacing w:val="6"/>
          <w:sz w:val="32"/>
          <w:szCs w:val="32"/>
        </w:rPr>
        <w:t>25 〕</w:t>
      </w:r>
      <w:r>
        <w:rPr>
          <w:rFonts w:hint="eastAsia" w:ascii="Times New Roman" w:hAnsi="Times New Roman" w:eastAsia="仿宋_GB2312" w:cs="Times New Roman"/>
          <w:spacing w:val="6"/>
          <w:sz w:val="32"/>
          <w:szCs w:val="32"/>
          <w:lang w:val="en-US" w:eastAsia="zh-CN"/>
        </w:rPr>
        <w:t>4</w:t>
      </w:r>
      <w:r>
        <w:rPr>
          <w:rFonts w:hint="eastAsia" w:ascii="Times New Roman" w:hAnsi="Times New Roman" w:eastAsia="仿宋_GB2312" w:cs="Times New Roman"/>
          <w:spacing w:val="6"/>
          <w:sz w:val="32"/>
          <w:szCs w:val="32"/>
        </w:rPr>
        <w:t xml:space="preserve"> 号</w:t>
      </w:r>
    </w:p>
    <w:p w14:paraId="7C810803">
      <w:pPr>
        <w:overflowPunct w:val="0"/>
        <w:spacing w:line="360" w:lineRule="exact"/>
        <w:ind w:firstLine="744" w:firstLineChars="200"/>
        <w:rPr>
          <w:rFonts w:ascii="Times New Roman" w:hAnsi="Times New Roman" w:eastAsia="仿宋_GB2312" w:cs="Times New Roman"/>
          <w:spacing w:val="6"/>
          <w:sz w:val="36"/>
          <w:szCs w:val="32"/>
        </w:rPr>
      </w:pPr>
    </w:p>
    <w:p w14:paraId="46546C61">
      <w:pPr>
        <w:overflowPunct w:val="0"/>
        <w:snapToGrid w:val="0"/>
        <w:ind w:firstLine="1144" w:firstLineChars="200"/>
        <w:rPr>
          <w:rFonts w:ascii="Times New Roman" w:hAnsi="Times New Roman" w:eastAsia="仿宋_GB2312" w:cs="Times New Roman"/>
          <w:spacing w:val="6"/>
          <w:sz w:val="56"/>
          <w:szCs w:val="32"/>
        </w:rPr>
      </w:pPr>
      <w:bookmarkStart w:id="0" w:name="_GoBack"/>
      <w:bookmarkEnd w:id="0"/>
    </w:p>
    <w:p w14:paraId="531291D4">
      <w:pPr>
        <w:overflowPunct w:val="0"/>
        <w:snapToGrid w:val="0"/>
        <w:ind w:firstLine="144" w:firstLineChars="200"/>
        <w:rPr>
          <w:rFonts w:ascii="Times New Roman" w:hAnsi="Times New Roman" w:eastAsia="仿宋_GB2312" w:cs="Times New Roman"/>
          <w:spacing w:val="6"/>
          <w:sz w:val="6"/>
          <w:szCs w:val="32"/>
        </w:rPr>
      </w:pPr>
    </w:p>
    <w:p w14:paraId="0036F603">
      <w:pPr>
        <w:shd w:val="clear" w:color="auto" w:fill="FFFFFF"/>
        <w:overflowPunct w:val="0"/>
        <w:snapToGrid w:val="0"/>
        <w:spacing w:line="60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桐柏县民政局</w:t>
      </w:r>
    </w:p>
    <w:p w14:paraId="55E97559">
      <w:pPr>
        <w:overflowPunct w:val="0"/>
        <w:snapToGrid w:val="0"/>
        <w:spacing w:line="60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关于2024年度法治政府建设情况的报告</w:t>
      </w:r>
    </w:p>
    <w:p w14:paraId="358E807D">
      <w:pPr>
        <w:overflowPunct w:val="0"/>
        <w:spacing w:line="620" w:lineRule="exact"/>
        <w:rPr>
          <w:rFonts w:hint="eastAsia" w:ascii="方正小标宋简体" w:hAnsi="方正小标宋简体" w:eastAsia="方正小标宋简体" w:cs="方正小标宋简体"/>
          <w:spacing w:val="6"/>
          <w:sz w:val="32"/>
          <w:szCs w:val="32"/>
        </w:rPr>
      </w:pPr>
    </w:p>
    <w:p w14:paraId="669CBA32">
      <w:pPr>
        <w:overflowPunct w:val="0"/>
        <w:spacing w:line="560" w:lineRule="exact"/>
        <w:rPr>
          <w:rFonts w:hint="eastAsia" w:ascii="仿宋" w:hAnsi="仿宋" w:eastAsia="仿宋" w:cs="仿宋"/>
          <w:spacing w:val="6"/>
          <w:sz w:val="32"/>
          <w:szCs w:val="32"/>
        </w:rPr>
      </w:pPr>
      <w:r>
        <w:rPr>
          <w:rFonts w:hint="eastAsia" w:ascii="仿宋" w:hAnsi="仿宋" w:eastAsia="仿宋" w:cs="仿宋"/>
          <w:spacing w:val="6"/>
          <w:sz w:val="32"/>
          <w:szCs w:val="32"/>
        </w:rPr>
        <w:t>中共桐柏县委、桐柏县人民政府：</w:t>
      </w:r>
    </w:p>
    <w:p w14:paraId="72B66DCF">
      <w:pPr>
        <w:overflowPunct w:val="0"/>
        <w:spacing w:line="560" w:lineRule="exact"/>
        <w:ind w:firstLine="664" w:firstLineChars="200"/>
        <w:rPr>
          <w:rFonts w:hint="eastAsia" w:ascii="仿宋" w:hAnsi="仿宋" w:eastAsia="仿宋" w:cs="仿宋"/>
          <w:spacing w:val="6"/>
          <w:sz w:val="32"/>
          <w:szCs w:val="32"/>
        </w:rPr>
      </w:pPr>
      <w:r>
        <w:rPr>
          <w:rFonts w:hint="eastAsia" w:ascii="仿宋" w:hAnsi="仿宋" w:eastAsia="仿宋" w:cs="仿宋"/>
          <w:spacing w:val="6"/>
          <w:sz w:val="32"/>
          <w:szCs w:val="32"/>
        </w:rPr>
        <w:t>2024年，我局坚持以习近平新时代中国特色社会主义思想为指导，深入贯彻落实习近平法治思想，深入学习贯彻党的二十大和党的二十届二中、三中全会精神，认真落实《法治政府建设实施纲要（2021—2025年）》目标任务，紧紧围绕县委、县政府中心工作和建设法治政府目标，扎实推进法治政府建设工作。现将我局2024年度法治政府建设情况报告如下：</w:t>
      </w:r>
    </w:p>
    <w:p w14:paraId="13200F43">
      <w:pPr>
        <w:overflowPunct w:val="0"/>
        <w:spacing w:line="560" w:lineRule="exact"/>
        <w:ind w:firstLine="664" w:firstLineChars="200"/>
        <w:rPr>
          <w:rFonts w:hint="eastAsia" w:ascii="黑体" w:hAnsi="黑体" w:eastAsia="黑体" w:cs="黑体"/>
          <w:spacing w:val="6"/>
          <w:sz w:val="32"/>
          <w:szCs w:val="32"/>
        </w:rPr>
      </w:pPr>
      <w:r>
        <w:rPr>
          <w:rFonts w:hint="eastAsia" w:ascii="黑体" w:hAnsi="黑体" w:eastAsia="黑体" w:cs="黑体"/>
          <w:spacing w:val="6"/>
          <w:sz w:val="32"/>
          <w:szCs w:val="32"/>
        </w:rPr>
        <w:t>一、2024年法治政府建设工作情况</w:t>
      </w:r>
    </w:p>
    <w:p w14:paraId="56682214">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（一）加强党的领导，推进法治建设。</w:t>
      </w:r>
      <w:r>
        <w:rPr>
          <w:rFonts w:hint="eastAsia" w:ascii="仿宋" w:hAnsi="仿宋" w:eastAsia="仿宋" w:cs="仿宋"/>
          <w:b/>
          <w:spacing w:val="6"/>
          <w:sz w:val="32"/>
          <w:szCs w:val="32"/>
        </w:rPr>
        <w:t>一是</w:t>
      </w:r>
      <w:r>
        <w:rPr>
          <w:rFonts w:hint="eastAsia" w:ascii="仿宋" w:hAnsi="仿宋" w:eastAsia="仿宋" w:cs="仿宋"/>
          <w:spacing w:val="6"/>
          <w:sz w:val="32"/>
          <w:szCs w:val="32"/>
        </w:rPr>
        <w:t>履行推进法治建设领导职责。我局把2024年度法治政府建设工作纳入我局年度工作计划中，成立了推进全面依法治县和法治政府建设领导小组，加强法治政府建设的协调督促推进。切实履行推进法治政府建设主体责任，全面落实法治政府建设各项任务。年初听取了上一年度法治政府建设情况汇报，研究解决影响法治政府建设的重大问题，并安排部署本年度法治政府建设工作。</w:t>
      </w:r>
      <w:r>
        <w:rPr>
          <w:rFonts w:hint="eastAsia" w:ascii="仿宋" w:hAnsi="仿宋" w:eastAsia="仿宋" w:cs="仿宋"/>
          <w:b/>
          <w:spacing w:val="6"/>
          <w:sz w:val="32"/>
          <w:szCs w:val="32"/>
        </w:rPr>
        <w:t>二是</w:t>
      </w:r>
      <w:r>
        <w:rPr>
          <w:rFonts w:hint="eastAsia" w:ascii="仿宋" w:hAnsi="仿宋" w:eastAsia="仿宋" w:cs="仿宋"/>
          <w:spacing w:val="6"/>
          <w:sz w:val="32"/>
          <w:szCs w:val="32"/>
        </w:rPr>
        <w:t>履行推进法治政府建设第一责任人职责。我局主要负责人切实做到重要工作亲自部署、重大问题亲自过问、重点环节亲自协调、重要案件亲自督办，并将履行推进法治政府建设第一责任人职责情况纳入年终述职的内容。</w:t>
      </w:r>
    </w:p>
    <w:p w14:paraId="4587489F">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（二）加强学法用法，提高法律素养。</w:t>
      </w:r>
      <w:r>
        <w:rPr>
          <w:rFonts w:hint="eastAsia" w:ascii="仿宋" w:hAnsi="仿宋" w:eastAsia="仿宋" w:cs="仿宋"/>
          <w:spacing w:val="6"/>
          <w:sz w:val="32"/>
          <w:szCs w:val="32"/>
        </w:rPr>
        <w:t>我局建立了领导班子学法机制，在召开局党组会及其他重要会议前，按要求安排20分钟左右的时间来集中学习相关法律法规。2024年会前学法超过10次，重点学习了习近平法治思想、《中华人民共和国未成年人保护法》《中国共产党党组工作条例》《中华人民共和国安全生产法》。我局还编制了2024年度学法计划充分利用职工大会、党员会议等开展集中学法。相关股室到部分镇（街道）社区宣传法律法规20余次，形成了学法用法尊法守法的良好风气。</w:t>
      </w:r>
    </w:p>
    <w:p w14:paraId="0BD59C3B">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（三）强化宣传教育，落实普法责任。</w:t>
      </w:r>
      <w:r>
        <w:rPr>
          <w:rFonts w:hint="eastAsia" w:ascii="仿宋" w:hAnsi="仿宋" w:eastAsia="仿宋" w:cs="仿宋"/>
          <w:spacing w:val="6"/>
          <w:sz w:val="32"/>
          <w:szCs w:val="32"/>
        </w:rPr>
        <w:t>2024年，局属相关股室充分利用“国家宪法日”“宪法宣传周”“劳动节”等重大节日、重要时间节点，到各镇（街道）社区开展普法宣传活动，大力宣传城乡低保、婚姻登记、孤儿收养、殡葬改革、养老服务、慈善等政策法规，不断提高公众知晓度。全年开展普法宣传活动9场次，发放宣传资料10000余份；举办专题讲座1次，组织干部职工学法普法。</w:t>
      </w:r>
    </w:p>
    <w:p w14:paraId="079886B4">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（四）履行法治职能，增强执法严谨性。</w:t>
      </w:r>
      <w:r>
        <w:rPr>
          <w:rFonts w:hint="eastAsia" w:ascii="仿宋" w:hAnsi="仿宋" w:eastAsia="仿宋" w:cs="仿宋"/>
          <w:b/>
          <w:spacing w:val="6"/>
          <w:sz w:val="32"/>
          <w:szCs w:val="32"/>
        </w:rPr>
        <w:t>一是</w:t>
      </w:r>
      <w:r>
        <w:rPr>
          <w:rFonts w:hint="eastAsia" w:ascii="仿宋" w:hAnsi="仿宋" w:eastAsia="仿宋" w:cs="仿宋"/>
          <w:spacing w:val="6"/>
          <w:sz w:val="32"/>
          <w:szCs w:val="32"/>
        </w:rPr>
        <w:t>严格执行重大行政决策程序规定。认真落实《河南省重大行政决策程序规定》，对本机关的重大行政决策、重大项目安排、重要人事变动、大额资金使用、重大执法决定实行合法性审查，听取法律顾问、有关专家的意见。</w:t>
      </w:r>
      <w:r>
        <w:rPr>
          <w:rFonts w:hint="eastAsia" w:ascii="仿宋" w:hAnsi="仿宋" w:eastAsia="仿宋" w:cs="仿宋"/>
          <w:b/>
          <w:spacing w:val="6"/>
          <w:sz w:val="32"/>
          <w:szCs w:val="32"/>
        </w:rPr>
        <w:t>二是</w:t>
      </w:r>
      <w:r>
        <w:rPr>
          <w:rFonts w:hint="eastAsia" w:ascii="仿宋" w:hAnsi="仿宋" w:eastAsia="仿宋" w:cs="仿宋"/>
          <w:spacing w:val="6"/>
          <w:sz w:val="32"/>
          <w:szCs w:val="32"/>
        </w:rPr>
        <w:t>严格规范行政执法。严格落实持证上岗制度，统筹安排符合条件人员参加行政执法人员资格考试，进一步加强法治人才队伍建设工作。</w:t>
      </w:r>
    </w:p>
    <w:p w14:paraId="11F8F576">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（五）强化信息公开，自觉接受监督。</w:t>
      </w:r>
      <w:r>
        <w:rPr>
          <w:rFonts w:hint="eastAsia" w:ascii="仿宋" w:hAnsi="仿宋" w:eastAsia="仿宋" w:cs="仿宋"/>
          <w:spacing w:val="6"/>
          <w:sz w:val="32"/>
          <w:szCs w:val="32"/>
        </w:rPr>
        <w:t>认真贯彻落实习近平总书记关于政务公开的重要指示精神，积极推进政务公开。通过政府网站、公告栏等渠道，及时公开民政局的工作动态、政策法规、项目审批等信息，主动接受各方监督。</w:t>
      </w:r>
    </w:p>
    <w:p w14:paraId="2D500DF5">
      <w:pPr>
        <w:overflowPunct w:val="0"/>
        <w:spacing w:line="560" w:lineRule="exact"/>
        <w:ind w:firstLine="664" w:firstLineChars="200"/>
        <w:rPr>
          <w:rFonts w:hint="eastAsia" w:ascii="黑体" w:hAnsi="黑体" w:eastAsia="黑体" w:cs="黑体"/>
          <w:spacing w:val="6"/>
          <w:sz w:val="32"/>
          <w:szCs w:val="32"/>
        </w:rPr>
      </w:pPr>
      <w:r>
        <w:rPr>
          <w:rFonts w:hint="eastAsia" w:ascii="黑体" w:hAnsi="黑体" w:eastAsia="黑体" w:cs="黑体"/>
          <w:spacing w:val="6"/>
          <w:sz w:val="32"/>
          <w:szCs w:val="32"/>
        </w:rPr>
        <w:t>二、存在的主要问题</w:t>
      </w:r>
    </w:p>
    <w:p w14:paraId="4367C16E">
      <w:pPr>
        <w:overflowPunct w:val="0"/>
        <w:spacing w:line="560" w:lineRule="exact"/>
        <w:ind w:firstLine="664" w:firstLineChars="200"/>
        <w:rPr>
          <w:rFonts w:hint="eastAsia" w:ascii="仿宋" w:hAnsi="仿宋" w:eastAsia="仿宋" w:cs="仿宋"/>
          <w:spacing w:val="6"/>
          <w:sz w:val="32"/>
          <w:szCs w:val="32"/>
        </w:rPr>
      </w:pPr>
      <w:r>
        <w:rPr>
          <w:rFonts w:hint="eastAsia" w:ascii="仿宋" w:hAnsi="仿宋" w:eastAsia="仿宋" w:cs="仿宋"/>
          <w:spacing w:val="6"/>
          <w:sz w:val="32"/>
          <w:szCs w:val="32"/>
        </w:rPr>
        <w:t>今年以来，我局法治政府建设工作取得一定成效，但还存在一些不足，比如法治宣传教育形式有待改进，目前仅限于集中研学，宣传教育的形式较为单一。少数同志法治意识淡薄，学法用法的自觉性不够，法治政府建设工作与经济发展工作结合得不够紧密。执法队伍人员较少，缺少在岗在职业务培训。</w:t>
      </w:r>
    </w:p>
    <w:p w14:paraId="262ABCFF">
      <w:pPr>
        <w:overflowPunct w:val="0"/>
        <w:spacing w:line="560" w:lineRule="exact"/>
        <w:ind w:firstLine="664" w:firstLineChars="200"/>
        <w:rPr>
          <w:rFonts w:hint="eastAsia" w:ascii="黑体" w:hAnsi="黑体" w:eastAsia="黑体" w:cs="黑体"/>
          <w:spacing w:val="6"/>
          <w:sz w:val="32"/>
          <w:szCs w:val="32"/>
        </w:rPr>
      </w:pPr>
      <w:r>
        <w:rPr>
          <w:rFonts w:hint="eastAsia" w:ascii="黑体" w:hAnsi="黑体" w:eastAsia="黑体" w:cs="黑体"/>
          <w:spacing w:val="6"/>
          <w:sz w:val="32"/>
          <w:szCs w:val="32"/>
        </w:rPr>
        <w:t>三、2025年工作安排</w:t>
      </w:r>
    </w:p>
    <w:p w14:paraId="4F5F985E">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（一）持续深入学习习近平法治思想。</w:t>
      </w:r>
      <w:r>
        <w:rPr>
          <w:rFonts w:hint="eastAsia" w:ascii="仿宋" w:hAnsi="仿宋" w:eastAsia="仿宋" w:cs="仿宋"/>
          <w:spacing w:val="6"/>
          <w:sz w:val="32"/>
          <w:szCs w:val="32"/>
        </w:rPr>
        <w:t>落实领导干部会前学法制度，把法治建设宣传教育纳入党组、局机关学习计划，深入学习贯彻习近平法治思想、党的二十大和党的二十届二中、三中全会精神，学习法律法规和党规党纪，不断提升干部职工法治水平和依法办事能力。</w:t>
      </w:r>
    </w:p>
    <w:p w14:paraId="28A57C82">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（二）加强法治政府建设组织领导。</w:t>
      </w:r>
      <w:r>
        <w:rPr>
          <w:rFonts w:hint="eastAsia" w:ascii="仿宋" w:hAnsi="仿宋" w:eastAsia="仿宋" w:cs="仿宋"/>
          <w:spacing w:val="6"/>
          <w:sz w:val="32"/>
          <w:szCs w:val="32"/>
        </w:rPr>
        <w:t>严格执行《党政主要负责人履行推进法治建设第一责任人职责》规定，进一步完善组织领导和督促检查机制，做好年终述法工作，定期听取汇报，研究、部署、落实好法治建设工作。</w:t>
      </w:r>
    </w:p>
    <w:p w14:paraId="16243A33">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（三）严格落实行政执法“三项制度”。</w:t>
      </w:r>
      <w:r>
        <w:rPr>
          <w:rFonts w:hint="eastAsia" w:ascii="仿宋" w:hAnsi="仿宋" w:eastAsia="仿宋" w:cs="仿宋"/>
          <w:spacing w:val="6"/>
          <w:sz w:val="32"/>
          <w:szCs w:val="32"/>
        </w:rPr>
        <w:t>严格规范行政决策制度，严格执行权责清单、重大行政决策等制度，不断提高全局依法执法、依法行政、依规行政、依法履职水平，为做好全局工作提供坚强法治保障。</w:t>
      </w:r>
    </w:p>
    <w:p w14:paraId="44C47827">
      <w:pPr>
        <w:overflowPunct w:val="0"/>
        <w:spacing w:line="560" w:lineRule="exact"/>
        <w:ind w:firstLine="667" w:firstLineChars="200"/>
        <w:rPr>
          <w:rFonts w:hint="eastAsia" w:ascii="仿宋" w:hAnsi="仿宋" w:eastAsia="仿宋" w:cs="仿宋"/>
          <w:spacing w:val="6"/>
          <w:sz w:val="32"/>
          <w:szCs w:val="32"/>
        </w:rPr>
      </w:pPr>
      <w:r>
        <w:rPr>
          <w:rFonts w:hint="eastAsia" w:ascii="楷体" w:hAnsi="楷体" w:eastAsia="楷体" w:cs="楷体"/>
          <w:b/>
          <w:spacing w:val="6"/>
          <w:sz w:val="32"/>
          <w:szCs w:val="32"/>
        </w:rPr>
        <w:t>（四）持续提高法治社会建设水平。</w:t>
      </w:r>
      <w:r>
        <w:rPr>
          <w:rFonts w:hint="eastAsia" w:ascii="仿宋" w:hAnsi="仿宋" w:eastAsia="仿宋" w:cs="仿宋"/>
          <w:spacing w:val="6"/>
          <w:sz w:val="32"/>
          <w:szCs w:val="32"/>
        </w:rPr>
        <w:t>按照落实“谁执法谁普法”责任制普法清单要求，落实普法责任，通过微信公众号、今日头条、抖音和“法律七进”等形式组织开展普法宣传活动，做好案例上报工作，推动党员干部更加自觉运用习近平法治思想武装头脑、指导实践、推动工作。</w:t>
      </w:r>
    </w:p>
    <w:p w14:paraId="3CA62325">
      <w:pPr>
        <w:overflowPunct w:val="0"/>
        <w:spacing w:line="560" w:lineRule="exact"/>
        <w:ind w:firstLine="664" w:firstLineChars="200"/>
        <w:rPr>
          <w:rFonts w:hint="eastAsia" w:ascii="仿宋" w:hAnsi="仿宋" w:eastAsia="仿宋" w:cs="仿宋"/>
          <w:spacing w:val="6"/>
          <w:sz w:val="32"/>
          <w:szCs w:val="32"/>
        </w:rPr>
      </w:pPr>
    </w:p>
    <w:p w14:paraId="3047A1B7">
      <w:pPr>
        <w:overflowPunct w:val="0"/>
        <w:spacing w:line="560" w:lineRule="exact"/>
        <w:ind w:firstLine="664" w:firstLineChars="200"/>
        <w:rPr>
          <w:rFonts w:hint="eastAsia" w:ascii="仿宋" w:hAnsi="仿宋" w:eastAsia="仿宋" w:cs="仿宋"/>
          <w:spacing w:val="6"/>
          <w:sz w:val="32"/>
          <w:szCs w:val="32"/>
        </w:rPr>
      </w:pPr>
    </w:p>
    <w:p w14:paraId="4D57D0CA">
      <w:pPr>
        <w:overflowPunct w:val="0"/>
        <w:spacing w:line="560" w:lineRule="exact"/>
        <w:ind w:firstLine="664" w:firstLineChars="200"/>
        <w:rPr>
          <w:rFonts w:hint="eastAsia" w:ascii="仿宋" w:hAnsi="仿宋" w:eastAsia="仿宋" w:cs="仿宋"/>
          <w:spacing w:val="6"/>
          <w:sz w:val="32"/>
          <w:szCs w:val="32"/>
        </w:rPr>
      </w:pPr>
    </w:p>
    <w:p w14:paraId="2DB28146">
      <w:pPr>
        <w:overflowPunct w:val="0"/>
        <w:spacing w:line="560" w:lineRule="exact"/>
        <w:ind w:firstLine="664" w:firstLineChars="200"/>
        <w:jc w:val="center"/>
        <w:rPr>
          <w:rFonts w:hint="eastAsia" w:ascii="仿宋" w:hAnsi="仿宋" w:eastAsia="仿宋" w:cs="仿宋"/>
          <w:spacing w:val="6"/>
          <w:sz w:val="32"/>
          <w:szCs w:val="32"/>
        </w:rPr>
      </w:pPr>
      <w:r>
        <w:rPr>
          <w:rFonts w:hint="eastAsia" w:ascii="仿宋" w:hAnsi="仿宋" w:eastAsia="仿宋" w:cs="仿宋"/>
          <w:spacing w:val="6"/>
          <w:sz w:val="32"/>
          <w:szCs w:val="32"/>
        </w:rPr>
        <w:t xml:space="preserve">                           </w:t>
      </w:r>
      <w:r>
        <w:rPr>
          <w:rFonts w:hint="eastAsia" w:ascii="仿宋" w:hAnsi="仿宋" w:eastAsia="仿宋" w:cs="仿宋"/>
          <w:spacing w:val="6"/>
          <w:sz w:val="32"/>
          <w:szCs w:val="32"/>
          <w:lang w:val="en-US" w:eastAsia="zh-CN"/>
        </w:rPr>
        <w:t xml:space="preserve">   </w:t>
      </w:r>
      <w:r>
        <w:rPr>
          <w:rFonts w:hint="eastAsia" w:ascii="仿宋" w:hAnsi="仿宋" w:eastAsia="仿宋" w:cs="仿宋"/>
          <w:spacing w:val="6"/>
          <w:sz w:val="32"/>
          <w:szCs w:val="32"/>
        </w:rPr>
        <w:t>桐柏县民政局</w:t>
      </w:r>
    </w:p>
    <w:p w14:paraId="6D56ABBC">
      <w:pPr>
        <w:overflowPunct w:val="0"/>
        <w:spacing w:line="560" w:lineRule="exact"/>
        <w:ind w:firstLine="664" w:firstLineChars="200"/>
        <w:jc w:val="center"/>
        <w:rPr>
          <w:rFonts w:ascii="仿宋" w:hAnsi="仿宋" w:eastAsia="仿宋" w:cs="仿宋"/>
          <w:spacing w:val="6"/>
          <w:sz w:val="32"/>
          <w:szCs w:val="32"/>
        </w:rPr>
      </w:pPr>
      <w:r>
        <w:rPr>
          <w:rFonts w:hint="eastAsia" w:ascii="仿宋" w:hAnsi="仿宋" w:eastAsia="仿宋" w:cs="仿宋"/>
          <w:spacing w:val="6"/>
          <w:sz w:val="32"/>
          <w:szCs w:val="32"/>
        </w:rPr>
        <w:t xml:space="preserve">                              2025年3月27日</w:t>
      </w:r>
    </w:p>
    <w:p w14:paraId="49C3B203">
      <w:pPr>
        <w:overflowPunct w:val="0"/>
        <w:spacing w:line="560" w:lineRule="exact"/>
        <w:ind w:firstLine="664" w:firstLineChars="200"/>
        <w:rPr>
          <w:rFonts w:hint="eastAsia" w:ascii="仿宋" w:hAnsi="仿宋" w:eastAsia="仿宋" w:cs="仿宋"/>
          <w:spacing w:val="6"/>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0EFF">
    <w:pPr>
      <w:pStyle w:val="4"/>
      <w:jc w:val="center"/>
    </w:pPr>
    <w:r>
      <w:fldChar w:fldCharType="begin"/>
    </w:r>
    <w:r>
      <w:instrText xml:space="preserve">PAGE   \* MERGEFORMAT</w:instrText>
    </w:r>
    <w:r>
      <w:fldChar w:fldCharType="separate"/>
    </w:r>
    <w:r>
      <w:rPr>
        <w:lang w:val="zh-CN"/>
      </w:rPr>
      <w:t>4</w:t>
    </w:r>
    <w:r>
      <w:fldChar w:fldCharType="end"/>
    </w:r>
  </w:p>
  <w:p w14:paraId="7C2A08E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Yjg4ZGI1OWNmYmJkYWFiZTBiNDQyZGI4NmFhMjcifQ=="/>
  </w:docVars>
  <w:rsids>
    <w:rsidRoot w:val="00C86E92"/>
    <w:rsid w:val="000A21D5"/>
    <w:rsid w:val="00152C69"/>
    <w:rsid w:val="00225D09"/>
    <w:rsid w:val="00300118"/>
    <w:rsid w:val="00395FEE"/>
    <w:rsid w:val="003A4F60"/>
    <w:rsid w:val="004E541C"/>
    <w:rsid w:val="00556C1E"/>
    <w:rsid w:val="00685BAA"/>
    <w:rsid w:val="00751548"/>
    <w:rsid w:val="008F3275"/>
    <w:rsid w:val="00935A2A"/>
    <w:rsid w:val="00941135"/>
    <w:rsid w:val="00B2270A"/>
    <w:rsid w:val="00C47B78"/>
    <w:rsid w:val="00C761D2"/>
    <w:rsid w:val="00C86E92"/>
    <w:rsid w:val="00CD4BE1"/>
    <w:rsid w:val="00D14068"/>
    <w:rsid w:val="00D37D06"/>
    <w:rsid w:val="00E00550"/>
    <w:rsid w:val="00E34FAA"/>
    <w:rsid w:val="00FF53AB"/>
    <w:rsid w:val="02E672BB"/>
    <w:rsid w:val="1500766B"/>
    <w:rsid w:val="1AEC7123"/>
    <w:rsid w:val="289B0FA0"/>
    <w:rsid w:val="2C2D54F5"/>
    <w:rsid w:val="2DCF214E"/>
    <w:rsid w:val="33276F29"/>
    <w:rsid w:val="4CFD5655"/>
    <w:rsid w:val="54F8573F"/>
    <w:rsid w:val="5A6B7D9D"/>
    <w:rsid w:val="5C910A31"/>
    <w:rsid w:val="FFDB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asciiTheme="minorHAnsi" w:hAnsiTheme="minorHAnsi" w:eastAsiaTheme="minorEastAsia"/>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qFormat/>
    <w:uiPriority w:val="99"/>
    <w:rPr>
      <w:kern w:val="2"/>
      <w:sz w:val="18"/>
      <w:szCs w:val="18"/>
    </w:rPr>
  </w:style>
  <w:style w:type="character" w:customStyle="1" w:styleId="14">
    <w:name w:val="标题 1 Char"/>
    <w:basedOn w:val="9"/>
    <w:link w:val="2"/>
    <w:qFormat/>
    <w:uiPriority w:val="0"/>
    <w:rPr>
      <w:rFonts w:ascii="宋体" w:hAnsi="宋体" w:cs="Times New Roman"/>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1752</Words>
  <Characters>1799</Characters>
  <Lines>13</Lines>
  <Paragraphs>3</Paragraphs>
  <TotalTime>6</TotalTime>
  <ScaleCrop>false</ScaleCrop>
  <LinksUpToDate>false</LinksUpToDate>
  <CharactersWithSpaces>1863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2024-04-25T08:54:00Z</dcterms:created>
  <dc:creator>MM</dc:creator>
  <cp:lastModifiedBy>稻香</cp:lastModifiedBy>
  <cp:lastPrinted>2026-05-19T11:43:00Z</cp:lastPrinted>
  <dcterms:modified xsi:type="dcterms:W3CDTF">2026-05-19T07:26:36Z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4AA87AA5017B4A59A544340FD66EC8BB_13</vt:lpwstr>
  </property>
  <property fmtid="{D5CDD505-2E9C-101B-9397-08002B2CF9AE}" pid="4" name="KSOTemplateDocerSaveRecord">
    <vt:lpwstr>eyJoZGlkIjoiYjZhYmFlMTQyYzYyYmM1ZDc3N2IxYjY2MThmOWI4ZmUiLCJ1c2VySWQiOiI0NDMyMTYxMTcifQ==</vt:lpwstr>
  </property>
</Properties>
</file>