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53C8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right="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 w14:paraId="113375C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right="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9E9D14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桐柏县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城镇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土地基准地价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说明</w:t>
      </w:r>
      <w:bookmarkEnd w:id="0"/>
    </w:p>
    <w:p w14:paraId="69FC7B8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6155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  <w:t>1.本基准地价适用于桐柏县范围内的国有土地。</w:t>
      </w:r>
    </w:p>
    <w:p w14:paraId="5659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  <w:t>2.基准地价内涵为正常市场条件下，各用途各土地级别区域内，设定土地开发程度、容积率等条件下的国有出让土地使用权平均价格。</w:t>
      </w:r>
    </w:p>
    <w:p w14:paraId="285A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  <w:t>3.用途：商服用地（不含商务金融）、商务金融用地、住宅用地、工矿仓储用地、公共管理与公共服务用地、交通运输用地。</w:t>
      </w:r>
    </w:p>
    <w:p w14:paraId="06238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  <w:t>4.桐柏县中心城区标准容积率：商服用地（不含商务金融）1.6、商务金融用地1.8、住宅用地1.8、工矿仓储用地1.0、公共管理与公共服务用地1.5、交通运输用地1.0。桐柏县各乡镇标准积率：商服用地1.6、住宅用地1.8、工矿仓储用地1.0、公共管理与公共服务用地1.5。</w:t>
      </w:r>
    </w:p>
    <w:p w14:paraId="56C82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  <w:t>5.年期：均为法定最高出让年限，即商服用地（不含商务金融用地）40年、商务金融用地40年、住宅用地70年、工矿仓储用地50年、公共管理与公共服务用地50年、交通运输用地50年。</w:t>
      </w:r>
    </w:p>
    <w:p w14:paraId="0A8C6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  <w:t>6.桐柏县中心城区开发程度：五通一平（通路、通电、通讯、通上水、通下水及场地平整）。桐柏县各乡镇开发程度：三通一平（通路、通电、通上水和场地平整）。</w:t>
      </w:r>
    </w:p>
    <w:p w14:paraId="7CADA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  <w:t>7.基准日：2023年1月1日。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5B1D17"/>
    <w:multiLevelType w:val="multilevel"/>
    <w:tmpl w:val="785B1D17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E4EC4"/>
    <w:rsid w:val="01A1683A"/>
    <w:rsid w:val="05293C5E"/>
    <w:rsid w:val="0C635D0F"/>
    <w:rsid w:val="28726E69"/>
    <w:rsid w:val="4F3E4EC4"/>
    <w:rsid w:val="50C12786"/>
    <w:rsid w:val="63B0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0" w:line="560" w:lineRule="exact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40" w:after="140" w:line="413" w:lineRule="auto"/>
      <w:jc w:val="left"/>
      <w:outlineLvl w:val="1"/>
    </w:pPr>
    <w:rPr>
      <w:rFonts w:ascii="Arial" w:hAnsi="Arial" w:eastAsia="楷体"/>
      <w:sz w:val="32"/>
    </w:rPr>
  </w:style>
  <w:style w:type="paragraph" w:styleId="3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3 Char Char + 黑体 四号 非加粗 段前: 0 磅 段后: 0 磅 行距: 固定值 30 磅"/>
    <w:basedOn w:val="3"/>
    <w:qFormat/>
    <w:uiPriority w:val="0"/>
    <w:pPr>
      <w:spacing w:before="240" w:after="240" w:line="240" w:lineRule="auto"/>
    </w:pPr>
    <w:rPr>
      <w:rFonts w:ascii="黑体" w:eastAsia="黑体" w:cs="宋体"/>
      <w:sz w:val="24"/>
      <w:szCs w:val="20"/>
    </w:rPr>
  </w:style>
  <w:style w:type="paragraph" w:styleId="6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等线" w:hAnsi="等线" w:cs="Times New Roman"/>
      <w:snapToGrid/>
      <w:color w:val="auto"/>
      <w:kern w:val="2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character" w:customStyle="1" w:styleId="10">
    <w:name w:val="标题 2 Char"/>
    <w:link w:val="5"/>
    <w:qFormat/>
    <w:uiPriority w:val="0"/>
    <w:rPr>
      <w:rFonts w:ascii="Arial" w:hAnsi="Arial" w:eastAsia="楷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2026-05-12T08:51:00Z</dcterms:created>
  <dc:creator>回忆</dc:creator>
  <cp:lastModifiedBy>回忆</cp:lastModifiedBy>
  <dcterms:modified xsi:type="dcterms:W3CDTF">2026-05-12T08:53:00Z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70F7D2A5AF5D4A44A68D422D6EB7E5A2_13</vt:lpwstr>
  </property>
  <property fmtid="{D5CDD505-2E9C-101B-9397-08002B2CF9AE}" pid="4" name="KSOTemplateDocerSaveRecord">
    <vt:lpwstr>eyJoZGlkIjoiZDY4ZWQwZTExNTQ0ZTRjNGZkMmFmMWUwMzU5OGQ1Y2IiLCJ1c2VySWQiOiIxMDc3NDYzODI2In0=</vt:lpwstr>
  </property>
</Properties>
</file>