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520C60">
      <w:pPr>
        <w:spacing w:line="264" w:lineRule="auto"/>
        <w:rPr>
          <w:rFonts w:ascii="Arial"/>
          <w:sz w:val="21"/>
        </w:rPr>
      </w:pPr>
    </w:p>
    <w:p w14:paraId="1F1123AE">
      <w:pPr>
        <w:spacing w:line="264" w:lineRule="auto"/>
        <w:rPr>
          <w:rFonts w:ascii="Arial"/>
          <w:sz w:val="21"/>
        </w:rPr>
      </w:pPr>
    </w:p>
    <w:p w14:paraId="33F5586C">
      <w:pPr>
        <w:spacing w:line="264" w:lineRule="auto"/>
        <w:rPr>
          <w:rFonts w:ascii="Arial"/>
          <w:sz w:val="21"/>
        </w:rPr>
      </w:pPr>
    </w:p>
    <w:p w14:paraId="0085773C">
      <w:pPr>
        <w:spacing w:line="264" w:lineRule="auto"/>
        <w:rPr>
          <w:rFonts w:ascii="Arial"/>
          <w:sz w:val="21"/>
        </w:rPr>
      </w:pPr>
    </w:p>
    <w:p w14:paraId="2733A521">
      <w:pPr>
        <w:spacing w:line="264" w:lineRule="auto"/>
        <w:rPr>
          <w:rFonts w:ascii="Arial"/>
          <w:sz w:val="21"/>
        </w:rPr>
      </w:pPr>
    </w:p>
    <w:p w14:paraId="2B278271">
      <w:pPr>
        <w:spacing w:line="265" w:lineRule="auto"/>
        <w:rPr>
          <w:rFonts w:ascii="Arial"/>
          <w:sz w:val="21"/>
        </w:rPr>
      </w:pPr>
    </w:p>
    <w:p w14:paraId="1CDED8B8">
      <w:pPr>
        <w:spacing w:line="265" w:lineRule="auto"/>
        <w:rPr>
          <w:rFonts w:ascii="Arial"/>
          <w:sz w:val="21"/>
        </w:rPr>
      </w:pPr>
    </w:p>
    <w:p w14:paraId="75E32150">
      <w:pPr>
        <w:spacing w:line="265" w:lineRule="auto"/>
        <w:rPr>
          <w:rFonts w:ascii="Arial"/>
          <w:sz w:val="21"/>
        </w:rPr>
      </w:pPr>
    </w:p>
    <w:p w14:paraId="70071893">
      <w:pPr>
        <w:spacing w:line="265" w:lineRule="auto"/>
        <w:rPr>
          <w:rFonts w:ascii="Arial"/>
          <w:sz w:val="21"/>
        </w:rPr>
      </w:pPr>
    </w:p>
    <w:p w14:paraId="75ED3302">
      <w:pPr>
        <w:spacing w:line="265" w:lineRule="auto"/>
        <w:rPr>
          <w:rFonts w:ascii="Arial"/>
          <w:sz w:val="21"/>
        </w:rPr>
      </w:pPr>
    </w:p>
    <w:p w14:paraId="08281F4B">
      <w:pPr>
        <w:spacing w:line="265" w:lineRule="auto"/>
        <w:rPr>
          <w:rFonts w:ascii="Arial"/>
          <w:sz w:val="21"/>
        </w:rPr>
      </w:pPr>
    </w:p>
    <w:p w14:paraId="1F2C5A60">
      <w:pPr>
        <w:spacing w:line="265" w:lineRule="auto"/>
        <w:rPr>
          <w:rFonts w:ascii="Arial"/>
          <w:sz w:val="21"/>
        </w:rPr>
      </w:pPr>
    </w:p>
    <w:p w14:paraId="416086A2">
      <w:pPr>
        <w:spacing w:line="285" w:lineRule="auto"/>
        <w:rPr>
          <w:rFonts w:ascii="Arial"/>
          <w:sz w:val="21"/>
        </w:rPr>
      </w:pPr>
    </w:p>
    <w:p w14:paraId="69378B06">
      <w:pPr>
        <w:spacing w:line="285" w:lineRule="auto"/>
        <w:rPr>
          <w:rFonts w:ascii="Arial"/>
          <w:sz w:val="21"/>
        </w:rPr>
      </w:pPr>
    </w:p>
    <w:p w14:paraId="58A4F04E">
      <w:pPr>
        <w:spacing w:line="285" w:lineRule="auto"/>
        <w:rPr>
          <w:rFonts w:ascii="Arial"/>
          <w:sz w:val="21"/>
        </w:rPr>
      </w:pPr>
    </w:p>
    <w:p w14:paraId="68E30CE3">
      <w:pPr>
        <w:spacing w:line="285" w:lineRule="auto"/>
        <w:rPr>
          <w:rFonts w:ascii="Arial"/>
          <w:sz w:val="21"/>
        </w:rPr>
      </w:pPr>
    </w:p>
    <w:p w14:paraId="43B28F5E">
      <w:pPr>
        <w:spacing w:line="285" w:lineRule="auto"/>
        <w:rPr>
          <w:rFonts w:ascii="Arial"/>
          <w:sz w:val="21"/>
        </w:rPr>
      </w:pPr>
    </w:p>
    <w:p w14:paraId="640AD633">
      <w:pPr>
        <w:spacing w:line="285" w:lineRule="auto"/>
        <w:rPr>
          <w:rFonts w:ascii="Arial"/>
          <w:sz w:val="21"/>
        </w:rPr>
      </w:pPr>
    </w:p>
    <w:p w14:paraId="71514062">
      <w:pPr>
        <w:spacing w:line="286" w:lineRule="auto"/>
        <w:rPr>
          <w:rFonts w:ascii="Arial"/>
          <w:sz w:val="21"/>
        </w:rPr>
      </w:pPr>
    </w:p>
    <w:p w14:paraId="01433B69">
      <w:pPr>
        <w:spacing w:before="137" w:line="219" w:lineRule="auto"/>
        <w:ind w:left="2325"/>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20"/>
          <w:sz w:val="44"/>
          <w:szCs w:val="44"/>
          <w:lang w:val="en-US" w:eastAsia="zh-CN"/>
        </w:rPr>
        <w:t>桐柏县</w:t>
      </w:r>
      <w:r>
        <w:rPr>
          <w:rFonts w:hint="eastAsia" w:ascii="方正小标宋简体" w:hAnsi="方正小标宋简体" w:eastAsia="方正小标宋简体" w:cs="方正小标宋简体"/>
          <w:b w:val="0"/>
          <w:bCs w:val="0"/>
          <w:spacing w:val="-20"/>
          <w:sz w:val="44"/>
          <w:szCs w:val="44"/>
        </w:rPr>
        <w:t>人民政府办公室</w:t>
      </w:r>
    </w:p>
    <w:p w14:paraId="160FD78E">
      <w:pPr>
        <w:spacing w:before="164" w:line="219" w:lineRule="auto"/>
        <w:ind w:left="1105"/>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18"/>
          <w:sz w:val="44"/>
          <w:szCs w:val="44"/>
        </w:rPr>
        <w:t>关于印发</w:t>
      </w:r>
      <w:r>
        <w:rPr>
          <w:rFonts w:hint="eastAsia" w:ascii="方正小标宋简体" w:hAnsi="方正小标宋简体" w:eastAsia="方正小标宋简体" w:cs="方正小标宋简体"/>
          <w:b w:val="0"/>
          <w:bCs w:val="0"/>
          <w:spacing w:val="-18"/>
          <w:sz w:val="44"/>
          <w:szCs w:val="44"/>
          <w:lang w:val="en-US" w:eastAsia="zh-CN"/>
        </w:rPr>
        <w:t>桐柏县</w:t>
      </w:r>
      <w:r>
        <w:rPr>
          <w:rFonts w:hint="eastAsia" w:ascii="方正小标宋简体" w:hAnsi="方正小标宋简体" w:eastAsia="方正小标宋简体" w:cs="方正小标宋简体"/>
          <w:b w:val="0"/>
          <w:bCs w:val="0"/>
          <w:spacing w:val="-18"/>
          <w:sz w:val="44"/>
          <w:szCs w:val="44"/>
        </w:rPr>
        <w:t>城市基础设施配套费</w:t>
      </w:r>
    </w:p>
    <w:p w14:paraId="523DDCE9">
      <w:pPr>
        <w:spacing w:before="152" w:line="219" w:lineRule="auto"/>
        <w:ind w:left="2515"/>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17"/>
          <w:sz w:val="44"/>
          <w:szCs w:val="44"/>
        </w:rPr>
        <w:t>征收管理办法的通知</w:t>
      </w:r>
    </w:p>
    <w:p w14:paraId="69CDEEFA">
      <w:pPr>
        <w:spacing w:line="441" w:lineRule="auto"/>
        <w:rPr>
          <w:rFonts w:ascii="Arial"/>
          <w:sz w:val="21"/>
        </w:rPr>
      </w:pPr>
    </w:p>
    <w:p w14:paraId="7796324B">
      <w:pPr>
        <w:pStyle w:val="3"/>
        <w:spacing w:before="95" w:line="344" w:lineRule="auto"/>
        <w:ind w:left="60" w:right="1905"/>
        <w:rPr>
          <w:rFonts w:hint="eastAsia" w:ascii="仿宋_GB2312" w:hAnsi="仿宋_GB2312" w:eastAsia="仿宋_GB2312" w:cs="仿宋_GB2312"/>
          <w:sz w:val="32"/>
          <w:szCs w:val="32"/>
        </w:rPr>
      </w:pPr>
      <w:r>
        <w:rPr>
          <w:rFonts w:hint="eastAsia" w:ascii="仿宋_GB2312" w:hAnsi="仿宋_GB2312" w:eastAsia="仿宋_GB2312" w:cs="仿宋_GB2312"/>
          <w:spacing w:val="27"/>
          <w:sz w:val="32"/>
          <w:szCs w:val="32"/>
        </w:rPr>
        <w:t>各</w:t>
      </w:r>
      <w:r>
        <w:rPr>
          <w:rFonts w:hint="eastAsia" w:ascii="仿宋_GB2312" w:hAnsi="仿宋_GB2312" w:eastAsia="仿宋_GB2312" w:cs="仿宋_GB2312"/>
          <w:spacing w:val="27"/>
          <w:sz w:val="32"/>
          <w:szCs w:val="32"/>
          <w:lang w:val="en-US" w:eastAsia="zh-CN"/>
        </w:rPr>
        <w:t>乡镇</w:t>
      </w:r>
      <w:r>
        <w:rPr>
          <w:rFonts w:hint="eastAsia" w:ascii="仿宋_GB2312" w:hAnsi="仿宋_GB2312" w:eastAsia="仿宋_GB2312" w:cs="仿宋_GB2312"/>
          <w:spacing w:val="27"/>
          <w:sz w:val="32"/>
          <w:szCs w:val="32"/>
        </w:rPr>
        <w:t>人民政府</w:t>
      </w:r>
      <w:r>
        <w:rPr>
          <w:rFonts w:hint="eastAsia" w:ascii="仿宋_GB2312" w:hAnsi="仿宋_GB2312" w:eastAsia="仿宋_GB2312" w:cs="仿宋_GB2312"/>
          <w:spacing w:val="27"/>
          <w:sz w:val="32"/>
          <w:szCs w:val="32"/>
          <w:lang w:eastAsia="zh-CN"/>
        </w:rPr>
        <w:t>、</w:t>
      </w:r>
      <w:r>
        <w:rPr>
          <w:rFonts w:hint="eastAsia" w:ascii="仿宋_GB2312" w:hAnsi="仿宋_GB2312" w:eastAsia="仿宋_GB2312" w:cs="仿宋_GB2312"/>
          <w:spacing w:val="27"/>
          <w:sz w:val="32"/>
          <w:szCs w:val="32"/>
          <w:lang w:val="en-US" w:eastAsia="zh-CN"/>
        </w:rPr>
        <w:t>街道办事处、县</w:t>
      </w:r>
      <w:r>
        <w:rPr>
          <w:rFonts w:hint="eastAsia" w:ascii="仿宋_GB2312" w:hAnsi="仿宋_GB2312" w:eastAsia="仿宋_GB2312" w:cs="仿宋_GB2312"/>
          <w:spacing w:val="11"/>
          <w:sz w:val="32"/>
          <w:szCs w:val="32"/>
        </w:rPr>
        <w:t>政府</w:t>
      </w:r>
      <w:r>
        <w:rPr>
          <w:rFonts w:hint="eastAsia" w:ascii="仿宋_GB2312" w:hAnsi="仿宋_GB2312" w:eastAsia="仿宋_GB2312" w:cs="仿宋_GB2312"/>
          <w:spacing w:val="11"/>
          <w:sz w:val="32"/>
          <w:szCs w:val="32"/>
          <w:lang w:val="en-US" w:eastAsia="zh-CN"/>
        </w:rPr>
        <w:t>有关</w:t>
      </w:r>
      <w:r>
        <w:rPr>
          <w:rFonts w:hint="eastAsia" w:ascii="仿宋_GB2312" w:hAnsi="仿宋_GB2312" w:eastAsia="仿宋_GB2312" w:cs="仿宋_GB2312"/>
          <w:spacing w:val="11"/>
          <w:sz w:val="32"/>
          <w:szCs w:val="32"/>
        </w:rPr>
        <w:t>部门：</w:t>
      </w:r>
    </w:p>
    <w:p w14:paraId="371888E3">
      <w:pPr>
        <w:pStyle w:val="3"/>
        <w:spacing w:before="1" w:line="354" w:lineRule="auto"/>
        <w:ind w:left="60" w:right="1924" w:firstLine="425"/>
        <w:rPr>
          <w:rFonts w:hint="eastAsia" w:ascii="仿宋_GB2312" w:hAnsi="仿宋_GB2312" w:eastAsia="仿宋_GB2312" w:cs="仿宋_GB2312"/>
          <w:sz w:val="32"/>
          <w:szCs w:val="32"/>
        </w:rPr>
      </w:pPr>
      <w:r>
        <w:rPr>
          <w:rFonts w:hint="eastAsia" w:ascii="仿宋_GB2312" w:hAnsi="仿宋_GB2312" w:eastAsia="仿宋_GB2312" w:cs="仿宋_GB2312"/>
          <w:spacing w:val="23"/>
          <w:sz w:val="32"/>
          <w:szCs w:val="32"/>
        </w:rPr>
        <w:t>《</w:t>
      </w:r>
      <w:r>
        <w:rPr>
          <w:rFonts w:hint="eastAsia" w:ascii="仿宋_GB2312" w:hAnsi="仿宋_GB2312" w:eastAsia="仿宋_GB2312" w:cs="仿宋_GB2312"/>
          <w:spacing w:val="23"/>
          <w:sz w:val="32"/>
          <w:szCs w:val="32"/>
          <w:lang w:val="en-US" w:eastAsia="zh-CN"/>
        </w:rPr>
        <w:t>桐柏县</w:t>
      </w:r>
      <w:r>
        <w:rPr>
          <w:rFonts w:hint="eastAsia" w:ascii="仿宋_GB2312" w:hAnsi="仿宋_GB2312" w:eastAsia="仿宋_GB2312" w:cs="仿宋_GB2312"/>
          <w:spacing w:val="23"/>
          <w:sz w:val="32"/>
          <w:szCs w:val="32"/>
        </w:rPr>
        <w:t>城市基础设施配套费征收管理办法》已</w:t>
      </w:r>
      <w:r>
        <w:rPr>
          <w:rFonts w:hint="eastAsia" w:ascii="仿宋_GB2312" w:hAnsi="仿宋_GB2312" w:eastAsia="仿宋_GB2312" w:cs="仿宋_GB2312"/>
          <w:spacing w:val="22"/>
          <w:sz w:val="32"/>
          <w:szCs w:val="32"/>
        </w:rPr>
        <w:t>经</w:t>
      </w:r>
      <w:r>
        <w:rPr>
          <w:rFonts w:hint="eastAsia" w:ascii="仿宋_GB2312" w:hAnsi="仿宋_GB2312" w:eastAsia="仿宋_GB2312" w:cs="仿宋_GB2312"/>
          <w:spacing w:val="22"/>
          <w:sz w:val="32"/>
          <w:szCs w:val="32"/>
          <w:lang w:val="en-US" w:eastAsia="zh-CN"/>
        </w:rPr>
        <w:t>县</w:t>
      </w:r>
      <w:r>
        <w:rPr>
          <w:rFonts w:hint="eastAsia" w:ascii="仿宋_GB2312" w:hAnsi="仿宋_GB2312" w:eastAsia="仿宋_GB2312" w:cs="仿宋_GB2312"/>
          <w:spacing w:val="22"/>
          <w:sz w:val="32"/>
          <w:szCs w:val="32"/>
        </w:rPr>
        <w:t>政府同</w:t>
      </w:r>
      <w:r>
        <w:rPr>
          <w:rFonts w:hint="eastAsia" w:ascii="仿宋_GB2312" w:hAnsi="仿宋_GB2312" w:eastAsia="仿宋_GB2312" w:cs="仿宋_GB2312"/>
          <w:spacing w:val="6"/>
          <w:sz w:val="32"/>
          <w:szCs w:val="32"/>
        </w:rPr>
        <w:t>意，现印发给你们，请认真贯彻执行。</w:t>
      </w:r>
    </w:p>
    <w:p w14:paraId="2115BC64">
      <w:pPr>
        <w:spacing w:line="264" w:lineRule="auto"/>
        <w:rPr>
          <w:rFonts w:hint="eastAsia" w:ascii="仿宋_GB2312" w:hAnsi="仿宋_GB2312" w:eastAsia="仿宋_GB2312" w:cs="仿宋_GB2312"/>
          <w:sz w:val="32"/>
          <w:szCs w:val="32"/>
        </w:rPr>
      </w:pPr>
    </w:p>
    <w:p w14:paraId="15A8EFC9">
      <w:pPr>
        <w:spacing w:line="264" w:lineRule="auto"/>
        <w:rPr>
          <w:rFonts w:hint="eastAsia" w:ascii="仿宋_GB2312" w:hAnsi="仿宋_GB2312" w:eastAsia="仿宋_GB2312" w:cs="仿宋_GB2312"/>
          <w:sz w:val="32"/>
          <w:szCs w:val="32"/>
        </w:rPr>
      </w:pPr>
    </w:p>
    <w:p w14:paraId="63AB4A3D">
      <w:pPr>
        <w:spacing w:line="264" w:lineRule="auto"/>
        <w:rPr>
          <w:rFonts w:hint="eastAsia" w:ascii="仿宋_GB2312" w:hAnsi="仿宋_GB2312" w:eastAsia="仿宋_GB2312" w:cs="仿宋_GB2312"/>
          <w:sz w:val="32"/>
          <w:szCs w:val="32"/>
        </w:rPr>
      </w:pPr>
    </w:p>
    <w:p w14:paraId="22E87358">
      <w:pPr>
        <w:spacing w:line="264" w:lineRule="auto"/>
        <w:rPr>
          <w:rFonts w:hint="eastAsia" w:ascii="仿宋_GB2312" w:hAnsi="仿宋_GB2312" w:eastAsia="仿宋_GB2312" w:cs="仿宋_GB2312"/>
          <w:sz w:val="32"/>
          <w:szCs w:val="32"/>
        </w:rPr>
      </w:pPr>
    </w:p>
    <w:p w14:paraId="307C8322">
      <w:pPr>
        <w:spacing w:line="264" w:lineRule="auto"/>
        <w:rPr>
          <w:rFonts w:hint="eastAsia" w:ascii="仿宋_GB2312" w:hAnsi="仿宋_GB2312" w:eastAsia="仿宋_GB2312" w:cs="仿宋_GB2312"/>
          <w:sz w:val="32"/>
          <w:szCs w:val="32"/>
        </w:rPr>
      </w:pPr>
    </w:p>
    <w:p w14:paraId="6C7880F2">
      <w:pPr>
        <w:pStyle w:val="3"/>
        <w:spacing w:before="1" w:line="354" w:lineRule="auto"/>
        <w:ind w:right="1924" w:firstLine="5644" w:firstLineChars="1700"/>
        <w:jc w:val="both"/>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lang w:val="en-US" w:eastAsia="zh-CN"/>
        </w:rPr>
        <w:t xml:space="preserve">  </w:t>
      </w:r>
      <w:r>
        <w:rPr>
          <w:rFonts w:hint="eastAsia" w:ascii="仿宋_GB2312" w:hAnsi="仿宋_GB2312" w:eastAsia="仿宋_GB2312" w:cs="仿宋_GB2312"/>
          <w:spacing w:val="6"/>
          <w:sz w:val="32"/>
          <w:szCs w:val="32"/>
        </w:rPr>
        <w:t>20</w:t>
      </w:r>
      <w:r>
        <w:rPr>
          <w:rFonts w:hint="eastAsia" w:ascii="仿宋_GB2312" w:hAnsi="仿宋_GB2312" w:eastAsia="仿宋_GB2312" w:cs="仿宋_GB2312"/>
          <w:spacing w:val="6"/>
          <w:sz w:val="32"/>
          <w:szCs w:val="32"/>
          <w:lang w:val="en-US" w:eastAsia="zh-CN"/>
        </w:rPr>
        <w:t>26</w:t>
      </w:r>
      <w:r>
        <w:rPr>
          <w:rFonts w:hint="eastAsia" w:ascii="仿宋_GB2312" w:hAnsi="仿宋_GB2312" w:eastAsia="仿宋_GB2312" w:cs="仿宋_GB2312"/>
          <w:spacing w:val="6"/>
          <w:sz w:val="32"/>
          <w:szCs w:val="32"/>
        </w:rPr>
        <w:t xml:space="preserve">年 月 </w:t>
      </w:r>
      <w:bookmarkStart w:id="0" w:name="_GoBack"/>
      <w:bookmarkEnd w:id="0"/>
      <w:r>
        <w:rPr>
          <w:rFonts w:hint="eastAsia" w:ascii="仿宋_GB2312" w:hAnsi="仿宋_GB2312" w:eastAsia="仿宋_GB2312" w:cs="仿宋_GB2312"/>
          <w:spacing w:val="6"/>
          <w:sz w:val="32"/>
          <w:szCs w:val="32"/>
        </w:rPr>
        <w:t xml:space="preserve"> 日</w:t>
      </w:r>
    </w:p>
    <w:p w14:paraId="2425EF5E">
      <w:pPr>
        <w:spacing w:line="222" w:lineRule="auto"/>
        <w:rPr>
          <w:rFonts w:hint="eastAsia" w:ascii="仿宋_GB2312" w:hAnsi="仿宋_GB2312" w:eastAsia="仿宋_GB2312" w:cs="仿宋_GB2312"/>
          <w:sz w:val="32"/>
          <w:szCs w:val="32"/>
        </w:rPr>
        <w:sectPr>
          <w:footerReference r:id="rId5" w:type="default"/>
          <w:pgSz w:w="12430" w:h="17190"/>
          <w:pgMar w:top="427" w:right="345" w:bottom="2610" w:left="1539" w:header="0" w:footer="2245" w:gutter="0"/>
          <w:cols w:space="720" w:num="1"/>
        </w:sectPr>
      </w:pPr>
    </w:p>
    <w:p w14:paraId="7C749643">
      <w:pPr>
        <w:spacing w:line="348" w:lineRule="auto"/>
        <w:rPr>
          <w:rFonts w:ascii="Arial"/>
          <w:sz w:val="21"/>
        </w:rPr>
      </w:pPr>
    </w:p>
    <w:p w14:paraId="0B42523A">
      <w:pPr>
        <w:spacing w:line="348" w:lineRule="auto"/>
        <w:rPr>
          <w:rFonts w:ascii="Arial"/>
          <w:sz w:val="21"/>
        </w:rPr>
      </w:pPr>
    </w:p>
    <w:p w14:paraId="1E5B23D1">
      <w:pPr>
        <w:spacing w:before="130" w:line="219" w:lineRule="auto"/>
        <w:jc w:val="center"/>
        <w:rPr>
          <w:rFonts w:hint="eastAsia" w:ascii="黑体" w:hAnsi="黑体" w:eastAsia="黑体" w:cs="黑体"/>
          <w:b w:val="0"/>
          <w:bCs w:val="0"/>
          <w:sz w:val="44"/>
          <w:szCs w:val="44"/>
        </w:rPr>
      </w:pPr>
      <w:r>
        <w:rPr>
          <w:rFonts w:hint="eastAsia" w:ascii="方正小标宋简体" w:hAnsi="方正小标宋简体" w:eastAsia="方正小标宋简体" w:cs="方正小标宋简体"/>
          <w:b w:val="0"/>
          <w:bCs w:val="0"/>
          <w:spacing w:val="-1"/>
          <w:sz w:val="44"/>
          <w:szCs w:val="44"/>
          <w:lang w:val="en-US" w:eastAsia="zh-CN"/>
        </w:rPr>
        <w:t>桐柏县</w:t>
      </w:r>
      <w:r>
        <w:rPr>
          <w:rFonts w:hint="eastAsia" w:ascii="方正小标宋简体" w:hAnsi="方正小标宋简体" w:eastAsia="方正小标宋简体" w:cs="方正小标宋简体"/>
          <w:b w:val="0"/>
          <w:bCs w:val="0"/>
          <w:spacing w:val="-1"/>
          <w:sz w:val="44"/>
          <w:szCs w:val="44"/>
        </w:rPr>
        <w:t>城市基础设施配套费征收管理办法</w:t>
      </w:r>
    </w:p>
    <w:p w14:paraId="5F53C270">
      <w:pPr>
        <w:spacing w:line="456" w:lineRule="auto"/>
        <w:rPr>
          <w:rFonts w:ascii="Arial"/>
          <w:sz w:val="21"/>
        </w:rPr>
      </w:pPr>
    </w:p>
    <w:p w14:paraId="42D3581E">
      <w:pPr>
        <w:pStyle w:val="3"/>
        <w:spacing w:before="94" w:line="303" w:lineRule="auto"/>
        <w:ind w:left="13" w:firstLine="61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pacing w:val="22"/>
          <w:sz w:val="32"/>
          <w:szCs w:val="32"/>
        </w:rPr>
        <w:t>第一条</w:t>
      </w:r>
      <w:r>
        <w:rPr>
          <w:rFonts w:hint="eastAsia" w:ascii="仿宋_GB2312" w:hAnsi="仿宋_GB2312" w:eastAsia="仿宋_GB2312" w:cs="仿宋_GB2312"/>
          <w:spacing w:val="22"/>
          <w:sz w:val="32"/>
          <w:szCs w:val="32"/>
        </w:rPr>
        <w:t xml:space="preserve">  </w:t>
      </w:r>
      <w:r>
        <w:rPr>
          <w:rFonts w:hint="eastAsia" w:ascii="仿宋_GB2312" w:hAnsi="仿宋_GB2312" w:eastAsia="仿宋_GB2312" w:cs="仿宋_GB2312"/>
          <w:spacing w:val="27"/>
          <w:sz w:val="32"/>
          <w:szCs w:val="32"/>
        </w:rPr>
        <w:t>为进一步规范城市基础设施配套费(以下简称城市配套费)的征收管理，促进城市基础设施建设，根据有关法律、法规及国家、省</w:t>
      </w:r>
      <w:r>
        <w:rPr>
          <w:rFonts w:hint="eastAsia" w:ascii="仿宋_GB2312" w:hAnsi="仿宋_GB2312" w:eastAsia="仿宋_GB2312" w:cs="仿宋_GB2312"/>
          <w:spacing w:val="27"/>
          <w:sz w:val="32"/>
          <w:szCs w:val="32"/>
          <w:lang w:val="en-US" w:eastAsia="zh-CN"/>
        </w:rPr>
        <w:t>市</w:t>
      </w:r>
      <w:r>
        <w:rPr>
          <w:rFonts w:hint="eastAsia" w:ascii="仿宋_GB2312" w:hAnsi="仿宋_GB2312" w:eastAsia="仿宋_GB2312" w:cs="仿宋_GB2312"/>
          <w:spacing w:val="27"/>
          <w:sz w:val="32"/>
          <w:szCs w:val="32"/>
        </w:rPr>
        <w:t>有关文件精神，结合我</w:t>
      </w:r>
      <w:r>
        <w:rPr>
          <w:rFonts w:hint="eastAsia" w:ascii="仿宋_GB2312" w:hAnsi="仿宋_GB2312" w:eastAsia="仿宋_GB2312" w:cs="仿宋_GB2312"/>
          <w:spacing w:val="27"/>
          <w:sz w:val="32"/>
          <w:szCs w:val="32"/>
          <w:lang w:val="en-US" w:eastAsia="zh-CN"/>
        </w:rPr>
        <w:t>县</w:t>
      </w:r>
      <w:r>
        <w:rPr>
          <w:rFonts w:hint="eastAsia" w:ascii="仿宋_GB2312" w:hAnsi="仿宋_GB2312" w:eastAsia="仿宋_GB2312" w:cs="仿宋_GB2312"/>
          <w:spacing w:val="27"/>
          <w:sz w:val="32"/>
          <w:szCs w:val="32"/>
        </w:rPr>
        <w:t>实际制定本办法</w:t>
      </w:r>
      <w:r>
        <w:rPr>
          <w:rFonts w:hint="eastAsia" w:ascii="仿宋_GB2312" w:hAnsi="仿宋_GB2312" w:eastAsia="仿宋_GB2312" w:cs="仿宋_GB2312"/>
          <w:spacing w:val="27"/>
          <w:sz w:val="32"/>
          <w:szCs w:val="32"/>
          <w:lang w:eastAsia="zh-CN"/>
        </w:rPr>
        <w:t>。</w:t>
      </w:r>
    </w:p>
    <w:p w14:paraId="29FF3593">
      <w:pPr>
        <w:pStyle w:val="3"/>
        <w:spacing w:before="191" w:line="294" w:lineRule="auto"/>
        <w:ind w:left="13" w:right="125" w:firstLine="610"/>
        <w:jc w:val="both"/>
        <w:rPr>
          <w:rFonts w:hint="eastAsia" w:ascii="仿宋_GB2312" w:hAnsi="仿宋_GB2312" w:eastAsia="仿宋_GB2312" w:cs="仿宋_GB2312"/>
          <w:spacing w:val="27"/>
          <w:sz w:val="32"/>
          <w:szCs w:val="32"/>
        </w:rPr>
      </w:pPr>
      <w:r>
        <w:rPr>
          <w:rFonts w:hint="eastAsia" w:ascii="仿宋_GB2312" w:hAnsi="仿宋_GB2312" w:eastAsia="仿宋_GB2312" w:cs="仿宋_GB2312"/>
          <w:b/>
          <w:bCs/>
          <w:spacing w:val="16"/>
          <w:sz w:val="32"/>
          <w:szCs w:val="32"/>
        </w:rPr>
        <w:t>第二条</w:t>
      </w:r>
      <w:r>
        <w:rPr>
          <w:rFonts w:hint="eastAsia" w:ascii="仿宋_GB2312" w:hAnsi="仿宋_GB2312" w:eastAsia="仿宋_GB2312" w:cs="仿宋_GB2312"/>
          <w:spacing w:val="16"/>
          <w:sz w:val="32"/>
          <w:szCs w:val="32"/>
        </w:rPr>
        <w:t xml:space="preserve">  </w:t>
      </w:r>
      <w:r>
        <w:rPr>
          <w:rFonts w:hint="eastAsia" w:ascii="仿宋_GB2312" w:hAnsi="仿宋_GB2312" w:eastAsia="仿宋_GB2312" w:cs="仿宋_GB2312"/>
          <w:spacing w:val="27"/>
          <w:sz w:val="32"/>
          <w:szCs w:val="32"/>
        </w:rPr>
        <w:t>城市配套费是指根据城市建设的需要，为筹集城市基础设施建设资金，按照国家有关规定征收的政府性基金。</w:t>
      </w:r>
    </w:p>
    <w:p w14:paraId="5A0E52F7">
      <w:pPr>
        <w:pStyle w:val="3"/>
        <w:spacing w:before="175" w:line="324" w:lineRule="auto"/>
        <w:ind w:left="13" w:right="121" w:firstLine="610"/>
        <w:jc w:val="both"/>
        <w:rPr>
          <w:rFonts w:hint="eastAsia" w:ascii="仿宋_GB2312" w:hAnsi="仿宋_GB2312" w:eastAsia="仿宋_GB2312" w:cs="仿宋_GB2312"/>
          <w:color w:val="000000" w:themeColor="text1"/>
          <w:spacing w:val="27"/>
          <w:sz w:val="32"/>
          <w:szCs w:val="32"/>
          <w14:textFill>
            <w14:solidFill>
              <w14:schemeClr w14:val="tx1"/>
            </w14:solidFill>
          </w14:textFill>
        </w:rPr>
      </w:pPr>
      <w:r>
        <w:rPr>
          <w:rFonts w:hint="eastAsia" w:ascii="仿宋_GB2312" w:hAnsi="仿宋_GB2312" w:eastAsia="仿宋_GB2312" w:cs="仿宋_GB2312"/>
          <w:b/>
          <w:bCs/>
          <w:spacing w:val="34"/>
          <w:sz w:val="32"/>
          <w:szCs w:val="32"/>
        </w:rPr>
        <w:t>第三条</w:t>
      </w:r>
      <w:r>
        <w:rPr>
          <w:rFonts w:hint="eastAsia" w:ascii="仿宋_GB2312" w:hAnsi="仿宋_GB2312" w:eastAsia="仿宋_GB2312" w:cs="仿宋_GB2312"/>
          <w:spacing w:val="34"/>
          <w:sz w:val="32"/>
          <w:szCs w:val="32"/>
        </w:rPr>
        <w:t xml:space="preserve">  </w:t>
      </w:r>
      <w:r>
        <w:rPr>
          <w:rFonts w:hint="eastAsia" w:ascii="仿宋_GB2312" w:hAnsi="仿宋_GB2312" w:eastAsia="仿宋_GB2312" w:cs="仿宋_GB2312"/>
          <w:spacing w:val="27"/>
          <w:sz w:val="32"/>
          <w:szCs w:val="32"/>
        </w:rPr>
        <w:t>凡在</w:t>
      </w:r>
      <w:r>
        <w:rPr>
          <w:rFonts w:hint="eastAsia" w:ascii="仿宋_GB2312" w:hAnsi="仿宋_GB2312" w:eastAsia="仿宋_GB2312" w:cs="仿宋_GB2312"/>
          <w:spacing w:val="27"/>
          <w:sz w:val="32"/>
          <w:szCs w:val="32"/>
          <w:lang w:val="en-US" w:eastAsia="zh-CN"/>
        </w:rPr>
        <w:t>县域</w:t>
      </w:r>
      <w:r>
        <w:rPr>
          <w:rFonts w:hint="eastAsia" w:ascii="仿宋_GB2312" w:hAnsi="仿宋_GB2312" w:eastAsia="仿宋_GB2312" w:cs="仿宋_GB2312"/>
          <w:b w:val="0"/>
          <w:bCs w:val="0"/>
          <w:color w:val="000000" w:themeColor="text1"/>
          <w:spacing w:val="27"/>
          <w:sz w:val="32"/>
          <w:szCs w:val="32"/>
          <w:lang w:val="en-US" w:eastAsia="zh-CN"/>
          <w14:textFill>
            <w14:solidFill>
              <w14:schemeClr w14:val="tx1"/>
            </w14:solidFill>
          </w14:textFill>
        </w:rPr>
        <w:t>城镇发展区和符合国土空间用途管制要求的其他特定区域</w:t>
      </w:r>
      <w:r>
        <w:rPr>
          <w:rFonts w:hint="eastAsia" w:ascii="仿宋_GB2312" w:hAnsi="仿宋_GB2312" w:eastAsia="仿宋_GB2312" w:cs="仿宋_GB2312"/>
          <w:color w:val="000000" w:themeColor="text1"/>
          <w:spacing w:val="27"/>
          <w:sz w:val="32"/>
          <w:szCs w:val="32"/>
          <w:lang w:val="en-US" w:eastAsia="zh-CN"/>
          <w14:textFill>
            <w14:solidFill>
              <w14:schemeClr w14:val="tx1"/>
            </w14:solidFill>
          </w14:textFill>
        </w:rPr>
        <w:t>范围内（</w:t>
      </w:r>
      <w:r>
        <w:rPr>
          <w:rFonts w:hint="eastAsia" w:ascii="仿宋_GB2312" w:hAnsi="仿宋_GB2312" w:eastAsia="仿宋_GB2312" w:cs="仿宋_GB2312"/>
          <w:color w:val="000000" w:themeColor="text1"/>
          <w:spacing w:val="27"/>
          <w:sz w:val="32"/>
          <w:szCs w:val="32"/>
          <w14:textFill>
            <w14:solidFill>
              <w14:schemeClr w14:val="tx1"/>
            </w14:solidFill>
          </w14:textFill>
        </w:rPr>
        <w:t>以</w:t>
      </w:r>
      <w:r>
        <w:rPr>
          <w:rFonts w:hint="eastAsia" w:ascii="仿宋_GB2312" w:hAnsi="仿宋_GB2312" w:eastAsia="仿宋_GB2312" w:cs="仿宋_GB2312"/>
          <w:color w:val="000000" w:themeColor="text1"/>
          <w:spacing w:val="27"/>
          <w:sz w:val="32"/>
          <w:szCs w:val="32"/>
          <w:lang w:val="en-US" w:eastAsia="zh-CN"/>
          <w14:textFill>
            <w14:solidFill>
              <w14:schemeClr w14:val="tx1"/>
            </w14:solidFill>
          </w14:textFill>
        </w:rPr>
        <w:t>桐柏县</w:t>
      </w:r>
      <w:r>
        <w:rPr>
          <w:rFonts w:hint="eastAsia" w:ascii="仿宋_GB2312" w:hAnsi="仿宋_GB2312" w:eastAsia="仿宋_GB2312" w:cs="仿宋_GB2312"/>
          <w:color w:val="000000" w:themeColor="text1"/>
          <w:spacing w:val="27"/>
          <w:sz w:val="32"/>
          <w:szCs w:val="32"/>
          <w14:textFill>
            <w14:solidFill>
              <w14:schemeClr w14:val="tx1"/>
            </w14:solidFill>
          </w14:textFill>
        </w:rPr>
        <w:t>国土空间规划界定为准)新建、扩建和改建建设项目</w:t>
      </w:r>
      <w:r>
        <w:rPr>
          <w:rFonts w:hint="eastAsia" w:ascii="仿宋_GB2312" w:hAnsi="仿宋_GB2312" w:eastAsia="仿宋_GB2312" w:cs="仿宋_GB2312"/>
          <w:color w:val="000000" w:themeColor="text1"/>
          <w:spacing w:val="27"/>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27"/>
          <w:sz w:val="32"/>
          <w:szCs w:val="32"/>
          <w:lang w:val="en-US" w:eastAsia="zh-CN"/>
          <w14:textFill>
            <w14:solidFill>
              <w14:schemeClr w14:val="tx1"/>
            </w14:solidFill>
          </w14:textFill>
        </w:rPr>
        <w:t>含临时建设项目</w:t>
      </w:r>
      <w:r>
        <w:rPr>
          <w:rFonts w:hint="eastAsia" w:ascii="仿宋_GB2312" w:hAnsi="仿宋_GB2312" w:eastAsia="仿宋_GB2312" w:cs="仿宋_GB2312"/>
          <w:color w:val="000000" w:themeColor="text1"/>
          <w:spacing w:val="27"/>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27"/>
          <w:sz w:val="32"/>
          <w:szCs w:val="32"/>
          <w14:textFill>
            <w14:solidFill>
              <w14:schemeClr w14:val="tx1"/>
            </w14:solidFill>
          </w14:textFill>
        </w:rPr>
        <w:t>的单位和个人，均应按照本办法缴纳城市配套费。</w:t>
      </w:r>
    </w:p>
    <w:p w14:paraId="7A6B7D71">
      <w:pPr>
        <w:pStyle w:val="3"/>
        <w:numPr>
          <w:ilvl w:val="0"/>
          <w:numId w:val="1"/>
        </w:numPr>
        <w:spacing w:before="188" w:line="286" w:lineRule="auto"/>
        <w:ind w:left="13" w:right="106" w:firstLine="610"/>
        <w:jc w:val="both"/>
        <w:rPr>
          <w:rFonts w:hint="eastAsia" w:ascii="仿宋_GB2312" w:hAnsi="仿宋_GB2312" w:eastAsia="仿宋_GB2312" w:cs="仿宋_GB2312"/>
          <w:color w:val="000000" w:themeColor="text1"/>
          <w:spacing w:val="27"/>
          <w:sz w:val="32"/>
          <w:szCs w:val="32"/>
          <w14:textFill>
            <w14:solidFill>
              <w14:schemeClr w14:val="tx1"/>
            </w14:solidFill>
          </w14:textFill>
        </w:rPr>
      </w:pPr>
      <w:r>
        <w:rPr>
          <w:rFonts w:hint="eastAsia" w:ascii="仿宋_GB2312" w:hAnsi="仿宋_GB2312" w:eastAsia="仿宋_GB2312" w:cs="仿宋_GB2312"/>
          <w:color w:val="000000" w:themeColor="text1"/>
          <w:spacing w:val="17"/>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27"/>
          <w:sz w:val="32"/>
          <w:szCs w:val="32"/>
          <w:lang w:val="en-US" w:eastAsia="zh-CN"/>
          <w14:textFill>
            <w14:solidFill>
              <w14:schemeClr w14:val="tx1"/>
            </w14:solidFill>
          </w14:textFill>
        </w:rPr>
        <w:t>县</w:t>
      </w:r>
      <w:r>
        <w:rPr>
          <w:rFonts w:hint="eastAsia" w:ascii="仿宋_GB2312" w:hAnsi="仿宋_GB2312" w:eastAsia="仿宋_GB2312" w:cs="仿宋_GB2312"/>
          <w:color w:val="000000" w:themeColor="text1"/>
          <w:spacing w:val="27"/>
          <w:sz w:val="32"/>
          <w:szCs w:val="32"/>
          <w14:textFill>
            <w14:solidFill>
              <w14:schemeClr w14:val="tx1"/>
            </w14:solidFill>
          </w14:textFill>
        </w:rPr>
        <w:t>财政局负责</w:t>
      </w:r>
      <w:r>
        <w:rPr>
          <w:rFonts w:hint="eastAsia" w:ascii="仿宋_GB2312" w:hAnsi="仿宋_GB2312" w:eastAsia="仿宋_GB2312" w:cs="仿宋_GB2312"/>
          <w:color w:val="000000" w:themeColor="text1"/>
          <w:spacing w:val="27"/>
          <w:sz w:val="32"/>
          <w:szCs w:val="32"/>
          <w:lang w:val="en-US" w:eastAsia="zh-CN"/>
          <w14:textFill>
            <w14:solidFill>
              <w14:schemeClr w14:val="tx1"/>
            </w14:solidFill>
          </w14:textFill>
        </w:rPr>
        <w:t>县域</w:t>
      </w:r>
      <w:r>
        <w:rPr>
          <w:rFonts w:hint="eastAsia" w:ascii="仿宋_GB2312" w:hAnsi="仿宋_GB2312" w:eastAsia="仿宋_GB2312" w:cs="仿宋_GB2312"/>
          <w:b w:val="0"/>
          <w:bCs w:val="0"/>
          <w:color w:val="000000" w:themeColor="text1"/>
          <w:spacing w:val="27"/>
          <w:sz w:val="32"/>
          <w:szCs w:val="32"/>
          <w:lang w:val="en-US" w:eastAsia="zh-CN"/>
          <w14:textFill>
            <w14:solidFill>
              <w14:schemeClr w14:val="tx1"/>
            </w14:solidFill>
          </w14:textFill>
        </w:rPr>
        <w:t>城镇发展区和符合国土空间用途管制要求的其他特定区域</w:t>
      </w:r>
      <w:r>
        <w:rPr>
          <w:rFonts w:hint="eastAsia" w:ascii="仿宋_GB2312" w:hAnsi="仿宋_GB2312" w:eastAsia="仿宋_GB2312" w:cs="仿宋_GB2312"/>
          <w:color w:val="000000" w:themeColor="text1"/>
          <w:spacing w:val="27"/>
          <w:sz w:val="32"/>
          <w:szCs w:val="32"/>
          <w14:textFill>
            <w14:solidFill>
              <w14:schemeClr w14:val="tx1"/>
            </w14:solidFill>
          </w14:textFill>
        </w:rPr>
        <w:t>范围内城市配套费的征收</w:t>
      </w:r>
      <w:r>
        <w:rPr>
          <w:rFonts w:hint="eastAsia" w:ascii="仿宋_GB2312" w:hAnsi="仿宋_GB2312" w:eastAsia="仿宋_GB2312" w:cs="仿宋_GB2312"/>
          <w:color w:val="000000" w:themeColor="text1"/>
          <w:spacing w:val="27"/>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27"/>
          <w:sz w:val="32"/>
          <w:szCs w:val="32"/>
          <w14:textFill>
            <w14:solidFill>
              <w14:schemeClr w14:val="tx1"/>
            </w14:solidFill>
          </w14:textFill>
        </w:rPr>
        <w:t>所征收的城市配套费全额缴入</w:t>
      </w:r>
      <w:r>
        <w:rPr>
          <w:rFonts w:hint="eastAsia" w:ascii="仿宋_GB2312" w:hAnsi="仿宋_GB2312" w:eastAsia="仿宋_GB2312" w:cs="仿宋_GB2312"/>
          <w:color w:val="000000" w:themeColor="text1"/>
          <w:spacing w:val="27"/>
          <w:sz w:val="32"/>
          <w:szCs w:val="32"/>
          <w:lang w:val="en-US" w:eastAsia="zh-CN"/>
          <w14:textFill>
            <w14:solidFill>
              <w14:schemeClr w14:val="tx1"/>
            </w14:solidFill>
          </w14:textFill>
        </w:rPr>
        <w:t>县</w:t>
      </w:r>
      <w:r>
        <w:rPr>
          <w:rFonts w:hint="eastAsia" w:ascii="仿宋_GB2312" w:hAnsi="仿宋_GB2312" w:eastAsia="仿宋_GB2312" w:cs="仿宋_GB2312"/>
          <w:color w:val="000000" w:themeColor="text1"/>
          <w:spacing w:val="27"/>
          <w:sz w:val="32"/>
          <w:szCs w:val="32"/>
          <w14:textFill>
            <w14:solidFill>
              <w14:schemeClr w14:val="tx1"/>
            </w14:solidFill>
          </w14:textFill>
        </w:rPr>
        <w:t>级财政。</w:t>
      </w:r>
    </w:p>
    <w:p w14:paraId="7F89F04A">
      <w:pPr>
        <w:pStyle w:val="3"/>
        <w:spacing w:before="189" w:line="313" w:lineRule="auto"/>
        <w:ind w:left="13" w:right="124" w:firstLine="610"/>
        <w:jc w:val="both"/>
        <w:rPr>
          <w:rFonts w:hint="eastAsia" w:ascii="仿宋_GB2312" w:hAnsi="仿宋_GB2312" w:eastAsia="仿宋_GB2312" w:cs="仿宋_GB2312"/>
          <w:spacing w:val="27"/>
          <w:sz w:val="32"/>
          <w:szCs w:val="32"/>
          <w:lang w:val="en-US" w:eastAsia="zh-CN"/>
        </w:rPr>
      </w:pPr>
      <w:r>
        <w:rPr>
          <w:rFonts w:hint="eastAsia" w:ascii="仿宋_GB2312" w:hAnsi="仿宋_GB2312" w:eastAsia="仿宋_GB2312" w:cs="仿宋_GB2312"/>
          <w:b/>
          <w:bCs/>
          <w:color w:val="000000" w:themeColor="text1"/>
          <w:spacing w:val="14"/>
          <w:sz w:val="32"/>
          <w:szCs w:val="32"/>
          <w14:textFill>
            <w14:solidFill>
              <w14:schemeClr w14:val="tx1"/>
            </w14:solidFill>
          </w14:textFill>
        </w:rPr>
        <w:t>第五条</w:t>
      </w:r>
      <w:r>
        <w:rPr>
          <w:rFonts w:hint="eastAsia" w:ascii="仿宋_GB2312" w:hAnsi="仿宋_GB2312" w:eastAsia="仿宋_GB2312" w:cs="仿宋_GB2312"/>
          <w:color w:val="000000" w:themeColor="text1"/>
          <w:spacing w:val="49"/>
          <w:sz w:val="32"/>
          <w:szCs w:val="32"/>
          <w14:textFill>
            <w14:solidFill>
              <w14:schemeClr w14:val="tx1"/>
            </w14:solidFill>
          </w14:textFill>
        </w:rPr>
        <w:t xml:space="preserve"> </w:t>
      </w:r>
      <w:r>
        <w:rPr>
          <w:rFonts w:hint="eastAsia" w:ascii="仿宋_GB2312" w:hAnsi="仿宋_GB2312" w:eastAsia="仿宋_GB2312" w:cs="仿宋_GB2312"/>
          <w:color w:val="000000" w:themeColor="text1"/>
          <w:spacing w:val="49"/>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27"/>
          <w:sz w:val="32"/>
          <w:szCs w:val="32"/>
          <w:lang w:val="en-US" w:eastAsia="zh-CN"/>
          <w14:textFill>
            <w14:solidFill>
              <w14:schemeClr w14:val="tx1"/>
            </w14:solidFill>
          </w14:textFill>
        </w:rPr>
        <w:t>桐柏县县域</w:t>
      </w:r>
      <w:r>
        <w:rPr>
          <w:rFonts w:hint="eastAsia" w:ascii="仿宋_GB2312" w:hAnsi="仿宋_GB2312" w:eastAsia="仿宋_GB2312" w:cs="仿宋_GB2312"/>
          <w:b w:val="0"/>
          <w:bCs w:val="0"/>
          <w:color w:val="000000" w:themeColor="text1"/>
          <w:spacing w:val="27"/>
          <w:sz w:val="32"/>
          <w:szCs w:val="32"/>
          <w:lang w:val="en-US" w:eastAsia="zh-CN"/>
          <w14:textFill>
            <w14:solidFill>
              <w14:schemeClr w14:val="tx1"/>
            </w14:solidFill>
          </w14:textFill>
        </w:rPr>
        <w:t>城镇发展区和符合国土空间用途管制要求的其他特定区域</w:t>
      </w:r>
      <w:r>
        <w:rPr>
          <w:rFonts w:hint="eastAsia" w:ascii="仿宋_GB2312" w:hAnsi="仿宋_GB2312" w:eastAsia="仿宋_GB2312" w:cs="仿宋_GB2312"/>
          <w:color w:val="000000" w:themeColor="text1"/>
          <w:spacing w:val="27"/>
          <w:sz w:val="32"/>
          <w:szCs w:val="32"/>
          <w:lang w:val="en-US" w:eastAsia="zh-CN"/>
          <w14:textFill>
            <w14:solidFill>
              <w14:schemeClr w14:val="tx1"/>
            </w14:solidFill>
          </w14:textFill>
        </w:rPr>
        <w:t>范围内建设项目，城市配套费按建设项目</w:t>
      </w:r>
      <w:r>
        <w:rPr>
          <w:rFonts w:hint="eastAsia" w:ascii="仿宋_GB2312" w:hAnsi="仿宋_GB2312" w:eastAsia="仿宋_GB2312" w:cs="仿宋_GB2312"/>
          <w:spacing w:val="27"/>
          <w:sz w:val="32"/>
          <w:szCs w:val="32"/>
          <w:lang w:val="en-US" w:eastAsia="zh-CN"/>
        </w:rPr>
        <w:t>的《建设工程规划许可证》证载建筑面积计征。建设项目建筑面积的计算办法按照《建筑工程建筑面积计算规范》(GB/T50353-2013)有关规定执行。城市基础设施配套费征收的项目类别和征收标准如下：</w:t>
      </w:r>
    </w:p>
    <w:p w14:paraId="79B5B45A">
      <w:pPr>
        <w:pStyle w:val="3"/>
        <w:spacing w:before="189" w:line="313" w:lineRule="auto"/>
        <w:ind w:left="13" w:right="124" w:firstLine="610"/>
        <w:jc w:val="both"/>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pacing w:val="27"/>
          <w:sz w:val="32"/>
          <w:szCs w:val="32"/>
          <w:lang w:val="en-US" w:eastAsia="zh-CN"/>
        </w:rPr>
        <w:t>（一）建设项目类别划分：</w:t>
      </w:r>
    </w:p>
    <w:p w14:paraId="05D18BA2">
      <w:pPr>
        <w:pStyle w:val="3"/>
        <w:spacing w:before="189" w:line="313" w:lineRule="auto"/>
        <w:ind w:left="13" w:right="124" w:firstLine="610"/>
        <w:jc w:val="both"/>
        <w:rPr>
          <w:rFonts w:hint="eastAsia" w:ascii="仿宋_GB2312" w:hAnsi="仿宋_GB2312" w:eastAsia="仿宋_GB2312" w:cs="仿宋_GB2312"/>
          <w:spacing w:val="27"/>
          <w:sz w:val="32"/>
          <w:szCs w:val="32"/>
          <w:lang w:val="en-US" w:eastAsia="zh-CN"/>
        </w:rPr>
      </w:pPr>
      <w:r>
        <w:rPr>
          <w:rFonts w:hint="eastAsia" w:ascii="仿宋_GB2312" w:hAnsi="仿宋_GB2312" w:eastAsia="仿宋_GB2312" w:cs="仿宋_GB2312"/>
          <w:spacing w:val="27"/>
          <w:sz w:val="32"/>
          <w:szCs w:val="32"/>
          <w:lang w:val="en-US" w:eastAsia="zh-CN"/>
        </w:rPr>
        <w:t>1、一类项目：指房地产开发、楼堂馆所、商服、写字楼等经营性项目。</w:t>
      </w:r>
    </w:p>
    <w:p w14:paraId="50BC3C00">
      <w:pPr>
        <w:pStyle w:val="3"/>
        <w:spacing w:before="189" w:line="313" w:lineRule="auto"/>
        <w:ind w:left="13" w:right="124" w:firstLine="610"/>
        <w:jc w:val="both"/>
        <w:rPr>
          <w:rFonts w:hint="eastAsia" w:ascii="仿宋_GB2312" w:hAnsi="仿宋_GB2312" w:eastAsia="仿宋_GB2312" w:cs="仿宋_GB2312"/>
          <w:spacing w:val="27"/>
          <w:sz w:val="32"/>
          <w:szCs w:val="32"/>
          <w:lang w:val="en-US" w:eastAsia="zh-CN"/>
        </w:rPr>
      </w:pPr>
      <w:r>
        <w:rPr>
          <w:rFonts w:hint="eastAsia" w:ascii="仿宋_GB2312" w:hAnsi="仿宋_GB2312" w:eastAsia="仿宋_GB2312" w:cs="仿宋_GB2312"/>
          <w:spacing w:val="27"/>
          <w:sz w:val="32"/>
          <w:szCs w:val="32"/>
          <w:lang w:val="en-US" w:eastAsia="zh-CN"/>
        </w:rPr>
        <w:t>2、二类项目：指机关、企（事）业单位办公楼及其附属设施等项目。</w:t>
      </w:r>
    </w:p>
    <w:p w14:paraId="1FA243EF">
      <w:pPr>
        <w:pStyle w:val="3"/>
        <w:spacing w:before="189" w:line="313" w:lineRule="auto"/>
        <w:ind w:left="13" w:right="124" w:firstLine="610"/>
        <w:jc w:val="both"/>
        <w:rPr>
          <w:rFonts w:hint="eastAsia" w:ascii="仿宋_GB2312" w:hAnsi="仿宋_GB2312" w:eastAsia="仿宋_GB2312" w:cs="仿宋_GB2312"/>
          <w:spacing w:val="27"/>
          <w:sz w:val="32"/>
          <w:szCs w:val="32"/>
          <w:lang w:val="en-US" w:eastAsia="zh-CN"/>
        </w:rPr>
      </w:pPr>
      <w:r>
        <w:rPr>
          <w:rFonts w:hint="eastAsia" w:ascii="仿宋_GB2312" w:hAnsi="仿宋_GB2312" w:eastAsia="仿宋_GB2312" w:cs="仿宋_GB2312"/>
          <w:spacing w:val="27"/>
          <w:sz w:val="32"/>
          <w:szCs w:val="32"/>
          <w:lang w:val="en-US" w:eastAsia="zh-CN"/>
        </w:rPr>
        <w:t>3、三类项目：指工业、仓储等生产性项目。</w:t>
      </w:r>
    </w:p>
    <w:p w14:paraId="60F8EE07">
      <w:pPr>
        <w:pStyle w:val="3"/>
        <w:spacing w:before="189" w:line="313" w:lineRule="auto"/>
        <w:ind w:left="13" w:right="124" w:firstLine="610"/>
        <w:jc w:val="both"/>
        <w:rPr>
          <w:rFonts w:hint="eastAsia" w:ascii="仿宋_GB2312" w:hAnsi="仿宋_GB2312" w:eastAsia="仿宋_GB2312" w:cs="仿宋_GB2312"/>
          <w:spacing w:val="27"/>
          <w:sz w:val="32"/>
          <w:szCs w:val="32"/>
          <w:lang w:val="en-US" w:eastAsia="zh-CN"/>
        </w:rPr>
      </w:pPr>
      <w:r>
        <w:rPr>
          <w:rFonts w:hint="eastAsia" w:ascii="仿宋_GB2312" w:hAnsi="仿宋_GB2312" w:eastAsia="仿宋_GB2312" w:cs="仿宋_GB2312"/>
          <w:spacing w:val="27"/>
          <w:sz w:val="32"/>
          <w:szCs w:val="32"/>
          <w:lang w:val="en-US" w:eastAsia="zh-CN"/>
        </w:rPr>
        <w:t>4、四类项目：指各类学校及附属设施、医疗卫生、文化体育设施，停车场、车站、污水处理厂等公共服务设施，敬老院、福利院和为安排残疾人等的社会福利性项目。</w:t>
      </w:r>
    </w:p>
    <w:p w14:paraId="61965A66">
      <w:pPr>
        <w:pStyle w:val="3"/>
        <w:spacing w:before="189" w:line="313" w:lineRule="auto"/>
        <w:ind w:left="13" w:right="124" w:firstLine="610"/>
        <w:jc w:val="both"/>
        <w:rPr>
          <w:rFonts w:hint="eastAsia" w:ascii="楷体_GB2312" w:hAnsi="楷体_GB2312" w:eastAsia="楷体_GB2312" w:cs="楷体_GB2312"/>
          <w:b/>
          <w:bCs/>
          <w:spacing w:val="27"/>
          <w:sz w:val="32"/>
          <w:szCs w:val="32"/>
          <w:lang w:val="en-US" w:eastAsia="zh-CN"/>
        </w:rPr>
      </w:pPr>
      <w:r>
        <w:rPr>
          <w:rFonts w:hint="eastAsia" w:ascii="楷体_GB2312" w:hAnsi="楷体_GB2312" w:eastAsia="楷体_GB2312" w:cs="楷体_GB2312"/>
          <w:b/>
          <w:bCs/>
          <w:spacing w:val="27"/>
          <w:sz w:val="32"/>
          <w:szCs w:val="32"/>
          <w:lang w:val="en-US" w:eastAsia="zh-CN"/>
        </w:rPr>
        <w:t>(二)征收标准(按项目批准的建筑面积计算)</w:t>
      </w:r>
    </w:p>
    <w:p w14:paraId="4C5B9BA4">
      <w:pPr>
        <w:pStyle w:val="3"/>
        <w:spacing w:before="189" w:line="313" w:lineRule="auto"/>
        <w:ind w:left="13" w:right="124" w:firstLine="610"/>
        <w:jc w:val="both"/>
        <w:rPr>
          <w:rFonts w:hint="eastAsia" w:ascii="仿宋_GB2312" w:hAnsi="仿宋_GB2312" w:eastAsia="仿宋_GB2312" w:cs="仿宋_GB2312"/>
          <w:spacing w:val="27"/>
          <w:sz w:val="32"/>
          <w:szCs w:val="32"/>
          <w:lang w:val="en-US" w:eastAsia="zh-CN"/>
        </w:rPr>
      </w:pPr>
      <w:r>
        <w:rPr>
          <w:rFonts w:hint="eastAsia" w:ascii="仿宋_GB2312" w:hAnsi="仿宋_GB2312" w:eastAsia="仿宋_GB2312" w:cs="仿宋_GB2312"/>
          <w:spacing w:val="27"/>
          <w:sz w:val="32"/>
          <w:szCs w:val="32"/>
          <w:lang w:val="en-US" w:eastAsia="zh-CN"/>
        </w:rPr>
        <w:t>1、一类建设项目40元/m²,二类建设项目30元/m²,三类建设项目配套的行政办公、生活服务设施用房，根据规划建筑面积，按10元/平方米征收；除配套行政办公、生活服务设施用房外的生产类用房、科研设施用房，根据规划建筑面积，一层按6元/平方米、二层按3元/平方米征收，三层及以上免征城市配套费，地下建筑部分根据规划建筑面积，按3元/平方米征收，四类建设项目15元/m²。</w:t>
      </w:r>
    </w:p>
    <w:p w14:paraId="1A5E46F9">
      <w:pPr>
        <w:pStyle w:val="3"/>
        <w:spacing w:before="189" w:line="313" w:lineRule="auto"/>
        <w:ind w:left="13" w:right="124" w:firstLine="610"/>
        <w:jc w:val="both"/>
        <w:rPr>
          <w:rFonts w:hint="eastAsia" w:ascii="仿宋_GB2312" w:hAnsi="仿宋_GB2312" w:eastAsia="仿宋_GB2312" w:cs="仿宋_GB2312"/>
          <w:spacing w:val="27"/>
          <w:sz w:val="32"/>
          <w:szCs w:val="32"/>
          <w:lang w:val="en-US" w:eastAsia="zh-CN"/>
        </w:rPr>
      </w:pPr>
      <w:r>
        <w:rPr>
          <w:rFonts w:hint="eastAsia" w:ascii="仿宋_GB2312" w:hAnsi="仿宋_GB2312" w:eastAsia="仿宋_GB2312" w:cs="仿宋_GB2312"/>
          <w:spacing w:val="27"/>
          <w:sz w:val="32"/>
          <w:szCs w:val="32"/>
          <w:lang w:val="en-US" w:eastAsia="zh-CN"/>
        </w:rPr>
        <w:t>2、个人建房按总建筑面积大小：</w:t>
      </w:r>
    </w:p>
    <w:p w14:paraId="246BDB11">
      <w:pPr>
        <w:pStyle w:val="3"/>
        <w:spacing w:before="189" w:line="313" w:lineRule="auto"/>
        <w:ind w:left="13" w:right="124" w:firstLine="610"/>
        <w:jc w:val="both"/>
        <w:rPr>
          <w:rFonts w:hint="eastAsia" w:ascii="仿宋_GB2312" w:hAnsi="仿宋_GB2312" w:eastAsia="仿宋_GB2312" w:cs="仿宋_GB2312"/>
          <w:spacing w:val="27"/>
          <w:sz w:val="32"/>
          <w:szCs w:val="32"/>
          <w:lang w:val="en-US" w:eastAsia="zh-CN"/>
        </w:rPr>
      </w:pPr>
      <w:r>
        <w:rPr>
          <w:rFonts w:hint="eastAsia" w:ascii="仿宋_GB2312" w:hAnsi="仿宋_GB2312" w:eastAsia="仿宋_GB2312" w:cs="仿宋_GB2312"/>
          <w:spacing w:val="27"/>
          <w:sz w:val="32"/>
          <w:szCs w:val="32"/>
          <w:lang w:val="en-US" w:eastAsia="zh-CN"/>
        </w:rPr>
        <w:t>①个人建房总建筑面积≤300m²的按15元/m²,个人建房总建筑面积&gt;300m²的按40元/m²。</w:t>
      </w:r>
    </w:p>
    <w:p w14:paraId="7A74E26E">
      <w:pPr>
        <w:pStyle w:val="3"/>
        <w:spacing w:before="189" w:line="313" w:lineRule="auto"/>
        <w:ind w:left="13" w:right="124" w:firstLine="610"/>
        <w:jc w:val="both"/>
        <w:rPr>
          <w:rFonts w:hint="eastAsia" w:ascii="仿宋_GB2312" w:hAnsi="仿宋_GB2312" w:eastAsia="仿宋_GB2312" w:cs="仿宋_GB2312"/>
          <w:spacing w:val="27"/>
          <w:sz w:val="32"/>
          <w:szCs w:val="32"/>
          <w:lang w:val="en-US" w:eastAsia="zh-CN"/>
        </w:rPr>
      </w:pPr>
      <w:r>
        <w:rPr>
          <w:rFonts w:hint="eastAsia" w:ascii="仿宋_GB2312" w:hAnsi="仿宋_GB2312" w:eastAsia="仿宋_GB2312" w:cs="仿宋_GB2312"/>
          <w:spacing w:val="27"/>
          <w:sz w:val="32"/>
          <w:szCs w:val="32"/>
          <w:lang w:val="en-US" w:eastAsia="zh-CN"/>
        </w:rPr>
        <w:t>②临宽度在15m以上主次干道(含15m)自建商住建筑的按40元/m²。</w:t>
      </w:r>
    </w:p>
    <w:p w14:paraId="2B86682F">
      <w:pPr>
        <w:pStyle w:val="3"/>
        <w:spacing w:before="189" w:line="313" w:lineRule="auto"/>
        <w:ind w:left="13" w:right="124" w:firstLine="610"/>
        <w:jc w:val="both"/>
        <w:rPr>
          <w:rFonts w:hint="eastAsia" w:ascii="仿宋_GB2312" w:hAnsi="仿宋_GB2312" w:eastAsia="仿宋_GB2312" w:cs="仿宋_GB2312"/>
          <w:spacing w:val="27"/>
          <w:sz w:val="32"/>
          <w:szCs w:val="32"/>
          <w:lang w:val="en-US" w:eastAsia="zh-CN"/>
        </w:rPr>
      </w:pPr>
      <w:r>
        <w:rPr>
          <w:rFonts w:hint="eastAsia" w:ascii="仿宋_GB2312" w:hAnsi="仿宋_GB2312" w:eastAsia="仿宋_GB2312" w:cs="仿宋_GB2312"/>
          <w:spacing w:val="27"/>
          <w:sz w:val="32"/>
          <w:szCs w:val="32"/>
          <w:lang w:val="en-US" w:eastAsia="zh-CN"/>
        </w:rPr>
        <w:t>3、新建经营性管线工程按2万元/公里的标准收取。</w:t>
      </w:r>
    </w:p>
    <w:p w14:paraId="2A0B5B30">
      <w:pPr>
        <w:pStyle w:val="3"/>
        <w:spacing w:before="189" w:line="313" w:lineRule="auto"/>
        <w:ind w:left="13" w:right="124" w:firstLine="610"/>
        <w:jc w:val="both"/>
        <w:rPr>
          <w:rFonts w:hint="eastAsia" w:ascii="仿宋_GB2312" w:hAnsi="仿宋_GB2312" w:eastAsia="仿宋_GB2312" w:cs="仿宋_GB2312"/>
          <w:spacing w:val="27"/>
          <w:sz w:val="32"/>
          <w:szCs w:val="32"/>
          <w:lang w:val="en-US" w:eastAsia="zh-CN"/>
        </w:rPr>
      </w:pPr>
      <w:r>
        <w:rPr>
          <w:rFonts w:hint="eastAsia" w:ascii="仿宋_GB2312" w:hAnsi="仿宋_GB2312" w:eastAsia="仿宋_GB2312" w:cs="仿宋_GB2312"/>
          <w:spacing w:val="27"/>
          <w:sz w:val="32"/>
          <w:szCs w:val="32"/>
          <w:lang w:val="en-US" w:eastAsia="zh-CN"/>
        </w:rPr>
        <w:t>4、户外非公益广告设立征收标准：面积在15m²以下收费500元，15～30m²统一收费2000元，30m²以上最低收费5000元，每增加10m²增收500元。</w:t>
      </w:r>
    </w:p>
    <w:p w14:paraId="0CF7A039">
      <w:pPr>
        <w:pStyle w:val="3"/>
        <w:spacing w:before="225" w:line="315" w:lineRule="auto"/>
        <w:ind w:right="40" w:firstLine="614"/>
        <w:jc w:val="both"/>
        <w:rPr>
          <w:rFonts w:hint="eastAsia" w:ascii="仿宋_GB2312" w:hAnsi="仿宋_GB2312" w:eastAsia="仿宋_GB2312" w:cs="仿宋_GB2312"/>
          <w:spacing w:val="27"/>
          <w:sz w:val="32"/>
          <w:szCs w:val="32"/>
          <w:lang w:val="en-US" w:eastAsia="zh-CN"/>
        </w:rPr>
      </w:pPr>
      <w:r>
        <w:rPr>
          <w:rFonts w:hint="eastAsia" w:ascii="仿宋_GB2312" w:hAnsi="仿宋_GB2312" w:eastAsia="仿宋_GB2312" w:cs="仿宋_GB2312"/>
          <w:b/>
          <w:bCs/>
          <w:spacing w:val="33"/>
          <w:sz w:val="32"/>
          <w:szCs w:val="32"/>
        </w:rPr>
        <w:t>第六条</w:t>
      </w:r>
      <w:r>
        <w:rPr>
          <w:rFonts w:hint="eastAsia" w:ascii="仿宋_GB2312" w:hAnsi="仿宋_GB2312" w:eastAsia="仿宋_GB2312" w:cs="仿宋_GB2312"/>
          <w:spacing w:val="33"/>
          <w:sz w:val="32"/>
          <w:szCs w:val="32"/>
        </w:rPr>
        <w:t xml:space="preserve">  </w:t>
      </w:r>
      <w:r>
        <w:rPr>
          <w:rFonts w:hint="eastAsia" w:ascii="仿宋_GB2312" w:hAnsi="仿宋_GB2312" w:eastAsia="仿宋_GB2312" w:cs="仿宋_GB2312"/>
          <w:spacing w:val="27"/>
          <w:sz w:val="32"/>
          <w:szCs w:val="32"/>
          <w:lang w:val="en-US" w:eastAsia="zh-CN"/>
        </w:rPr>
        <w:t>建设单位或个人在办理《建设工程规划许可证》时，持自然资源和规划部门出具的城市配套费缴费计算表，到征收部门开具《非税收入一般缴款书》,领取《城市基础设施配套费缴纳告知书》,在办理《建筑工程施工许可证》时，足额缴纳城市配套费。</w:t>
      </w:r>
    </w:p>
    <w:p w14:paraId="712AC433">
      <w:pPr>
        <w:pStyle w:val="3"/>
        <w:spacing w:before="225" w:line="315" w:lineRule="auto"/>
        <w:ind w:right="40" w:firstLine="614"/>
        <w:jc w:val="both"/>
        <w:rPr>
          <w:rFonts w:hint="eastAsia" w:ascii="仿宋_GB2312" w:hAnsi="仿宋_GB2312" w:eastAsia="仿宋_GB2312" w:cs="仿宋_GB2312"/>
          <w:spacing w:val="27"/>
          <w:sz w:val="32"/>
          <w:szCs w:val="32"/>
          <w:lang w:val="en-US" w:eastAsia="zh-CN"/>
        </w:rPr>
      </w:pPr>
      <w:r>
        <w:rPr>
          <w:rFonts w:hint="eastAsia" w:ascii="仿宋_GB2312" w:hAnsi="仿宋_GB2312" w:eastAsia="仿宋_GB2312" w:cs="仿宋_GB2312"/>
          <w:b/>
          <w:bCs/>
          <w:spacing w:val="9"/>
          <w:sz w:val="32"/>
          <w:szCs w:val="32"/>
        </w:rPr>
        <w:t>第七条</w:t>
      </w:r>
      <w:r>
        <w:rPr>
          <w:rFonts w:hint="eastAsia" w:ascii="仿宋_GB2312" w:hAnsi="仿宋_GB2312" w:eastAsia="仿宋_GB2312" w:cs="仿宋_GB2312"/>
          <w:spacing w:val="9"/>
          <w:sz w:val="32"/>
          <w:szCs w:val="32"/>
        </w:rPr>
        <w:t xml:space="preserve">  </w:t>
      </w:r>
      <w:r>
        <w:rPr>
          <w:rFonts w:hint="eastAsia" w:ascii="仿宋_GB2312" w:hAnsi="仿宋_GB2312" w:eastAsia="仿宋_GB2312" w:cs="仿宋_GB2312"/>
          <w:spacing w:val="27"/>
          <w:sz w:val="32"/>
          <w:szCs w:val="32"/>
          <w:lang w:val="en-US" w:eastAsia="zh-CN"/>
        </w:rPr>
        <w:t>下列建设项目应当补缴城市配套费：</w:t>
      </w:r>
    </w:p>
    <w:p w14:paraId="04050386">
      <w:pPr>
        <w:pStyle w:val="3"/>
        <w:spacing w:before="225" w:line="315" w:lineRule="auto"/>
        <w:ind w:right="40" w:firstLine="614"/>
        <w:jc w:val="both"/>
        <w:rPr>
          <w:rFonts w:hint="eastAsia" w:ascii="仿宋_GB2312" w:hAnsi="仿宋_GB2312" w:eastAsia="仿宋_GB2312" w:cs="仿宋_GB2312"/>
          <w:spacing w:val="27"/>
          <w:sz w:val="32"/>
          <w:szCs w:val="32"/>
          <w:lang w:val="en-US" w:eastAsia="zh-CN"/>
        </w:rPr>
      </w:pPr>
      <w:r>
        <w:rPr>
          <w:rFonts w:hint="eastAsia" w:ascii="仿宋_GB2312" w:hAnsi="仿宋_GB2312" w:eastAsia="仿宋_GB2312" w:cs="仿宋_GB2312"/>
          <w:spacing w:val="27"/>
          <w:sz w:val="32"/>
          <w:szCs w:val="32"/>
          <w:lang w:val="en-US" w:eastAsia="zh-CN"/>
        </w:rPr>
        <w:t>(一)已减免城市配套费的建设项目，改变使用性质、用途后不再符合减免条件的；</w:t>
      </w:r>
    </w:p>
    <w:p w14:paraId="34FE3261">
      <w:pPr>
        <w:pStyle w:val="3"/>
        <w:spacing w:before="225" w:line="315" w:lineRule="auto"/>
        <w:ind w:right="40" w:firstLine="614"/>
        <w:jc w:val="both"/>
        <w:rPr>
          <w:rFonts w:hint="eastAsia" w:ascii="仿宋_GB2312" w:hAnsi="仿宋_GB2312" w:eastAsia="仿宋_GB2312" w:cs="仿宋_GB2312"/>
          <w:spacing w:val="27"/>
          <w:sz w:val="32"/>
          <w:szCs w:val="32"/>
          <w:lang w:val="en-US" w:eastAsia="zh-CN"/>
        </w:rPr>
      </w:pPr>
      <w:r>
        <w:rPr>
          <w:rFonts w:hint="eastAsia" w:ascii="仿宋_GB2312" w:hAnsi="仿宋_GB2312" w:eastAsia="仿宋_GB2312" w:cs="仿宋_GB2312"/>
          <w:spacing w:val="27"/>
          <w:sz w:val="32"/>
          <w:szCs w:val="32"/>
          <w:lang w:val="en-US" w:eastAsia="zh-CN"/>
        </w:rPr>
        <w:t>(二)违法建筑依照法律法规确认予以保留的；</w:t>
      </w:r>
    </w:p>
    <w:p w14:paraId="7C164AA1">
      <w:pPr>
        <w:pStyle w:val="3"/>
        <w:spacing w:before="225" w:line="315" w:lineRule="auto"/>
        <w:ind w:right="40" w:firstLine="614"/>
        <w:jc w:val="both"/>
        <w:rPr>
          <w:rFonts w:hint="eastAsia" w:ascii="仿宋_GB2312" w:hAnsi="仿宋_GB2312" w:eastAsia="仿宋_GB2312" w:cs="仿宋_GB2312"/>
          <w:spacing w:val="27"/>
          <w:sz w:val="32"/>
          <w:szCs w:val="32"/>
          <w:lang w:val="en-US" w:eastAsia="zh-CN"/>
        </w:rPr>
      </w:pPr>
      <w:r>
        <w:rPr>
          <w:rFonts w:hint="eastAsia" w:ascii="仿宋_GB2312" w:hAnsi="仿宋_GB2312" w:eastAsia="仿宋_GB2312" w:cs="仿宋_GB2312"/>
          <w:spacing w:val="27"/>
          <w:sz w:val="32"/>
          <w:szCs w:val="32"/>
          <w:lang w:val="en-US" w:eastAsia="zh-CN"/>
        </w:rPr>
        <w:t>(三)在规划核实阶段，超出规划建筑面积的；</w:t>
      </w:r>
    </w:p>
    <w:p w14:paraId="553229EC">
      <w:pPr>
        <w:pStyle w:val="3"/>
        <w:spacing w:before="225" w:line="315" w:lineRule="auto"/>
        <w:ind w:right="40" w:firstLine="614"/>
        <w:jc w:val="both"/>
        <w:rPr>
          <w:rFonts w:hint="eastAsia" w:ascii="仿宋_GB2312" w:hAnsi="仿宋_GB2312" w:eastAsia="仿宋_GB2312" w:cs="仿宋_GB2312"/>
          <w:spacing w:val="27"/>
          <w:sz w:val="32"/>
          <w:szCs w:val="32"/>
          <w:lang w:val="en-US" w:eastAsia="zh-CN"/>
        </w:rPr>
      </w:pPr>
      <w:r>
        <w:rPr>
          <w:rFonts w:hint="eastAsia" w:ascii="仿宋_GB2312" w:hAnsi="仿宋_GB2312" w:eastAsia="仿宋_GB2312" w:cs="仿宋_GB2312"/>
          <w:spacing w:val="27"/>
          <w:sz w:val="32"/>
          <w:szCs w:val="32"/>
          <w:lang w:val="en-US" w:eastAsia="zh-CN"/>
        </w:rPr>
        <w:t>(四)按照规定应当补缴城市配套费的其他情形。</w:t>
      </w:r>
    </w:p>
    <w:p w14:paraId="3BCE612C">
      <w:pPr>
        <w:pStyle w:val="3"/>
        <w:spacing w:before="233" w:line="361" w:lineRule="auto"/>
        <w:ind w:right="154" w:firstLine="614"/>
        <w:jc w:val="both"/>
        <w:rPr>
          <w:rFonts w:hint="eastAsia" w:ascii="仿宋_GB2312" w:hAnsi="仿宋_GB2312" w:eastAsia="仿宋_GB2312" w:cs="仿宋_GB2312"/>
          <w:sz w:val="32"/>
          <w:szCs w:val="32"/>
        </w:rPr>
      </w:pPr>
      <w:r>
        <w:rPr>
          <w:rFonts w:hint="eastAsia" w:ascii="仿宋_GB2312" w:hAnsi="仿宋_GB2312" w:eastAsia="仿宋_GB2312" w:cs="仿宋_GB2312"/>
          <w:b/>
          <w:bCs/>
          <w:spacing w:val="11"/>
          <w:sz w:val="32"/>
          <w:szCs w:val="32"/>
        </w:rPr>
        <w:t>第八条</w:t>
      </w:r>
      <w:r>
        <w:rPr>
          <w:rFonts w:hint="eastAsia" w:ascii="仿宋_GB2312" w:hAnsi="仿宋_GB2312" w:eastAsia="仿宋_GB2312" w:cs="仿宋_GB2312"/>
          <w:spacing w:val="11"/>
          <w:sz w:val="32"/>
          <w:szCs w:val="32"/>
        </w:rPr>
        <w:t xml:space="preserve">  </w:t>
      </w:r>
      <w:r>
        <w:rPr>
          <w:rFonts w:hint="eastAsia" w:ascii="仿宋_GB2312" w:hAnsi="仿宋_GB2312" w:eastAsia="仿宋_GB2312" w:cs="仿宋_GB2312"/>
          <w:spacing w:val="27"/>
          <w:sz w:val="32"/>
          <w:szCs w:val="32"/>
          <w:lang w:val="en-US" w:eastAsia="zh-CN"/>
        </w:rPr>
        <w:t>城市配套费属于政府性基金，严格实行预算管理。对符合法律、行政法规和中共中央、国务院或财政部关于减征、免征城市配套费政策规定的建设项目，由建设单位向征收部门提出减征、免征城市配套费申请，并提供减免依据、项目立项或计划文件、土地使用权属证明文件、建设工程规划许可、建设工程设计方案批复等相关材料，征收部门审核后出具减免意见。对不符合上述政策规定的项目(包括公益类项目),均应足额缴纳城市配套费。</w:t>
      </w:r>
    </w:p>
    <w:p w14:paraId="2E328345">
      <w:pPr>
        <w:pStyle w:val="3"/>
        <w:spacing w:before="1" w:line="332" w:lineRule="auto"/>
        <w:ind w:right="19" w:firstLine="614"/>
        <w:jc w:val="both"/>
        <w:rPr>
          <w:rFonts w:hint="eastAsia" w:ascii="仿宋_GB2312" w:hAnsi="仿宋_GB2312" w:eastAsia="仿宋_GB2312" w:cs="仿宋_GB2312"/>
          <w:sz w:val="32"/>
          <w:szCs w:val="32"/>
        </w:rPr>
      </w:pPr>
      <w:r>
        <w:rPr>
          <w:rFonts w:hint="eastAsia" w:ascii="仿宋_GB2312" w:hAnsi="仿宋_GB2312" w:eastAsia="仿宋_GB2312" w:cs="仿宋_GB2312"/>
          <w:b/>
          <w:bCs/>
          <w:spacing w:val="22"/>
          <w:sz w:val="32"/>
          <w:szCs w:val="32"/>
        </w:rPr>
        <w:t>第九条</w:t>
      </w:r>
      <w:r>
        <w:rPr>
          <w:rFonts w:hint="eastAsia" w:ascii="仿宋_GB2312" w:hAnsi="仿宋_GB2312" w:eastAsia="仿宋_GB2312" w:cs="仿宋_GB2312"/>
          <w:spacing w:val="22"/>
          <w:sz w:val="32"/>
          <w:szCs w:val="32"/>
        </w:rPr>
        <w:t xml:space="preserve">  建设项目缴纳的城市配套费应计入建设工</w:t>
      </w:r>
      <w:r>
        <w:rPr>
          <w:rFonts w:hint="eastAsia" w:ascii="仿宋_GB2312" w:hAnsi="仿宋_GB2312" w:eastAsia="仿宋_GB2312" w:cs="仿宋_GB2312"/>
          <w:spacing w:val="21"/>
          <w:sz w:val="32"/>
          <w:szCs w:val="32"/>
        </w:rPr>
        <w:t>程造价。</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17"/>
          <w:sz w:val="32"/>
          <w:szCs w:val="32"/>
        </w:rPr>
        <w:t>商品房项目缴纳的城市配套费应计入房屋销售价格，开发商以及</w:t>
      </w:r>
      <w:r>
        <w:rPr>
          <w:rFonts w:hint="eastAsia" w:ascii="仿宋_GB2312" w:hAnsi="仿宋_GB2312" w:eastAsia="仿宋_GB2312" w:cs="仿宋_GB2312"/>
          <w:spacing w:val="28"/>
          <w:sz w:val="32"/>
          <w:szCs w:val="32"/>
        </w:rPr>
        <w:t>其他单位和个人不得在房价外向购房者另行加收。财</w:t>
      </w:r>
      <w:r>
        <w:rPr>
          <w:rFonts w:hint="eastAsia" w:ascii="仿宋_GB2312" w:hAnsi="仿宋_GB2312" w:eastAsia="仿宋_GB2312" w:cs="仿宋_GB2312"/>
          <w:spacing w:val="27"/>
          <w:sz w:val="32"/>
          <w:szCs w:val="32"/>
        </w:rPr>
        <w:t>政投资项目</w:t>
      </w:r>
      <w:r>
        <w:rPr>
          <w:rFonts w:hint="eastAsia" w:ascii="仿宋_GB2312" w:hAnsi="仿宋_GB2312" w:eastAsia="仿宋_GB2312" w:cs="仿宋_GB2312"/>
          <w:spacing w:val="21"/>
          <w:sz w:val="32"/>
          <w:szCs w:val="32"/>
        </w:rPr>
        <w:t>应按照规定缴纳城市配套费，列入投资预算。</w:t>
      </w:r>
    </w:p>
    <w:p w14:paraId="24D14960">
      <w:pPr>
        <w:pStyle w:val="3"/>
        <w:spacing w:before="233" w:line="361" w:lineRule="auto"/>
        <w:ind w:right="154" w:firstLine="614"/>
        <w:jc w:val="both"/>
        <w:rPr>
          <w:rFonts w:hint="eastAsia" w:ascii="仿宋_GB2312" w:hAnsi="仿宋_GB2312" w:eastAsia="仿宋_GB2312" w:cs="仿宋_GB2312"/>
          <w:spacing w:val="27"/>
          <w:sz w:val="32"/>
          <w:szCs w:val="32"/>
          <w:lang w:val="en-US" w:eastAsia="zh-CN"/>
        </w:rPr>
      </w:pPr>
      <w:r>
        <w:rPr>
          <w:rFonts w:hint="eastAsia" w:ascii="仿宋_GB2312" w:hAnsi="仿宋_GB2312" w:eastAsia="仿宋_GB2312" w:cs="仿宋_GB2312"/>
          <w:b/>
          <w:bCs/>
          <w:spacing w:val="43"/>
          <w:sz w:val="32"/>
          <w:szCs w:val="32"/>
          <w:lang w:val="en-US" w:eastAsia="zh-CN"/>
        </w:rPr>
        <w:t xml:space="preserve"> </w:t>
      </w:r>
      <w:r>
        <w:rPr>
          <w:rFonts w:hint="eastAsia" w:ascii="仿宋_GB2312" w:hAnsi="仿宋_GB2312" w:eastAsia="仿宋_GB2312" w:cs="仿宋_GB2312"/>
          <w:b/>
          <w:bCs/>
          <w:spacing w:val="25"/>
          <w:sz w:val="32"/>
          <w:szCs w:val="32"/>
        </w:rPr>
        <w:t>第十条</w:t>
      </w:r>
      <w:r>
        <w:rPr>
          <w:rFonts w:hint="eastAsia" w:ascii="仿宋_GB2312" w:hAnsi="仿宋_GB2312" w:eastAsia="仿宋_GB2312" w:cs="仿宋_GB2312"/>
          <w:spacing w:val="25"/>
          <w:sz w:val="32"/>
          <w:szCs w:val="32"/>
        </w:rPr>
        <w:t xml:space="preserve">  </w:t>
      </w:r>
      <w:r>
        <w:rPr>
          <w:rFonts w:hint="eastAsia" w:ascii="仿宋_GB2312" w:hAnsi="仿宋_GB2312" w:eastAsia="仿宋_GB2312" w:cs="仿宋_GB2312"/>
          <w:spacing w:val="27"/>
          <w:sz w:val="32"/>
          <w:szCs w:val="32"/>
          <w:lang w:val="en-US" w:eastAsia="zh-CN"/>
        </w:rPr>
        <w:t>征收部门收取城市配套费，应使用政府非税收入票据，所征收的资金通过河南省政府非税收入征收管理系统全额缴入同级国库。</w:t>
      </w:r>
    </w:p>
    <w:p w14:paraId="30A1E9DF">
      <w:pPr>
        <w:pStyle w:val="3"/>
        <w:spacing w:before="5" w:line="335" w:lineRule="auto"/>
        <w:ind w:right="223" w:firstLine="743"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spacing w:val="25"/>
          <w:sz w:val="32"/>
          <w:szCs w:val="32"/>
        </w:rPr>
        <w:t>第十</w:t>
      </w:r>
      <w:r>
        <w:rPr>
          <w:rFonts w:hint="eastAsia" w:ascii="仿宋_GB2312" w:hAnsi="仿宋_GB2312" w:eastAsia="仿宋_GB2312" w:cs="仿宋_GB2312"/>
          <w:b/>
          <w:bCs/>
          <w:spacing w:val="25"/>
          <w:sz w:val="32"/>
          <w:szCs w:val="32"/>
          <w:lang w:val="en-US" w:eastAsia="zh-CN"/>
        </w:rPr>
        <w:t>一</w:t>
      </w:r>
      <w:r>
        <w:rPr>
          <w:rFonts w:hint="eastAsia" w:ascii="仿宋_GB2312" w:hAnsi="仿宋_GB2312" w:eastAsia="仿宋_GB2312" w:cs="仿宋_GB2312"/>
          <w:b/>
          <w:bCs/>
          <w:spacing w:val="25"/>
          <w:sz w:val="32"/>
          <w:szCs w:val="32"/>
        </w:rPr>
        <w:t>条</w:t>
      </w:r>
      <w:r>
        <w:rPr>
          <w:rFonts w:hint="eastAsia" w:ascii="仿宋_GB2312" w:hAnsi="仿宋_GB2312" w:eastAsia="仿宋_GB2312" w:cs="仿宋_GB2312"/>
          <w:spacing w:val="16"/>
          <w:sz w:val="32"/>
          <w:szCs w:val="32"/>
        </w:rPr>
        <w:t xml:space="preserve">  </w:t>
      </w:r>
      <w:r>
        <w:rPr>
          <w:rFonts w:hint="eastAsia" w:ascii="仿宋_GB2312" w:hAnsi="仿宋_GB2312" w:eastAsia="仿宋_GB2312" w:cs="仿宋_GB2312"/>
          <w:spacing w:val="27"/>
          <w:sz w:val="32"/>
          <w:szCs w:val="32"/>
          <w:lang w:val="en-US" w:eastAsia="zh-CN"/>
        </w:rPr>
        <w:t>征收部门要严格按照规定的收费范围、标准、程序征收城市配套费，不得随意提高或降低收费标准、扩大或缩小收费范围。擅自批准减征、免征和缓征城市配套费的，依照《财政违法行为处罚处分条例》《河南省政府非税收入管理条例》相关规定严肃处理，构成犯罪的依法追究刑事责任。</w:t>
      </w:r>
    </w:p>
    <w:p w14:paraId="6FA530FC">
      <w:pPr>
        <w:pStyle w:val="3"/>
        <w:spacing w:before="226" w:line="341" w:lineRule="auto"/>
        <w:ind w:right="226" w:firstLine="743" w:firstLineChars="200"/>
        <w:jc w:val="both"/>
        <w:rPr>
          <w:rFonts w:hint="eastAsia" w:ascii="仿宋_GB2312" w:hAnsi="仿宋_GB2312" w:eastAsia="仿宋_GB2312" w:cs="仿宋_GB2312"/>
          <w:spacing w:val="27"/>
          <w:sz w:val="32"/>
          <w:szCs w:val="32"/>
          <w:lang w:val="en-US" w:eastAsia="zh-CN"/>
        </w:rPr>
      </w:pPr>
      <w:r>
        <w:rPr>
          <w:rFonts w:hint="eastAsia" w:ascii="仿宋_GB2312" w:hAnsi="仿宋_GB2312" w:eastAsia="仿宋_GB2312" w:cs="仿宋_GB2312"/>
          <w:b/>
          <w:bCs/>
          <w:spacing w:val="25"/>
          <w:sz w:val="32"/>
          <w:szCs w:val="32"/>
        </w:rPr>
        <w:t>第十</w:t>
      </w:r>
      <w:r>
        <w:rPr>
          <w:rFonts w:hint="eastAsia" w:ascii="仿宋_GB2312" w:hAnsi="仿宋_GB2312" w:eastAsia="仿宋_GB2312" w:cs="仿宋_GB2312"/>
          <w:b/>
          <w:bCs/>
          <w:spacing w:val="25"/>
          <w:sz w:val="32"/>
          <w:szCs w:val="32"/>
          <w:lang w:val="en-US" w:eastAsia="zh-CN"/>
        </w:rPr>
        <w:t>二</w:t>
      </w:r>
      <w:r>
        <w:rPr>
          <w:rFonts w:hint="eastAsia" w:ascii="仿宋_GB2312" w:hAnsi="仿宋_GB2312" w:eastAsia="仿宋_GB2312" w:cs="仿宋_GB2312"/>
          <w:b/>
          <w:bCs/>
          <w:spacing w:val="25"/>
          <w:sz w:val="32"/>
          <w:szCs w:val="32"/>
        </w:rPr>
        <w:t>条</w:t>
      </w:r>
      <w:r>
        <w:rPr>
          <w:rFonts w:hint="eastAsia" w:ascii="仿宋_GB2312" w:hAnsi="仿宋_GB2312" w:eastAsia="仿宋_GB2312" w:cs="仿宋_GB2312"/>
          <w:spacing w:val="16"/>
          <w:sz w:val="32"/>
          <w:szCs w:val="32"/>
        </w:rPr>
        <w:t xml:space="preserve">  </w:t>
      </w:r>
      <w:r>
        <w:rPr>
          <w:rFonts w:hint="eastAsia" w:ascii="仿宋_GB2312" w:hAnsi="仿宋_GB2312" w:eastAsia="仿宋_GB2312" w:cs="仿宋_GB2312"/>
          <w:spacing w:val="27"/>
          <w:sz w:val="32"/>
          <w:szCs w:val="32"/>
          <w:lang w:val="en-US" w:eastAsia="zh-CN"/>
        </w:rPr>
        <w:t>缴纳义务人应当如期足额缴纳城市配套费，不得缓缴、少缴。缴纳义务人未按规定及时足额缴纳城市配套费，经催缴仍拒绝缴纳的，征收部门依法向人民法院申请强制执行。缴纳义务人存在违反法定缴纳义务情形的，由征收部门函告县住房城乡建设、自然资源和规划、发展改革等相关部门，各部门按照职责分工对缴纳义务人依法依规加强监督管理，依照《河南省社会信用条例》采取惩戒措施，在实施行政许可等工作中，列为重点审查对象，</w:t>
      </w:r>
      <w:r>
        <w:rPr>
          <w:rFonts w:hint="eastAsia" w:ascii="仿宋_GB2312" w:hAnsi="仿宋_GB2312" w:eastAsia="仿宋_GB2312" w:cs="仿宋_GB2312"/>
          <w:color w:val="000000" w:themeColor="text1"/>
          <w:spacing w:val="27"/>
          <w:sz w:val="32"/>
          <w:szCs w:val="32"/>
          <w:highlight w:val="none"/>
          <w:lang w:val="en-US" w:eastAsia="zh-CN"/>
          <w14:textFill>
            <w14:solidFill>
              <w14:schemeClr w14:val="tx1"/>
            </w14:solidFill>
          </w14:textFill>
        </w:rPr>
        <w:t>不适用告知承诺等简化程序，</w:t>
      </w:r>
      <w:r>
        <w:rPr>
          <w:rFonts w:hint="eastAsia" w:ascii="仿宋_GB2312" w:hAnsi="仿宋_GB2312" w:eastAsia="仿宋_GB2312" w:cs="仿宋_GB2312"/>
          <w:spacing w:val="27"/>
          <w:sz w:val="32"/>
          <w:szCs w:val="32"/>
          <w:lang w:val="en-US" w:eastAsia="zh-CN"/>
        </w:rPr>
        <w:t>并由发展改革部门将欠费信息纳入企业信用记录。</w:t>
      </w:r>
    </w:p>
    <w:p w14:paraId="2C742483">
      <w:pPr>
        <w:pStyle w:val="3"/>
        <w:spacing w:before="279" w:line="328" w:lineRule="auto"/>
        <w:ind w:right="228" w:firstLine="704"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pacing w:val="16"/>
          <w:sz w:val="32"/>
          <w:szCs w:val="32"/>
        </w:rPr>
        <w:t>第十</w:t>
      </w:r>
      <w:r>
        <w:rPr>
          <w:rFonts w:hint="eastAsia" w:ascii="仿宋_GB2312" w:hAnsi="仿宋_GB2312" w:eastAsia="仿宋_GB2312" w:cs="仿宋_GB2312"/>
          <w:spacing w:val="16"/>
          <w:sz w:val="32"/>
          <w:szCs w:val="32"/>
          <w:lang w:val="en-US" w:eastAsia="zh-CN"/>
        </w:rPr>
        <w:t>三</w:t>
      </w:r>
      <w:r>
        <w:rPr>
          <w:rFonts w:hint="eastAsia" w:ascii="仿宋_GB2312" w:hAnsi="仿宋_GB2312" w:eastAsia="仿宋_GB2312" w:cs="仿宋_GB2312"/>
          <w:spacing w:val="16"/>
          <w:sz w:val="32"/>
          <w:szCs w:val="32"/>
        </w:rPr>
        <w:t xml:space="preserve">条 </w:t>
      </w:r>
      <w:r>
        <w:rPr>
          <w:rFonts w:hint="eastAsia" w:ascii="仿宋_GB2312" w:hAnsi="仿宋_GB2312" w:eastAsia="仿宋_GB2312" w:cs="仿宋_GB2312"/>
          <w:spacing w:val="16"/>
          <w:sz w:val="32"/>
          <w:szCs w:val="32"/>
          <w:lang w:val="en-US" w:eastAsia="zh-CN"/>
        </w:rPr>
        <w:t xml:space="preserve"> </w:t>
      </w:r>
      <w:r>
        <w:rPr>
          <w:rFonts w:hint="eastAsia" w:ascii="仿宋_GB2312" w:hAnsi="仿宋_GB2312" w:eastAsia="仿宋_GB2312" w:cs="仿宋_GB2312"/>
          <w:spacing w:val="27"/>
          <w:sz w:val="32"/>
          <w:szCs w:val="32"/>
          <w:lang w:val="en-US" w:eastAsia="zh-CN"/>
        </w:rPr>
        <w:t>将城市配套费缴纳凭证查验纳入县住房城乡建设部门工程建设审批系统，并设置缴费提醒功能，实现项目备案、规划许可、施工许可等行政审批结果及缴费情况等信息共享。</w:t>
      </w:r>
    </w:p>
    <w:p w14:paraId="0BD0FE02">
      <w:pPr>
        <w:pStyle w:val="3"/>
        <w:spacing w:before="279" w:line="328" w:lineRule="auto"/>
        <w:ind w:right="228" w:firstLine="704" w:firstLineChars="200"/>
        <w:jc w:val="both"/>
        <w:rPr>
          <w:rFonts w:hint="eastAsia" w:ascii="仿宋_GB2312" w:hAnsi="仿宋_GB2312" w:eastAsia="仿宋_GB2312" w:cs="仿宋_GB2312"/>
          <w:spacing w:val="27"/>
          <w:sz w:val="32"/>
          <w:szCs w:val="32"/>
          <w:lang w:val="en-US" w:eastAsia="zh-CN"/>
        </w:rPr>
      </w:pPr>
      <w:r>
        <w:rPr>
          <w:rFonts w:hint="eastAsia" w:ascii="仿宋_GB2312" w:hAnsi="仿宋_GB2312" w:eastAsia="仿宋_GB2312" w:cs="仿宋_GB2312"/>
          <w:spacing w:val="16"/>
          <w:sz w:val="32"/>
          <w:szCs w:val="32"/>
        </w:rPr>
        <w:t>第十</w:t>
      </w:r>
      <w:r>
        <w:rPr>
          <w:rFonts w:hint="eastAsia" w:ascii="仿宋_GB2312" w:hAnsi="仿宋_GB2312" w:eastAsia="仿宋_GB2312" w:cs="仿宋_GB2312"/>
          <w:spacing w:val="16"/>
          <w:sz w:val="32"/>
          <w:szCs w:val="32"/>
          <w:lang w:val="en-US" w:eastAsia="zh-CN"/>
        </w:rPr>
        <w:t>四</w:t>
      </w:r>
      <w:r>
        <w:rPr>
          <w:rFonts w:hint="eastAsia" w:ascii="仿宋_GB2312" w:hAnsi="仿宋_GB2312" w:eastAsia="仿宋_GB2312" w:cs="仿宋_GB2312"/>
          <w:spacing w:val="16"/>
          <w:sz w:val="32"/>
          <w:szCs w:val="32"/>
        </w:rPr>
        <w:t xml:space="preserve">条  </w:t>
      </w:r>
      <w:r>
        <w:rPr>
          <w:rFonts w:hint="eastAsia" w:ascii="仿宋_GB2312" w:hAnsi="仿宋_GB2312" w:eastAsia="仿宋_GB2312" w:cs="仿宋_GB2312"/>
          <w:spacing w:val="27"/>
          <w:sz w:val="32"/>
          <w:szCs w:val="32"/>
          <w:lang w:val="en-US" w:eastAsia="zh-CN"/>
        </w:rPr>
        <w:t>县住房城乡建设、发展改革、自然资源和规划、不动产登记、财政等有关行政管理部门应在职能范围内通过审批系统平台共享城市配套费征收有关信息：</w:t>
      </w:r>
    </w:p>
    <w:p w14:paraId="12602799">
      <w:pPr>
        <w:pStyle w:val="3"/>
        <w:spacing w:before="279" w:line="328" w:lineRule="auto"/>
        <w:ind w:right="228" w:firstLine="748" w:firstLineChars="200"/>
        <w:jc w:val="both"/>
        <w:rPr>
          <w:rFonts w:hint="eastAsia" w:ascii="仿宋" w:hAnsi="仿宋" w:eastAsia="仿宋" w:cs="仿宋"/>
          <w:spacing w:val="27"/>
          <w:sz w:val="32"/>
          <w:szCs w:val="32"/>
          <w:lang w:val="en-US" w:eastAsia="zh-CN"/>
        </w:rPr>
      </w:pPr>
      <w:r>
        <w:rPr>
          <w:rFonts w:hint="eastAsia" w:ascii="仿宋" w:hAnsi="仿宋" w:eastAsia="仿宋" w:cs="仿宋"/>
          <w:spacing w:val="27"/>
          <w:sz w:val="32"/>
          <w:szCs w:val="32"/>
          <w:lang w:val="en-US" w:eastAsia="zh-CN"/>
        </w:rPr>
        <w:t>( 一)建设项目立项、计划信息；</w:t>
      </w:r>
    </w:p>
    <w:p w14:paraId="4E2B91DF">
      <w:pPr>
        <w:pStyle w:val="3"/>
        <w:spacing w:before="189" w:line="313" w:lineRule="auto"/>
        <w:ind w:right="124" w:firstLine="748" w:firstLineChars="200"/>
        <w:jc w:val="both"/>
        <w:rPr>
          <w:rFonts w:hint="eastAsia" w:ascii="仿宋" w:hAnsi="仿宋" w:eastAsia="仿宋" w:cs="仿宋"/>
          <w:b w:val="0"/>
          <w:bCs w:val="0"/>
          <w:spacing w:val="27"/>
          <w:sz w:val="32"/>
          <w:szCs w:val="32"/>
          <w:lang w:val="en-US" w:eastAsia="zh-CN"/>
        </w:rPr>
      </w:pPr>
      <w:r>
        <w:rPr>
          <w:rFonts w:hint="eastAsia" w:ascii="仿宋" w:hAnsi="仿宋" w:eastAsia="仿宋" w:cs="仿宋"/>
          <w:b w:val="0"/>
          <w:bCs w:val="0"/>
          <w:spacing w:val="27"/>
          <w:sz w:val="32"/>
          <w:szCs w:val="32"/>
          <w:lang w:val="en-US" w:eastAsia="zh-CN"/>
        </w:rPr>
        <w:t>(二)建设用地规划许可、建设工程规划许可、建设工程规划土地核验、施工许可、竣工联合验收、不动产登记等信息；</w:t>
      </w:r>
    </w:p>
    <w:p w14:paraId="2521E37E">
      <w:pPr>
        <w:pStyle w:val="3"/>
        <w:spacing w:before="189" w:line="313" w:lineRule="auto"/>
        <w:ind w:right="124" w:firstLine="748" w:firstLineChars="200"/>
        <w:jc w:val="both"/>
        <w:rPr>
          <w:rFonts w:hint="eastAsia" w:ascii="仿宋" w:hAnsi="仿宋" w:eastAsia="仿宋" w:cs="仿宋"/>
          <w:b w:val="0"/>
          <w:bCs w:val="0"/>
          <w:spacing w:val="27"/>
          <w:sz w:val="32"/>
          <w:szCs w:val="32"/>
          <w:lang w:val="en-US" w:eastAsia="zh-CN"/>
        </w:rPr>
      </w:pPr>
      <w:r>
        <w:rPr>
          <w:rFonts w:hint="eastAsia" w:ascii="仿宋" w:hAnsi="仿宋" w:eastAsia="仿宋" w:cs="仿宋"/>
          <w:b w:val="0"/>
          <w:bCs w:val="0"/>
          <w:spacing w:val="27"/>
          <w:sz w:val="32"/>
          <w:szCs w:val="32"/>
          <w:lang w:val="en-US" w:eastAsia="zh-CN"/>
        </w:rPr>
        <w:t>（三）城市配套费缴费计算表及缴费票据信息；</w:t>
      </w:r>
    </w:p>
    <w:p w14:paraId="15422FC2">
      <w:pPr>
        <w:pStyle w:val="3"/>
        <w:spacing w:before="279" w:line="328" w:lineRule="auto"/>
        <w:ind w:right="228" w:firstLine="748" w:firstLineChars="200"/>
        <w:jc w:val="both"/>
        <w:rPr>
          <w:rFonts w:hint="eastAsia" w:ascii="仿宋" w:hAnsi="仿宋" w:eastAsia="仿宋" w:cs="仿宋"/>
          <w:b w:val="0"/>
          <w:bCs w:val="0"/>
          <w:spacing w:val="27"/>
          <w:sz w:val="32"/>
          <w:szCs w:val="32"/>
          <w:lang w:val="en-US" w:eastAsia="zh-CN"/>
        </w:rPr>
      </w:pPr>
      <w:r>
        <w:rPr>
          <w:rFonts w:hint="eastAsia" w:ascii="仿宋" w:hAnsi="仿宋" w:eastAsia="仿宋" w:cs="仿宋"/>
          <w:b w:val="0"/>
          <w:bCs w:val="0"/>
          <w:spacing w:val="27"/>
          <w:sz w:val="32"/>
          <w:szCs w:val="32"/>
          <w:lang w:val="en-US" w:eastAsia="zh-CN"/>
        </w:rPr>
        <w:t>（四）与城市配套费征收相关的其他信息。</w:t>
      </w:r>
    </w:p>
    <w:p w14:paraId="02FFEE42">
      <w:pPr>
        <w:pStyle w:val="3"/>
        <w:spacing w:before="279" w:line="328" w:lineRule="auto"/>
        <w:ind w:right="228" w:firstLine="748" w:firstLineChars="200"/>
        <w:jc w:val="both"/>
        <w:rPr>
          <w:rFonts w:hint="eastAsia" w:ascii="仿宋_GB2312" w:hAnsi="仿宋_GB2312" w:eastAsia="仿宋_GB2312" w:cs="仿宋_GB2312"/>
          <w:spacing w:val="27"/>
          <w:sz w:val="32"/>
          <w:szCs w:val="32"/>
          <w:lang w:val="en-US" w:eastAsia="zh-CN"/>
        </w:rPr>
      </w:pPr>
      <w:r>
        <w:rPr>
          <w:rFonts w:hint="eastAsia" w:ascii="仿宋_GB2312" w:hAnsi="仿宋_GB2312" w:eastAsia="仿宋_GB2312" w:cs="仿宋_GB2312"/>
          <w:spacing w:val="27"/>
          <w:sz w:val="32"/>
          <w:szCs w:val="32"/>
          <w:lang w:val="en-US" w:eastAsia="zh-CN"/>
        </w:rPr>
        <w:t>通过信息共享可以实现内部核验的证明事项和相关材料，在征收、补缴及减免程序中无需建设单位重复提交。</w:t>
      </w:r>
    </w:p>
    <w:p w14:paraId="5C17D135">
      <w:pPr>
        <w:pStyle w:val="3"/>
        <w:spacing w:before="279" w:line="328" w:lineRule="auto"/>
        <w:ind w:right="228" w:firstLine="704" w:firstLineChars="200"/>
        <w:jc w:val="both"/>
        <w:rPr>
          <w:rFonts w:hint="eastAsia" w:ascii="仿宋_GB2312" w:hAnsi="仿宋_GB2312" w:eastAsia="仿宋_GB2312" w:cs="仿宋_GB2312"/>
          <w:spacing w:val="27"/>
          <w:sz w:val="32"/>
          <w:szCs w:val="32"/>
          <w:lang w:val="en-US" w:eastAsia="zh-CN"/>
        </w:rPr>
      </w:pPr>
      <w:r>
        <w:rPr>
          <w:rFonts w:hint="eastAsia" w:ascii="仿宋_GB2312" w:hAnsi="仿宋_GB2312" w:eastAsia="仿宋_GB2312" w:cs="仿宋_GB2312"/>
          <w:spacing w:val="16"/>
          <w:sz w:val="32"/>
          <w:szCs w:val="32"/>
        </w:rPr>
        <w:t>第十</w:t>
      </w:r>
      <w:r>
        <w:rPr>
          <w:rFonts w:hint="eastAsia" w:ascii="仿宋_GB2312" w:hAnsi="仿宋_GB2312" w:eastAsia="仿宋_GB2312" w:cs="仿宋_GB2312"/>
          <w:spacing w:val="16"/>
          <w:sz w:val="32"/>
          <w:szCs w:val="32"/>
          <w:lang w:val="en-US" w:eastAsia="zh-CN"/>
        </w:rPr>
        <w:t>五</w:t>
      </w:r>
      <w:r>
        <w:rPr>
          <w:rFonts w:hint="eastAsia" w:ascii="仿宋_GB2312" w:hAnsi="仿宋_GB2312" w:eastAsia="仿宋_GB2312" w:cs="仿宋_GB2312"/>
          <w:spacing w:val="16"/>
          <w:sz w:val="32"/>
          <w:szCs w:val="32"/>
        </w:rPr>
        <w:t>条</w:t>
      </w:r>
      <w:r>
        <w:rPr>
          <w:rFonts w:hint="eastAsia" w:ascii="仿宋_GB2312" w:hAnsi="仿宋_GB2312" w:eastAsia="仿宋_GB2312" w:cs="仿宋_GB2312"/>
          <w:spacing w:val="52"/>
          <w:sz w:val="32"/>
          <w:szCs w:val="32"/>
        </w:rPr>
        <w:t xml:space="preserve"> </w:t>
      </w:r>
      <w:r>
        <w:rPr>
          <w:rFonts w:hint="eastAsia" w:ascii="仿宋_GB2312" w:hAnsi="仿宋_GB2312" w:eastAsia="仿宋_GB2312" w:cs="仿宋_GB2312"/>
          <w:spacing w:val="27"/>
          <w:sz w:val="32"/>
          <w:szCs w:val="32"/>
          <w:lang w:val="en-US" w:eastAsia="zh-CN"/>
        </w:rPr>
        <w:t>相关审批部门在受理《建筑工程施工许可证》、《商品房预售许可证》、新建民用建筑防空地下室同步建设审批、 规划土地核验、工程竣工验收备案、不动产登记申请时，均应通过部门共享信息核查城市配套费缴费情况。缴纳义务人未履行缴费承诺的，审批部门应当督促其按照规定缴清城市配套费。</w:t>
      </w:r>
    </w:p>
    <w:p w14:paraId="5F6AE597">
      <w:pPr>
        <w:pStyle w:val="3"/>
        <w:spacing w:before="279" w:line="328" w:lineRule="auto"/>
        <w:ind w:right="228" w:firstLine="748" w:firstLineChars="200"/>
        <w:jc w:val="both"/>
        <w:rPr>
          <w:rFonts w:hint="eastAsia" w:ascii="仿宋_GB2312" w:hAnsi="仿宋_GB2312" w:eastAsia="仿宋_GB2312" w:cs="仿宋_GB2312"/>
          <w:spacing w:val="27"/>
          <w:sz w:val="32"/>
          <w:szCs w:val="32"/>
          <w:lang w:val="en-US" w:eastAsia="zh-CN"/>
        </w:rPr>
      </w:pPr>
      <w:r>
        <w:rPr>
          <w:rFonts w:hint="eastAsia" w:ascii="仿宋_GB2312" w:hAnsi="仿宋_GB2312" w:eastAsia="仿宋_GB2312" w:cs="仿宋_GB2312"/>
          <w:spacing w:val="27"/>
          <w:sz w:val="32"/>
          <w:szCs w:val="32"/>
          <w:lang w:val="en-US" w:eastAsia="zh-CN"/>
        </w:rPr>
        <w:t>政府各相关职能部门要按照本通知规定，履行好部门职责，做好工作节点的审核把关，对相关部门和单位未认真履行职责 、采取措施不力造成城市配套费应缴未缴的，依照国家有关规定追究法律责任。</w:t>
      </w:r>
    </w:p>
    <w:p w14:paraId="3D8AE265">
      <w:pPr>
        <w:pStyle w:val="3"/>
        <w:spacing w:before="91" w:line="363" w:lineRule="auto"/>
        <w:ind w:right="268" w:firstLine="744"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pacing w:val="26"/>
          <w:sz w:val="32"/>
          <w:szCs w:val="32"/>
        </w:rPr>
        <w:t>第十</w:t>
      </w:r>
      <w:r>
        <w:rPr>
          <w:rFonts w:hint="eastAsia" w:ascii="仿宋_GB2312" w:hAnsi="仿宋_GB2312" w:eastAsia="仿宋_GB2312" w:cs="仿宋_GB2312"/>
          <w:spacing w:val="26"/>
          <w:sz w:val="32"/>
          <w:szCs w:val="32"/>
          <w:lang w:val="en-US" w:eastAsia="zh-CN"/>
        </w:rPr>
        <w:t>六</w:t>
      </w:r>
      <w:r>
        <w:rPr>
          <w:rFonts w:hint="eastAsia" w:ascii="仿宋_GB2312" w:hAnsi="仿宋_GB2312" w:eastAsia="仿宋_GB2312" w:cs="仿宋_GB2312"/>
          <w:spacing w:val="26"/>
          <w:sz w:val="32"/>
          <w:szCs w:val="32"/>
        </w:rPr>
        <w:t xml:space="preserve">条 </w:t>
      </w:r>
      <w:r>
        <w:rPr>
          <w:rFonts w:hint="eastAsia" w:ascii="仿宋_GB2312" w:hAnsi="仿宋_GB2312" w:eastAsia="仿宋_GB2312" w:cs="仿宋_GB2312"/>
          <w:spacing w:val="27"/>
          <w:sz w:val="32"/>
          <w:szCs w:val="32"/>
        </w:rPr>
        <w:t xml:space="preserve"> </w:t>
      </w:r>
      <w:r>
        <w:rPr>
          <w:rFonts w:hint="eastAsia" w:ascii="仿宋_GB2312" w:hAnsi="仿宋_GB2312" w:eastAsia="仿宋_GB2312" w:cs="仿宋_GB2312"/>
          <w:spacing w:val="27"/>
          <w:sz w:val="32"/>
          <w:szCs w:val="32"/>
          <w:lang w:val="en-US" w:eastAsia="zh-CN"/>
        </w:rPr>
        <w:t>本办法自公开发布之日起施行。《桐柏县人民政府关于印发桐柏县城市基础设施配套费征收管理办法的通知》(桐政〔2017〕89号)和《桐柏县人民政府关于进一步明确桐柏县城市基础设施配套费征收管理有关工作的通知》(桐政〔2021〕46号)同时废止。县政府以前发布的其他相关规定，与本办法不一致的，按本办法执行。对本办法执行之前已办理《建设工程规划许可证》未缴纳城市配套费的建设项目，按办证时施行的征收标准计征城市配套费。</w:t>
      </w:r>
    </w:p>
    <w:p w14:paraId="5DAE9D1A">
      <w:pPr>
        <w:spacing w:line="243" w:lineRule="auto"/>
        <w:jc w:val="both"/>
        <w:rPr>
          <w:rFonts w:hint="eastAsia" w:ascii="仿宋_GB2312" w:hAnsi="仿宋_GB2312" w:eastAsia="仿宋_GB2312" w:cs="仿宋_GB2312"/>
          <w:sz w:val="32"/>
          <w:szCs w:val="32"/>
        </w:rPr>
      </w:pPr>
    </w:p>
    <w:p w14:paraId="62DFB485">
      <w:pPr>
        <w:spacing w:line="244" w:lineRule="auto"/>
        <w:jc w:val="both"/>
        <w:rPr>
          <w:rFonts w:hint="eastAsia" w:ascii="仿宋_GB2312" w:hAnsi="仿宋_GB2312" w:eastAsia="仿宋_GB2312" w:cs="仿宋_GB2312"/>
          <w:sz w:val="32"/>
          <w:szCs w:val="32"/>
        </w:rPr>
      </w:pPr>
    </w:p>
    <w:p w14:paraId="2BC34374">
      <w:pPr>
        <w:pStyle w:val="3"/>
        <w:spacing w:before="91" w:line="222" w:lineRule="auto"/>
        <w:ind w:left="609"/>
        <w:jc w:val="both"/>
        <w:rPr>
          <w:rFonts w:hint="eastAsia" w:ascii="仿宋_GB2312" w:hAnsi="仿宋_GB2312" w:eastAsia="仿宋_GB2312" w:cs="仿宋_GB2312"/>
          <w:sz w:val="32"/>
          <w:szCs w:val="32"/>
          <w:lang w:val="en-US" w:eastAsia="zh-CN"/>
        </w:rPr>
        <w:sectPr>
          <w:footerReference r:id="rId6" w:type="default"/>
          <w:pgSz w:w="12090" w:h="16950"/>
          <w:pgMar w:top="1440" w:right="1813" w:bottom="2524" w:left="1400" w:header="0" w:footer="2109" w:gutter="0"/>
          <w:cols w:space="720" w:num="1"/>
        </w:sectPr>
      </w:pPr>
      <w:r>
        <w:rPr>
          <w:rFonts w:hint="eastAsia" w:ascii="仿宋_GB2312" w:hAnsi="仿宋_GB2312" w:eastAsia="仿宋_GB2312" w:cs="仿宋_GB2312"/>
          <w:spacing w:val="22"/>
          <w:sz w:val="32"/>
          <w:szCs w:val="32"/>
        </w:rPr>
        <w:t>附件：城市基础设施配套费缴纳</w:t>
      </w:r>
      <w:r>
        <w:rPr>
          <w:rFonts w:hint="eastAsia" w:ascii="仿宋_GB2312" w:hAnsi="仿宋_GB2312" w:eastAsia="仿宋_GB2312" w:cs="仿宋_GB2312"/>
          <w:spacing w:val="22"/>
          <w:sz w:val="32"/>
          <w:szCs w:val="32"/>
          <w:lang w:val="en-US" w:eastAsia="zh-CN"/>
        </w:rPr>
        <w:t>告知书</w:t>
      </w:r>
    </w:p>
    <w:p w14:paraId="5DFB141B">
      <w:pPr>
        <w:spacing w:before="91" w:line="224" w:lineRule="auto"/>
        <w:ind w:left="53"/>
        <w:rPr>
          <w:rFonts w:ascii="黑体" w:hAnsi="黑体" w:eastAsia="黑体" w:cs="黑体"/>
          <w:sz w:val="28"/>
          <w:szCs w:val="28"/>
        </w:rPr>
      </w:pPr>
      <w:r>
        <w:rPr>
          <w:rFonts w:ascii="黑体" w:hAnsi="黑体" w:eastAsia="黑体" w:cs="黑体"/>
          <w:b/>
          <w:bCs/>
          <w:spacing w:val="-17"/>
          <w:sz w:val="28"/>
          <w:szCs w:val="28"/>
        </w:rPr>
        <w:t>附</w:t>
      </w:r>
      <w:r>
        <w:rPr>
          <w:rFonts w:ascii="黑体" w:hAnsi="黑体" w:eastAsia="黑体" w:cs="黑体"/>
          <w:spacing w:val="28"/>
          <w:sz w:val="28"/>
          <w:szCs w:val="28"/>
        </w:rPr>
        <w:t xml:space="preserve">  </w:t>
      </w:r>
      <w:r>
        <w:rPr>
          <w:rFonts w:ascii="黑体" w:hAnsi="黑体" w:eastAsia="黑体" w:cs="黑体"/>
          <w:b/>
          <w:bCs/>
          <w:spacing w:val="-17"/>
          <w:sz w:val="28"/>
          <w:szCs w:val="28"/>
        </w:rPr>
        <w:t>件</w:t>
      </w:r>
    </w:p>
    <w:p w14:paraId="430ADAD1">
      <w:pPr>
        <w:spacing w:line="321" w:lineRule="auto"/>
        <w:rPr>
          <w:rFonts w:ascii="Arial"/>
          <w:sz w:val="21"/>
        </w:rPr>
      </w:pPr>
    </w:p>
    <w:p w14:paraId="1033636B">
      <w:pPr>
        <w:spacing w:line="321" w:lineRule="auto"/>
        <w:rPr>
          <w:rFonts w:ascii="Arial"/>
          <w:sz w:val="21"/>
        </w:rPr>
      </w:pPr>
    </w:p>
    <w:p w14:paraId="4E3CDD2C">
      <w:pPr>
        <w:spacing w:before="130" w:line="218" w:lineRule="auto"/>
        <w:ind w:left="1585"/>
        <w:rPr>
          <w:rFonts w:ascii="宋体" w:hAnsi="宋体" w:eastAsia="宋体" w:cs="宋体"/>
          <w:sz w:val="40"/>
          <w:szCs w:val="40"/>
        </w:rPr>
      </w:pPr>
      <w:r>
        <w:rPr>
          <w:rFonts w:ascii="宋体" w:hAnsi="宋体" w:eastAsia="宋体" w:cs="宋体"/>
          <w:b/>
          <w:bCs/>
          <w:spacing w:val="1"/>
          <w:sz w:val="40"/>
          <w:szCs w:val="40"/>
        </w:rPr>
        <w:t>城市基础设施配套费缴纳告知书</w:t>
      </w:r>
    </w:p>
    <w:p w14:paraId="5B129A5C">
      <w:pPr>
        <w:spacing w:line="252" w:lineRule="auto"/>
        <w:rPr>
          <w:rFonts w:ascii="Arial"/>
          <w:sz w:val="21"/>
        </w:rPr>
      </w:pPr>
    </w:p>
    <w:p w14:paraId="5712C6EA">
      <w:pPr>
        <w:spacing w:line="252" w:lineRule="auto"/>
        <w:rPr>
          <w:rFonts w:ascii="Arial"/>
          <w:sz w:val="21"/>
        </w:rPr>
      </w:pPr>
    </w:p>
    <w:p w14:paraId="01DC372A">
      <w:pPr>
        <w:spacing w:line="252" w:lineRule="auto"/>
        <w:rPr>
          <w:rFonts w:ascii="Arial"/>
          <w:sz w:val="21"/>
        </w:rPr>
      </w:pPr>
    </w:p>
    <w:p w14:paraId="2E1B3598">
      <w:pPr>
        <w:spacing w:line="253" w:lineRule="auto"/>
        <w:rPr>
          <w:rFonts w:ascii="Arial"/>
          <w:sz w:val="21"/>
        </w:rPr>
      </w:pPr>
      <w:r>
        <w:drawing>
          <wp:anchor distT="0" distB="0" distL="0" distR="0" simplePos="0" relativeHeight="251659264" behindDoc="0" locked="0" layoutInCell="1" allowOverlap="1">
            <wp:simplePos x="0" y="0"/>
            <wp:positionH relativeFrom="column">
              <wp:posOffset>43815</wp:posOffset>
            </wp:positionH>
            <wp:positionV relativeFrom="paragraph">
              <wp:posOffset>17780</wp:posOffset>
            </wp:positionV>
            <wp:extent cx="1987550" cy="635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9"/>
                    <a:stretch>
                      <a:fillRect/>
                    </a:stretch>
                  </pic:blipFill>
                  <pic:spPr>
                    <a:xfrm>
                      <a:off x="0" y="0"/>
                      <a:ext cx="1987510" cy="6350"/>
                    </a:xfrm>
                    <a:prstGeom prst="rect">
                      <a:avLst/>
                    </a:prstGeom>
                  </pic:spPr>
                </pic:pic>
              </a:graphicData>
            </a:graphic>
          </wp:anchor>
        </w:drawing>
      </w:r>
    </w:p>
    <w:p w14:paraId="0D33F83C">
      <w:pPr>
        <w:pStyle w:val="3"/>
        <w:spacing w:before="91" w:line="356" w:lineRule="auto"/>
        <w:ind w:left="49" w:firstLine="619"/>
        <w:jc w:val="both"/>
        <w:rPr>
          <w:sz w:val="28"/>
          <w:szCs w:val="28"/>
        </w:rPr>
      </w:pPr>
      <w:r>
        <w:rPr>
          <w:spacing w:val="30"/>
          <w:sz w:val="28"/>
          <w:szCs w:val="28"/>
        </w:rPr>
        <w:t>你单位开发建设的</w:t>
      </w:r>
      <w:r>
        <w:rPr>
          <w:spacing w:val="-113"/>
          <w:sz w:val="28"/>
          <w:szCs w:val="28"/>
        </w:rPr>
        <w:t xml:space="preserve"> </w:t>
      </w:r>
      <w:r>
        <w:rPr>
          <w:spacing w:val="30"/>
          <w:sz w:val="28"/>
          <w:szCs w:val="28"/>
          <w:u w:val="single" w:color="auto"/>
        </w:rPr>
        <w:t xml:space="preserve">               </w:t>
      </w:r>
      <w:r>
        <w:rPr>
          <w:spacing w:val="30"/>
          <w:sz w:val="28"/>
          <w:szCs w:val="28"/>
        </w:rPr>
        <w:t>工程建设项目(国有土</w:t>
      </w:r>
      <w:r>
        <w:rPr>
          <w:sz w:val="28"/>
          <w:szCs w:val="28"/>
        </w:rPr>
        <w:t xml:space="preserve"> </w:t>
      </w:r>
      <w:r>
        <w:rPr>
          <w:spacing w:val="11"/>
          <w:sz w:val="28"/>
          <w:szCs w:val="28"/>
        </w:rPr>
        <w:t>地使用证编号：</w:t>
      </w:r>
      <w:r>
        <w:rPr>
          <w:spacing w:val="126"/>
          <w:sz w:val="28"/>
          <w:szCs w:val="28"/>
        </w:rPr>
        <w:t xml:space="preserve"> </w:t>
      </w:r>
      <w:r>
        <w:rPr>
          <w:spacing w:val="4"/>
          <w:sz w:val="28"/>
          <w:szCs w:val="28"/>
          <w:u w:val="single" w:color="auto"/>
        </w:rPr>
        <w:t xml:space="preserve">                     </w:t>
      </w:r>
      <w:r>
        <w:rPr>
          <w:spacing w:val="-134"/>
          <w:sz w:val="28"/>
          <w:szCs w:val="28"/>
        </w:rPr>
        <w:t xml:space="preserve"> </w:t>
      </w:r>
      <w:r>
        <w:rPr>
          <w:spacing w:val="11"/>
          <w:sz w:val="28"/>
          <w:szCs w:val="28"/>
        </w:rPr>
        <w:t>_</w:t>
      </w:r>
      <w:r>
        <w:rPr>
          <w:spacing w:val="-71"/>
          <w:sz w:val="28"/>
          <w:szCs w:val="28"/>
        </w:rPr>
        <w:t xml:space="preserve"> </w:t>
      </w:r>
      <w:r>
        <w:rPr>
          <w:spacing w:val="11"/>
          <w:sz w:val="28"/>
          <w:szCs w:val="28"/>
        </w:rPr>
        <w:t>;建设工程规划许可证编</w:t>
      </w:r>
      <w:r>
        <w:rPr>
          <w:sz w:val="28"/>
          <w:szCs w:val="28"/>
        </w:rPr>
        <w:t xml:space="preserve"> </w:t>
      </w:r>
      <w:r>
        <w:rPr>
          <w:spacing w:val="40"/>
          <w:sz w:val="28"/>
          <w:szCs w:val="28"/>
        </w:rPr>
        <w:t>号：</w:t>
      </w:r>
      <w:r>
        <w:rPr>
          <w:spacing w:val="-64"/>
          <w:sz w:val="28"/>
          <w:szCs w:val="28"/>
        </w:rPr>
        <w:t xml:space="preserve"> </w:t>
      </w:r>
      <w:r>
        <w:rPr>
          <w:spacing w:val="4"/>
          <w:sz w:val="28"/>
          <w:szCs w:val="28"/>
          <w:u w:val="single" w:color="auto"/>
        </w:rPr>
        <w:t xml:space="preserve">                     </w:t>
      </w:r>
      <w:r>
        <w:rPr>
          <w:spacing w:val="-114"/>
          <w:sz w:val="28"/>
          <w:szCs w:val="28"/>
        </w:rPr>
        <w:t xml:space="preserve"> </w:t>
      </w:r>
      <w:r>
        <w:rPr>
          <w:spacing w:val="40"/>
          <w:sz w:val="28"/>
          <w:szCs w:val="28"/>
        </w:rPr>
        <w:t>),根据《</w:t>
      </w:r>
      <w:r>
        <w:rPr>
          <w:rFonts w:hint="eastAsia"/>
          <w:spacing w:val="40"/>
          <w:sz w:val="28"/>
          <w:szCs w:val="28"/>
          <w:lang w:val="en-US" w:eastAsia="zh-CN"/>
        </w:rPr>
        <w:t>桐柏县</w:t>
      </w:r>
      <w:r>
        <w:rPr>
          <w:spacing w:val="40"/>
          <w:sz w:val="28"/>
          <w:szCs w:val="28"/>
        </w:rPr>
        <w:t>城市基础设施配套</w:t>
      </w:r>
      <w:r>
        <w:rPr>
          <w:sz w:val="28"/>
          <w:szCs w:val="28"/>
        </w:rPr>
        <w:t xml:space="preserve"> </w:t>
      </w:r>
      <w:r>
        <w:rPr>
          <w:spacing w:val="33"/>
          <w:sz w:val="28"/>
          <w:szCs w:val="28"/>
        </w:rPr>
        <w:t>费征收管理办法》(</w:t>
      </w:r>
      <w:r>
        <w:rPr>
          <w:rFonts w:hint="eastAsia"/>
          <w:spacing w:val="33"/>
          <w:sz w:val="28"/>
          <w:szCs w:val="28"/>
          <w:lang w:val="en-US" w:eastAsia="zh-CN"/>
        </w:rPr>
        <w:t>桐</w:t>
      </w:r>
      <w:r>
        <w:rPr>
          <w:spacing w:val="33"/>
          <w:sz w:val="28"/>
          <w:szCs w:val="28"/>
        </w:rPr>
        <w:t>政办〔202</w:t>
      </w:r>
      <w:r>
        <w:rPr>
          <w:rFonts w:hint="eastAsia"/>
          <w:spacing w:val="33"/>
          <w:sz w:val="28"/>
          <w:szCs w:val="28"/>
          <w:lang w:val="en-US" w:eastAsia="zh-CN"/>
        </w:rPr>
        <w:t>6</w:t>
      </w:r>
      <w:r>
        <w:rPr>
          <w:spacing w:val="33"/>
          <w:sz w:val="28"/>
          <w:szCs w:val="28"/>
        </w:rPr>
        <w:t>〕号)规定应缴纳城市基础</w:t>
      </w:r>
      <w:r>
        <w:rPr>
          <w:spacing w:val="9"/>
          <w:sz w:val="28"/>
          <w:szCs w:val="28"/>
        </w:rPr>
        <w:t xml:space="preserve"> </w:t>
      </w:r>
      <w:r>
        <w:rPr>
          <w:spacing w:val="24"/>
          <w:sz w:val="28"/>
          <w:szCs w:val="28"/>
        </w:rPr>
        <w:t>设施配套费</w:t>
      </w:r>
      <w:r>
        <w:rPr>
          <w:spacing w:val="-51"/>
          <w:sz w:val="28"/>
          <w:szCs w:val="28"/>
        </w:rPr>
        <w:t xml:space="preserve"> </w:t>
      </w:r>
      <w:r>
        <w:rPr>
          <w:spacing w:val="11"/>
          <w:sz w:val="28"/>
          <w:szCs w:val="28"/>
          <w:u w:val="single" w:color="auto"/>
        </w:rPr>
        <w:t xml:space="preserve">            </w:t>
      </w:r>
      <w:r>
        <w:rPr>
          <w:spacing w:val="-122"/>
          <w:sz w:val="28"/>
          <w:szCs w:val="28"/>
        </w:rPr>
        <w:t xml:space="preserve"> </w:t>
      </w:r>
      <w:r>
        <w:rPr>
          <w:spacing w:val="24"/>
          <w:sz w:val="28"/>
          <w:szCs w:val="28"/>
        </w:rPr>
        <w:t>万元。请你单位自觉遵守国家、省、市</w:t>
      </w:r>
      <w:r>
        <w:rPr>
          <w:sz w:val="28"/>
          <w:szCs w:val="28"/>
        </w:rPr>
        <w:t xml:space="preserve"> </w:t>
      </w:r>
      <w:r>
        <w:rPr>
          <w:rFonts w:hint="eastAsia"/>
          <w:sz w:val="28"/>
          <w:szCs w:val="28"/>
          <w:lang w:eastAsia="zh-CN"/>
        </w:rPr>
        <w:t>、</w:t>
      </w:r>
      <w:r>
        <w:rPr>
          <w:rFonts w:hint="eastAsia"/>
          <w:sz w:val="28"/>
          <w:szCs w:val="28"/>
          <w:lang w:val="en-US" w:eastAsia="zh-CN"/>
        </w:rPr>
        <w:t>县</w:t>
      </w:r>
      <w:r>
        <w:rPr>
          <w:spacing w:val="27"/>
          <w:sz w:val="28"/>
          <w:szCs w:val="28"/>
        </w:rPr>
        <w:t>关于城市基础设施配套费相关政策规定，在申请</w:t>
      </w:r>
      <w:r>
        <w:rPr>
          <w:spacing w:val="26"/>
          <w:sz w:val="28"/>
          <w:szCs w:val="28"/>
        </w:rPr>
        <w:t>办理《建筑工程</w:t>
      </w:r>
      <w:r>
        <w:rPr>
          <w:spacing w:val="28"/>
          <w:sz w:val="28"/>
          <w:szCs w:val="28"/>
        </w:rPr>
        <w:t>施工许可证》之前足额缴纳。逾期未缴纳的，征收部</w:t>
      </w:r>
      <w:r>
        <w:rPr>
          <w:spacing w:val="27"/>
          <w:sz w:val="28"/>
          <w:szCs w:val="28"/>
        </w:rPr>
        <w:t>门将函告相关部门依照《河南省社会信用条例》采取惩戒措施，经催缴</w:t>
      </w:r>
      <w:r>
        <w:rPr>
          <w:spacing w:val="26"/>
          <w:sz w:val="28"/>
          <w:szCs w:val="28"/>
        </w:rPr>
        <w:t>仍不</w:t>
      </w:r>
      <w:r>
        <w:rPr>
          <w:spacing w:val="21"/>
          <w:sz w:val="28"/>
          <w:szCs w:val="28"/>
        </w:rPr>
        <w:t>缴纳的</w:t>
      </w:r>
      <w:r>
        <w:rPr>
          <w:rFonts w:hint="eastAsia"/>
          <w:spacing w:val="21"/>
          <w:sz w:val="28"/>
          <w:szCs w:val="28"/>
          <w:lang w:eastAsia="zh-CN"/>
        </w:rPr>
        <w:t>，</w:t>
      </w:r>
      <w:r>
        <w:rPr>
          <w:spacing w:val="21"/>
          <w:sz w:val="28"/>
          <w:szCs w:val="28"/>
        </w:rPr>
        <w:t>征收部门依法向人民法院申请强制执行。</w:t>
      </w:r>
    </w:p>
    <w:p w14:paraId="34DA79AE">
      <w:pPr>
        <w:pStyle w:val="3"/>
        <w:spacing w:before="53" w:line="365" w:lineRule="auto"/>
        <w:ind w:left="49" w:right="31" w:firstLine="619"/>
        <w:rPr>
          <w:rFonts w:hint="eastAsia" w:ascii="Arial" w:hAnsi="Arial" w:eastAsia="仿宋" w:cs="Arial"/>
          <w:sz w:val="28"/>
          <w:szCs w:val="28"/>
          <w:lang w:eastAsia="zh-CN"/>
        </w:rPr>
      </w:pPr>
      <w:r>
        <w:rPr>
          <w:spacing w:val="28"/>
          <w:sz w:val="28"/>
          <w:szCs w:val="28"/>
        </w:rPr>
        <w:t>对告知内容如有疑问，可向</w:t>
      </w:r>
      <w:r>
        <w:rPr>
          <w:spacing w:val="4"/>
          <w:sz w:val="28"/>
          <w:szCs w:val="28"/>
          <w:u w:val="single" w:color="auto"/>
        </w:rPr>
        <w:t xml:space="preserve">                     </w:t>
      </w:r>
      <w:r>
        <w:rPr>
          <w:spacing w:val="28"/>
          <w:sz w:val="28"/>
          <w:szCs w:val="28"/>
        </w:rPr>
        <w:t xml:space="preserve"> (征收机</w:t>
      </w:r>
      <w:r>
        <w:rPr>
          <w:spacing w:val="6"/>
          <w:sz w:val="28"/>
          <w:szCs w:val="28"/>
        </w:rPr>
        <w:t xml:space="preserve"> </w:t>
      </w:r>
      <w:r>
        <w:rPr>
          <w:spacing w:val="20"/>
          <w:sz w:val="28"/>
          <w:szCs w:val="28"/>
        </w:rPr>
        <w:t>关)咨询反馈，电话：</w:t>
      </w:r>
      <w:r>
        <w:rPr>
          <w:spacing w:val="48"/>
          <w:sz w:val="28"/>
          <w:szCs w:val="28"/>
        </w:rPr>
        <w:t xml:space="preserve"> </w:t>
      </w:r>
      <w:r>
        <w:rPr>
          <w:spacing w:val="4"/>
          <w:sz w:val="28"/>
          <w:szCs w:val="28"/>
          <w:u w:val="single" w:color="auto"/>
        </w:rPr>
        <w:t xml:space="preserve">                     </w:t>
      </w:r>
      <w:r>
        <w:rPr>
          <w:spacing w:val="-114"/>
          <w:sz w:val="28"/>
          <w:szCs w:val="28"/>
        </w:rPr>
        <w:t xml:space="preserve"> </w:t>
      </w:r>
      <w:r>
        <w:rPr>
          <w:rFonts w:hint="eastAsia" w:ascii="Arial" w:hAnsi="Arial" w:eastAsia="宋体" w:cs="Arial"/>
          <w:spacing w:val="20"/>
          <w:sz w:val="28"/>
          <w:szCs w:val="28"/>
          <w:lang w:eastAsia="zh-CN"/>
        </w:rPr>
        <w:t>。</w:t>
      </w:r>
    </w:p>
    <w:p w14:paraId="75E20FDC">
      <w:pPr>
        <w:spacing w:line="267" w:lineRule="auto"/>
        <w:rPr>
          <w:rFonts w:ascii="Arial"/>
          <w:sz w:val="21"/>
        </w:rPr>
      </w:pPr>
    </w:p>
    <w:p w14:paraId="1C63FFD3">
      <w:pPr>
        <w:spacing w:line="267" w:lineRule="auto"/>
        <w:rPr>
          <w:rFonts w:ascii="Arial"/>
          <w:sz w:val="21"/>
        </w:rPr>
      </w:pPr>
    </w:p>
    <w:p w14:paraId="1C0017D0">
      <w:pPr>
        <w:pStyle w:val="3"/>
        <w:spacing w:before="91" w:line="356" w:lineRule="auto"/>
        <w:ind w:left="49" w:firstLine="619"/>
        <w:jc w:val="center"/>
        <w:rPr>
          <w:spacing w:val="28"/>
          <w:sz w:val="28"/>
          <w:szCs w:val="28"/>
        </w:rPr>
      </w:pPr>
      <w:r>
        <w:rPr>
          <w:rFonts w:hint="eastAsia"/>
          <w:spacing w:val="28"/>
          <w:sz w:val="28"/>
          <w:szCs w:val="28"/>
          <w:lang w:val="en-US" w:eastAsia="zh-CN"/>
        </w:rPr>
        <w:t xml:space="preserve">                       </w:t>
      </w:r>
      <w:r>
        <w:rPr>
          <w:spacing w:val="28"/>
          <w:sz w:val="28"/>
          <w:szCs w:val="28"/>
        </w:rPr>
        <w:t>年   月   日</w:t>
      </w:r>
    </w:p>
    <w:p w14:paraId="7C18674E">
      <w:pPr>
        <w:spacing w:before="4"/>
      </w:pPr>
    </w:p>
    <w:p w14:paraId="1905F43B">
      <w:pPr>
        <w:spacing w:before="4"/>
      </w:pPr>
    </w:p>
    <w:p w14:paraId="07AC582C">
      <w:pPr>
        <w:spacing w:before="4"/>
      </w:pPr>
    </w:p>
    <w:p w14:paraId="271BCA4A">
      <w:pPr>
        <w:spacing w:before="3"/>
      </w:pPr>
    </w:p>
    <w:p w14:paraId="715EE5A3">
      <w:pPr>
        <w:spacing w:line="345" w:lineRule="auto"/>
      </w:pPr>
    </w:p>
    <w:p w14:paraId="4260A936">
      <w:pPr>
        <w:spacing w:before="3"/>
        <w:rPr>
          <w:rFonts w:hint="default" w:ascii="宋体" w:hAnsi="宋体" w:eastAsia="宋体" w:cs="宋体"/>
          <w:sz w:val="28"/>
          <w:szCs w:val="28"/>
          <w:lang w:val="en-US" w:eastAsia="zh-CN"/>
        </w:rPr>
      </w:pPr>
      <w:r>
        <w:rPr>
          <w:rFonts w:hint="eastAsia"/>
          <w:lang w:val="en-US" w:eastAsia="zh-CN"/>
        </w:rPr>
        <w:t xml:space="preserve">                                          </w:t>
      </w:r>
    </w:p>
    <w:sectPr>
      <w:footerReference r:id="rId7" w:type="default"/>
      <w:pgSz w:w="11900" w:h="16820"/>
      <w:pgMar w:top="1429" w:right="1511" w:bottom="400" w:left="170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CD4E5">
    <w:pPr>
      <w:spacing w:line="234" w:lineRule="auto"/>
      <w:ind w:left="7560"/>
      <w:rPr>
        <w:rFonts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0E1FF">
    <w:pPr>
      <w:spacing w:before="1" w:line="233" w:lineRule="auto"/>
      <w:ind w:left="7539"/>
      <w:rPr>
        <w:rFonts w:ascii="宋体" w:hAnsi="宋体" w:eastAsia="宋体" w:cs="宋体"/>
        <w:sz w:val="32"/>
        <w:szCs w:val="3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E8C2E">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61E62B"/>
    <w:multiLevelType w:val="singleLevel"/>
    <w:tmpl w:val="BC61E62B"/>
    <w:lvl w:ilvl="0" w:tentative="0">
      <w:start w:val="4"/>
      <w:numFmt w:val="chineseCounting"/>
      <w:suff w:val="space"/>
      <w:lvlText w:val="第%1条"/>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28D5DB7"/>
    <w:rsid w:val="06A207E5"/>
    <w:rsid w:val="072D659E"/>
    <w:rsid w:val="079B7C31"/>
    <w:rsid w:val="08A454C4"/>
    <w:rsid w:val="0B2C17A1"/>
    <w:rsid w:val="0BA033AB"/>
    <w:rsid w:val="0D8F355C"/>
    <w:rsid w:val="0FB35FED"/>
    <w:rsid w:val="119F3F6A"/>
    <w:rsid w:val="11AC6E3C"/>
    <w:rsid w:val="11BE0044"/>
    <w:rsid w:val="14F71E87"/>
    <w:rsid w:val="151B6B0E"/>
    <w:rsid w:val="186232AA"/>
    <w:rsid w:val="1C9609A0"/>
    <w:rsid w:val="1DFC66DD"/>
    <w:rsid w:val="221D490C"/>
    <w:rsid w:val="261A696E"/>
    <w:rsid w:val="29F02881"/>
    <w:rsid w:val="2B1F5F99"/>
    <w:rsid w:val="2B550BEF"/>
    <w:rsid w:val="2FFB15BE"/>
    <w:rsid w:val="34FB1A93"/>
    <w:rsid w:val="36AA5E2A"/>
    <w:rsid w:val="38564C27"/>
    <w:rsid w:val="39904BDC"/>
    <w:rsid w:val="39C42A21"/>
    <w:rsid w:val="3A017816"/>
    <w:rsid w:val="3A3C7DF7"/>
    <w:rsid w:val="40B92D37"/>
    <w:rsid w:val="42B444E8"/>
    <w:rsid w:val="458E3FDD"/>
    <w:rsid w:val="45BD741D"/>
    <w:rsid w:val="4AEE55F3"/>
    <w:rsid w:val="4CE13403"/>
    <w:rsid w:val="4F380302"/>
    <w:rsid w:val="503A5393"/>
    <w:rsid w:val="50575F45"/>
    <w:rsid w:val="519D31E6"/>
    <w:rsid w:val="531243A6"/>
    <w:rsid w:val="5495528E"/>
    <w:rsid w:val="56025A54"/>
    <w:rsid w:val="58B82755"/>
    <w:rsid w:val="593047A5"/>
    <w:rsid w:val="5D6F6A3F"/>
    <w:rsid w:val="66E1292F"/>
    <w:rsid w:val="6716400D"/>
    <w:rsid w:val="67B07AF8"/>
    <w:rsid w:val="69CF6278"/>
    <w:rsid w:val="6A164813"/>
    <w:rsid w:val="6D107530"/>
    <w:rsid w:val="71FA5E13"/>
    <w:rsid w:val="72983E98"/>
    <w:rsid w:val="72A828C8"/>
    <w:rsid w:val="74C90995"/>
    <w:rsid w:val="798755C8"/>
    <w:rsid w:val="79D47201"/>
    <w:rsid w:val="7FFB76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25"/>
      <w:szCs w:val="25"/>
      <w:lang w:val="en-US" w:eastAsia="en-US"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仿宋" w:hAnsi="仿宋" w:eastAsia="仿宋" w:cs="仿宋"/>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9e96c777-223f-444a-ac78-7d6e2dd3e504</errorID>
      <errorWord>(</errorWord>
      <group>L1_Format</group>
      <groupName>格式问题</groupName>
      <ability>L2_HalfPunc</ability>
      <abilityName>全半角检查</abilityName>
      <candidateList>
        <item>（</item>
      </candidateList>
      <explain>文本全半角错误。</explain>
      <paraID>42D3581E</paraID>
      <start>20</start>
      <end>21</end>
      <status>ignored</status>
      <modifiedWord/>
      <trackRevisions>false</trackRevisions>
    </reviewItem>
    <reviewItem>
      <errorID>2a88e5b4-1eb6-4d70-b8dd-d4c37d76d073</errorID>
      <errorWord>)</errorWord>
      <group>L1_Format</group>
      <groupName>格式问题</groupName>
      <ability>L2_HalfPunc</ability>
      <abilityName>全半角检查</abilityName>
      <candidateList>
        <item>）</item>
      </candidateList>
      <explain>文本全半角错误。</explain>
      <paraID>42D3581E</paraID>
      <start>32</start>
      <end>33</end>
      <status>ignored</status>
      <modifiedWord/>
      <trackRevisions>false</trackRevisions>
    </reviewItem>
    <reviewItem>
      <errorID>a1863f20-79c8-44fd-b052-a49f1ee53768</errorID>
      <errorWord>(</errorWord>
      <group>L1_Format</group>
      <groupName>格式问题</groupName>
      <ability>L2_HalfPunc</ability>
      <abilityName>全半角检查</abilityName>
      <candidateList>
        <item>（</item>
      </candidateList>
      <explain>文本全半角错误。</explain>
      <paraID>5A0E52F7</paraID>
      <start>17</start>
      <end>18</end>
      <status>modified</status>
      <modifiedWord>（</modifiedWord>
      <trackRevisions>false</trackRevisions>
    </reviewItem>
    <reviewItem>
      <errorID>a93bed54-758a-4c0c-9090-bee875643897</errorID>
      <errorWord>)</errorWord>
      <group>L1_Format</group>
      <groupName>格式问题</groupName>
      <ability>L2_HalfPunc</ability>
      <abilityName>全半角检查</abilityName>
      <candidateList>
        <item>）</item>
      </candidateList>
      <explain>文本全半角错误。</explain>
      <paraID>5A0E52F7</paraID>
      <start>32</start>
      <end>33</end>
      <status>ignored</status>
      <modifiedWord/>
      <trackRevisions>false</trackRevisions>
    </reviewItem>
    <reviewItem>
      <errorID>fae2cc40-85f2-4e71-a5ee-9c0465b2a39a</errorID>
      <errorWord>改进</errorWord>
      <group>L1_Word</group>
      <groupName>字词问题</groupName>
      <ability>L2_Typo</ability>
      <abilityName>字词错误</abilityName>
      <candidateList>
        <item>改建</item>
      </candidateList>
      <explain/>
      <paraID>120D8268</paraID>
      <start>51</start>
      <end>53</end>
      <status>ignored</status>
      <modifiedWord/>
      <trackRevisions>false</trackRevisions>
    </reviewItem>
    <reviewItem>
      <errorID>6570570a-3389-4c76-ac4e-f70882c6577e</errorID>
      <errorWord>(</errorWord>
      <group>L1_Format</group>
      <groupName>格式问题</groupName>
      <ability>L2_HalfPunc</ability>
      <abilityName>全半角检查</abilityName>
      <candidateList>
        <item>（</item>
      </candidateList>
      <explain>文本全半角错误。</explain>
      <paraID>7F89F04A</paraID>
      <start>81</start>
      <end>82</end>
      <status>ignored</status>
      <modifiedWord/>
      <trackRevisions>false</trackRevisions>
    </reviewItem>
    <reviewItem>
      <errorID>e932ed25-040d-4a93-83a6-0b6bd538b647</errorID>
      <errorWord>)</errorWord>
      <group>L1_Format</group>
      <groupName>格式问题</groupName>
      <ability>L2_HalfPunc</ability>
      <abilityName>全半角检查</abilityName>
      <candidateList>
        <item>）</item>
      </candidateList>
      <explain>文本全半角错误。</explain>
      <paraID>7F89F04A</paraID>
      <start>96</start>
      <end>97</end>
      <status>ignored</status>
      <modifiedWord/>
      <trackRevisions>false</trackRevisions>
    </reviewItem>
    <reviewItem>
      <errorID>688d22b7-f15f-4dcf-afc6-516ecb8d38a6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5D18BA2</paraID>
      <start>0</start>
      <end>2</end>
      <status>ignored</status>
      <modifiedWord/>
      <trackRevisions>false</trackRevisions>
    </reviewItem>
    <reviewItem>
      <errorID>11760ba3-81fb-4fd2-93b8-bddf73ca25d3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50BC3C00</paraID>
      <start>0</start>
      <end>2</end>
      <status>ignored</status>
      <modifiedWord/>
      <trackRevisions>false</trackRevisions>
    </reviewItem>
    <reviewItem>
      <errorID>ef865a97-d83f-4238-935c-2b0f8787c5c6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1FA243EF</paraID>
      <start>0</start>
      <end>2</end>
      <status>ignored</status>
      <modifiedWord/>
      <trackRevisions>false</trackRevisions>
    </reviewItem>
    <reviewItem>
      <errorID>88f82cb4-b6a8-40d4-a9e8-16bda609f2b2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60F8EE07</paraID>
      <start>0</start>
      <end>2</end>
      <status>ignored</status>
      <modifiedWord/>
      <trackRevisions>false</trackRevisions>
    </reviewItem>
    <reviewItem>
      <errorID>d558a650-cbe4-4749-b2f6-a1811bba5ab8</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61965A66</paraID>
      <start>0</start>
      <end>3</end>
      <status>ignored</status>
      <modifiedWord/>
      <trackRevisions>false</trackRevisions>
    </reviewItem>
    <reviewItem>
      <errorID>c16817c0-b189-4170-89bb-8eebbb31670b</errorID>
      <errorWord>(</errorWord>
      <group>L1_Format</group>
      <groupName>格式问题</groupName>
      <ability>L2_HalfPunc</ability>
      <abilityName>全半角检查</abilityName>
      <candidateList>
        <item>（</item>
      </candidateList>
      <explain>文本全半角错误。</explain>
      <paraID>61965A66</paraID>
      <start>7</start>
      <end>8</end>
      <status>ignored</status>
      <modifiedWord/>
      <trackRevisions>false</trackRevisions>
    </reviewItem>
    <reviewItem>
      <errorID>f97ab7fc-f561-454a-a85f-2d7b36254e7d</errorID>
      <errorWord>)</errorWord>
      <group>L1_Format</group>
      <groupName>格式问题</groupName>
      <ability>L2_HalfPunc</ability>
      <abilityName>全半角检查</abilityName>
      <candidateList>
        <item>）</item>
      </candidateList>
      <explain>文本全半角错误。</explain>
      <paraID>61965A66</paraID>
      <start>20</start>
      <end>21</end>
      <status>ignored</status>
      <modifiedWord/>
      <trackRevisions>false</trackRevisions>
    </reviewItem>
    <reviewItem>
      <errorID>e39876ab-813d-41ac-8145-32609068bb9c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4C5B9BA4</paraID>
      <start>0</start>
      <end>2</end>
      <status>unmodified</status>
      <modifiedWord/>
      <trackRevisions>false</trackRevisions>
    </reviewItem>
    <reviewItem>
      <errorID>a7c9334c-596d-48d9-8b62-3786718e890b</errorID>
      <errorWord>,</errorWord>
      <group>L1_Format</group>
      <groupName>格式问题</groupName>
      <ability>L2_HalfPunc</ability>
      <abilityName>全半角检查</abilityName>
      <candidateList>
        <item>，</item>
      </candidateList>
      <explain>文本全半角错误。</explain>
      <paraID>4C5B9BA4</paraID>
      <start>14</start>
      <end>15</end>
      <status>unmodified</status>
      <modifiedWord/>
      <trackRevisions>false</trackRevisions>
    </reviewItem>
    <reviewItem>
      <errorID>114d7aad-1e2f-447b-a110-1d0c39783abe</errorID>
      <errorWord>,</errorWord>
      <group>L1_Format</group>
      <groupName>格式问题</groupName>
      <ability>L2_HalfPunc</ability>
      <abilityName>全半角检查</abilityName>
      <candidateList>
        <item>，</item>
      </candidateList>
      <explain>文本全半角错误。</explain>
      <paraID>4C5B9BA4</paraID>
      <start>27</start>
      <end>28</end>
      <status>unmodified</status>
      <modifiedWord/>
      <trackRevisions>false</trackRevisions>
    </reviewItem>
    <reviewItem>
      <errorID>c8d00cf9-a45a-45dc-87fb-0d22d10fd234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1A5E46F9</paraID>
      <start>0</start>
      <end>2</end>
      <status>unmodified</status>
      <modifiedWord/>
      <trackRevisions>false</trackRevisions>
    </reviewItem>
    <reviewItem>
      <errorID>e2060ee0-3ddc-40ac-8edb-49334885780a</errorID>
      <errorWord>,</errorWord>
      <group>L1_Format</group>
      <groupName>格式问题</groupName>
      <ability>L2_HalfPunc</ability>
      <abilityName>全半角检查</abilityName>
      <candidateList>
        <item>，</item>
      </candidateList>
      <explain>文本全半角错误。</explain>
      <paraID>246BDB11</paraID>
      <start>24</start>
      <end>25</end>
      <status>unmodified</status>
      <modifiedWord/>
      <trackRevisions>false</trackRevisions>
    </reviewItem>
    <reviewItem>
      <errorID>cea6d2e6-a5aa-4c45-a609-8afb2db0fbaf</errorID>
      <errorWord>(</errorWord>
      <group>L1_Format</group>
      <groupName>格式问题</groupName>
      <ability>L2_HalfPunc</ability>
      <abilityName>全半角检查</abilityName>
      <candidateList>
        <item>（</item>
      </candidateList>
      <explain>文本全半角错误。</explain>
      <paraID>7A74E26E</paraID>
      <start>14</start>
      <end>15</end>
      <status>unmodified</status>
      <modifiedWord/>
      <trackRevisions>false</trackRevisions>
    </reviewItem>
    <reviewItem>
      <errorID>9cd4bc98-8fcb-4fcf-b5b4-4a2392061190</errorID>
      <errorWord>)</errorWord>
      <group>L1_Format</group>
      <groupName>格式问题</groupName>
      <ability>L2_HalfPunc</ability>
      <abilityName>全半角检查</abilityName>
      <candidateList>
        <item>）</item>
      </candidateList>
      <explain>文本全半角错误。</explain>
      <paraID>7A74E26E</paraID>
      <start>19</start>
      <end>20</end>
      <status>unmodified</status>
      <modifiedWord/>
      <trackRevisions>false</trackRevisions>
    </reviewItem>
    <reviewItem>
      <errorID>2618646a-88df-42ce-ba07-a321e91b6e43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2B86682F</paraID>
      <start>0</start>
      <end>2</end>
      <status>unmodified</status>
      <modifiedWord/>
      <trackRevisions>false</trackRevisions>
    </reviewItem>
    <reviewItem>
      <errorID>00c92cd4-d7ff-4555-8de8-392182b1e4ab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2A0B5B30</paraID>
      <start>0</start>
      <end>2</end>
      <status>unmodified</status>
      <modifiedWord/>
      <trackRevisions>false</trackRevisions>
    </reviewItem>
    <reviewItem>
      <errorID>4b85ded0-1150-4275-9896-b32f7a52ac2d</errorID>
      <errorWord>,</errorWord>
      <group>L1_Format</group>
      <groupName>格式问题</groupName>
      <ability>L2_HalfPunc</ability>
      <abilityName>全半角检查</abilityName>
      <candidateList>
        <item>，</item>
      </candidateList>
      <explain>文本全半角错误。</explain>
      <paraID> CF7A039</paraID>
      <start>71</start>
      <end>72</end>
      <status>unmodified</status>
      <modifiedWord/>
      <trackRevisions>false</trackRevisions>
    </reviewItem>
    <reviewItem>
      <errorID>5cddb97f-a90a-4041-b7cd-8ed9e0d8501a</errorID>
      <errorWord>,</errorWord>
      <group>L1_Format</group>
      <groupName>格式问题</groupName>
      <ability>L2_HalfPunc</ability>
      <abilityName>全半角检查</abilityName>
      <candidateList>
        <item>，</item>
      </candidateList>
      <explain>文本全半角错误。</explain>
      <paraID> CF7A039</paraID>
      <start>90</start>
      <end>91</end>
      <status>unmodified</status>
      <modifiedWord/>
      <trackRevisions>false</trackRevisions>
    </reviewItem>
    <reviewItem>
      <errorID>f80e4e4d-174d-4441-b72c-f842f5a206d0</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4050386</paraID>
      <start>0</start>
      <end>3</end>
      <status>unmodified</status>
      <modifiedWord/>
      <trackRevisions>false</trackRevisions>
    </reviewItem>
    <reviewItem>
      <errorID>b54bc1f8-4058-49b6-be40-a396a13d6ee9</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34FE3261</paraID>
      <start>0</start>
      <end>3</end>
      <status>unmodified</status>
      <modifiedWord/>
      <trackRevisions>false</trackRevisions>
    </reviewItem>
    <reviewItem>
      <errorID>599ee971-c780-438d-b4a9-21fdb71cdd3d</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7C164AA1</paraID>
      <start>0</start>
      <end>3</end>
      <status>unmodified</status>
      <modifiedWord/>
      <trackRevisions>false</trackRevisions>
    </reviewItem>
    <reviewItem>
      <errorID>e8c257d0-437d-49ec-9523-691e9ec4c55b</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553229EC</paraID>
      <start>0</start>
      <end>3</end>
      <status>unmodified</status>
      <modifiedWord/>
      <trackRevisions>false</trackRevisions>
    </reviewItem>
    <reviewItem>
      <errorID>7193f091-ad6d-45d4-a1ff-bd2cd720eec7</errorID>
      <errorWord>(</errorWord>
      <group>L1_Format</group>
      <groupName>格式问题</groupName>
      <ability>L2_HalfPunc</ability>
      <abilityName>全半角检查</abilityName>
      <candidateList>
        <item>（</item>
      </candidateList>
      <explain>文本全半角错误。</explain>
      <paraID>3BCE612C</paraID>
      <start>178</start>
      <end>179</end>
      <status>unmodified</status>
      <modifiedWord/>
      <trackRevisions>false</trackRevisions>
    </reviewItem>
    <reviewItem>
      <errorID>b70c527e-a07e-4027-9c75-3ea911fe6eae</errorID>
      <errorWord>),</errorWord>
      <group>L1_Format</group>
      <groupName>格式问题</groupName>
      <ability>L2_HalfPunc</ability>
      <abilityName>全半角检查</abilityName>
      <candidateList>
        <item>），</item>
      </candidateList>
      <explain>文本全半角错误。</explain>
      <paraID>3BCE612C</paraID>
      <start>186</start>
      <end>188</end>
      <status>unmodified</status>
      <modifiedWord/>
      <trackRevisions>false</trackRevisions>
    </reviewItem>
    <reviewItem>
      <errorID>e1535b15-79c7-4190-becd-ecb7c4fc3ce9</errorID>
      <errorWord>》</errorWord>
      <group>L1_Word</group>
      <groupName>字词问题</groupName>
      <ability>L2_Typo</ability>
      <abilityName>字词错误</abilityName>
      <candidateList>
        <item>》等</item>
      </candidateList>
      <explain/>
      <paraID>30A1E9DF</paraID>
      <start>109</start>
      <end>110</end>
      <status>unmodified</status>
      <modifiedWord/>
      <trackRevisions>false</trackRevisions>
    </reviewItem>
    <reviewItem>
      <errorID>76566947-4605-4e76-a1d5-d7d7e6255f7a</errorID>
      <errorWord>(</errorWord>
      <group>L1_Format</group>
      <groupName>格式问题</groupName>
      <ability>L2_HalfPunc</ability>
      <abilityName>全半角检查</abilityName>
      <candidateList>
        <item>（</item>
      </candidateList>
      <explain>文本全半角错误。</explain>
      <paraID>12602799</paraID>
      <start>0</start>
      <end>1</end>
      <status>unmodified</status>
      <modifiedWord/>
      <trackRevisions>false</trackRevisions>
    </reviewItem>
    <reviewItem>
      <errorID>db5a3f45-6e83-4bbc-9119-913df9e1bdfa</errorID>
      <errorWord>)</errorWord>
      <group>L1_Format</group>
      <groupName>格式问题</groupName>
      <ability>L2_HalfPunc</ability>
      <abilityName>全半角检查</abilityName>
      <candidateList>
        <item>）</item>
      </candidateList>
      <explain>文本全半角错误。</explain>
      <paraID>12602799</paraID>
      <start>3</start>
      <end>4</end>
      <status>unmodified</status>
      <modifiedWord/>
      <trackRevisions>false</trackRevisions>
    </reviewItem>
    <reviewItem>
      <errorID>de79d6a6-5d1d-402a-ad86-53fc32b7da99</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4E2B91DF</paraID>
      <start>0</start>
      <end>3</end>
      <status>unmodified</status>
      <modifiedWord/>
      <trackRevisions>false</trackRevisions>
    </reviewItem>
    <reviewItem>
      <errorID>58d11e49-ac9d-4a84-be63-5b06552983db</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2521E37E</paraID>
      <start>0</start>
      <end>3</end>
      <status>unmodified</status>
      <modifiedWord/>
      <trackRevisions>false</trackRevisions>
    </reviewItem>
    <reviewItem>
      <errorID>b3cafca2-d6d4-47f9-b28c-38f97fb8e44c</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15422FC2</paraID>
      <start>0</start>
      <end>3</end>
      <status>unmodified</status>
      <modifiedWord/>
      <trackRevisions>false</trackRevisions>
    </reviewItem>
    <reviewItem>
      <errorID>7b105769-e3ba-4faa-b6be-4187214873c0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5C17D135</paraID>
      <start>24</start>
      <end>27</end>
      <status>unmodified</status>
      <modifiedWord/>
      <trackRevisions>false</trackRevisions>
    </reviewItem>
    <reviewItem>
      <errorID>93b1bf95-ca8c-43a4-a6ed-ae6ee815e3f1</errorID>
      <errorWord>(</errorWord>
      <group>L1_Format</group>
      <groupName>格式问题</groupName>
      <ability>L2_HalfPunc</ability>
      <abilityName>全半角检查</abilityName>
      <candidateList>
        <item>（</item>
      </candidateList>
      <explain>文本全半角错误。</explain>
      <paraID>3D8AE265</paraID>
      <start>54</start>
      <end>55</end>
      <status>unmodified</status>
      <modifiedWord/>
      <trackRevisions>false</trackRevisions>
    </reviewItem>
    <reviewItem>
      <errorID>1de77023-9be1-45cd-bf5e-d4c350c7d8f3</errorID>
      <errorWord>)</errorWord>
      <group>L1_Format</group>
      <groupName>格式问题</groupName>
      <ability>L2_HalfPunc</ability>
      <abilityName>全半角检查</abilityName>
      <candidateList>
        <item>）</item>
      </candidateList>
      <explain>文本全半角错误。</explain>
      <paraID>3D8AE265</paraID>
      <start>66</start>
      <end>67</end>
      <status>unmodified</status>
      <modifiedWord/>
      <trackRevisions>false</trackRevisions>
    </reviewItem>
    <reviewItem>
      <errorID>4dc741fb-3437-4c89-8b5a-3b66fd5924bb</errorID>
      <errorWord>(</errorWord>
      <group>L1_Format</group>
      <groupName>格式问题</groupName>
      <ability>L2_HalfPunc</ability>
      <abilityName>全半角检查</abilityName>
      <candidateList>
        <item>（</item>
      </candidateList>
      <explain>文本全半角错误。</explain>
      <paraID>3D8AE265</paraID>
      <start>107</start>
      <end>108</end>
      <status>unmodified</status>
      <modifiedWord/>
      <trackRevisions>false</trackRevisions>
    </reviewItem>
    <reviewItem>
      <errorID>0f8697d2-f4d6-4b3f-a286-5f44d938769e</errorID>
      <errorWord>)</errorWord>
      <group>L1_Format</group>
      <groupName>格式问题</groupName>
      <ability>L2_HalfPunc</ability>
      <abilityName>全半角检查</abilityName>
      <candidateList>
        <item>）</item>
      </candidateList>
      <explain>文本全半角错误。</explain>
      <paraID>3D8AE265</paraID>
      <start>119</start>
      <end>120</end>
      <status>unmodified</status>
      <modifiedWord/>
      <trackRevisions>false</trackRevisions>
    </reviewItem>
    <reviewItem>
      <errorID>2ab0b469-cd29-4d18-9937-1084840e0f52</errorID>
      <errorWord>执行</errorWord>
      <group>L1_Word</group>
      <groupName>字词问题</groupName>
      <ability>L2_Typo</ability>
      <abilityName>字词错误</abilityName>
      <candidateList>
        <item>施行</item>
      </candidateList>
      <explain>存在发音相近字词的误用。</explain>
      <paraID>3D8AE265</paraID>
      <start>160</start>
      <end>162</end>
      <status>unmodified</status>
      <modifiedWord/>
      <trackRevisions>false</trackRevisions>
    </reviewItem>
    <reviewItem>
      <errorID>4e6ff33d-e3f3-445b-acf5-5ebc7e84811d</errorID>
      <errorWord>(</errorWord>
      <group>L1_Format</group>
      <groupName>格式问题</groupName>
      <ability>L2_HalfPunc</ability>
      <abilityName>全半角检查</abilityName>
      <candidateList>
        <item>（</item>
      </candidateList>
      <explain>文本全半角错误。</explain>
      <paraID> D33F83C</paraID>
      <start>30</start>
      <end>31</end>
      <status>unmodified</status>
      <modifiedWord/>
      <trackRevisions>false</trackRevisions>
    </reviewItem>
    <reviewItem>
      <errorID>63d1920e-f6e2-4275-9d69-f8d4b0ffc278</errorID>
      <errorWord>;</errorWord>
      <group>L1_Format</group>
      <groupName>格式问题</groupName>
      <ability>L2_HalfPunc</ability>
      <abilityName>全半角检查</abilityName>
      <candidateList>
        <item>；</item>
      </candidateList>
      <explain>文本全半角错误。</explain>
      <paraID> D33F83C</paraID>
      <start>67</start>
      <end>68</end>
      <status>unmodified</status>
      <modifiedWord/>
      <trackRevisions>false</trackRevisions>
    </reviewItem>
    <reviewItem>
      <errorID>7c2e4311-d99c-46bc-a66a-4237c9376532</errorID>
      <errorWord>)</errorWord>
      <group>L1_Format</group>
      <groupName>格式问题</groupName>
      <ability>L2_HalfPunc</ability>
      <abilityName>全半角检查</abilityName>
      <candidateList>
        <item>）</item>
      </candidateList>
      <explain>文本全半角错误。</explain>
      <paraID> D33F83C</paraID>
      <start>104</start>
      <end>105</end>
      <status>unmodified</status>
      <modifiedWord/>
      <trackRevisions>false</trackRevisions>
    </reviewItem>
    <reviewItem>
      <errorID>c6cc6ea3-088e-4879-9489-c48d5502bf01</errorID>
      <errorWord>,</errorWord>
      <group>L1_Format</group>
      <groupName>格式问题</groupName>
      <ability>L2_HalfPunc</ability>
      <abilityName>全半角检查</abilityName>
      <candidateList>
        <item>，</item>
      </candidateList>
      <explain>文本全半角错误。</explain>
      <paraID> D33F83C</paraID>
      <start>105</start>
      <end>106</end>
      <status>unmodified</status>
      <modifiedWord/>
      <trackRevisions>false</trackRevisions>
    </reviewItem>
    <reviewItem>
      <errorID>cf4b7275-df89-4475-8186-49ffcc18a0f9</errorID>
      <errorWord>(</errorWord>
      <group>L1_Format</group>
      <groupName>格式问题</groupName>
      <ability>L2_HalfPunc</ability>
      <abilityName>全半角检查</abilityName>
      <candidateList>
        <item>（</item>
      </candidateList>
      <explain>文本全半角错误。</explain>
      <paraID> D33F83C</paraID>
      <start>129</start>
      <end>130</end>
      <status>unmodified</status>
      <modifiedWord/>
      <trackRevisions>false</trackRevisions>
    </reviewItem>
    <reviewItem>
      <errorID>f6587d10-3985-4958-ad06-03fef7c5fbf4</errorID>
      <errorWord>)</errorWord>
      <group>L1_Format</group>
      <groupName>格式问题</groupName>
      <ability>L2_HalfPunc</ability>
      <abilityName>全半角检查</abilityName>
      <candidateList>
        <item>）</item>
      </candidateList>
      <explain>文本全半角错误。</explain>
      <paraID> D33F83C</paraID>
      <start>140</start>
      <end>141</end>
      <status>unmodified</status>
      <modifiedWord/>
      <trackRevisions>false</trackRevisions>
    </reviewItem>
    <reviewItem>
      <errorID>eb010976-75cd-4798-9ad9-5b879475ffa2</errorID>
      <errorWord>(</errorWord>
      <group>L1_Format</group>
      <groupName>格式问题</groupName>
      <ability>L2_HalfPunc</ability>
      <abilityName>全半角检查</abilityName>
      <candidateList>
        <item>（</item>
      </candidateList>
      <explain>文本全半角错误。</explain>
      <paraID>34DA79AE</paraID>
      <start>34</start>
      <end>35</end>
      <status>unmodified</status>
      <modifiedWord/>
      <trackRevisions>false</trackRevisions>
    </reviewItem>
    <reviewItem>
      <errorID>a86a062c-c6e0-441a-a449-9211edffe41a</errorID>
      <errorWord>)</errorWord>
      <group>L1_Format</group>
      <groupName>格式问题</groupName>
      <ability>L2_HalfPunc</ability>
      <abilityName>全半角检查</abilityName>
      <candidateList>
        <item>）</item>
      </candidateList>
      <explain>文本全半角错误。</explain>
      <paraID>34DA79AE</paraID>
      <start>40</start>
      <end>41</end>
      <status>unmodified</status>
      <modifiedWord/>
      <trackRevisions>false</trackRevisions>
    </reviewItem>
  </reviewItems>
  <config/>
</contractReview>
</file>

<file path=customXml/itemProps1.xml><?xml version="1.0" encoding="utf-8"?>
<ds:datastoreItem xmlns:ds="http://schemas.openxmlformats.org/officeDocument/2006/customXml" ds:itemID="{8ce119e8-3a92-49b2-9330-44386337cd2c}">
  <ds:schemaRefs/>
</ds:datastoreItem>
</file>

<file path=docProps/app.xml><?xml version="1.0" encoding="utf-8"?>
<Properties xmlns="http://schemas.openxmlformats.org/officeDocument/2006/extended-properties" xmlns:vt="http://schemas.openxmlformats.org/officeDocument/2006/docPropsVTypes">
  <Pages>9</Pages>
  <Words>3023</Words>
  <Characters>3114</Characters>
  <TotalTime>35</TotalTime>
  <ScaleCrop>false</ScaleCrop>
  <LinksUpToDate>false</LinksUpToDate>
  <CharactersWithSpaces>3355</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2025-12-23T16:11:00Z</dcterms:created>
  <dc:creator>Administrator</dc:creator>
  <cp:lastModifiedBy>红叶</cp:lastModifiedBy>
  <cp:lastPrinted>2026-01-13T00:44:00Z</cp:lastPrinted>
  <dcterms:modified xsi:type="dcterms:W3CDTF">2026-03-10T01:32:31Z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2025-12-23T16:11:21Z</vt:filetime>
  </property>
  <property fmtid="{D5CDD505-2E9C-101B-9397-08002B2CF9AE}" pid="4" name="UsrData">
    <vt:lpwstr>694a4ea624c4ba001fada0f1wl</vt:lpwstr>
  </property>
  <property fmtid="{D5CDD505-2E9C-101B-9397-08002B2CF9AE}" pid="5" name="KSOTemplateDocerSaveRecord">
    <vt:lpwstr>eyJoZGlkIjoiMmUzZDJlOTg2ZmMxZjkwMmI2ZTI3ZmM5MTBhNmUzZTMiLCJ1c2VySWQiOiI0NDg0OTA3MjMifQ==</vt:lpwstr>
  </property>
  <property fmtid="{D5CDD505-2E9C-101B-9397-08002B2CF9AE}" pid="6" name="KSOProductBuildVer">
    <vt:lpwstr>2052-12.1.0.25225</vt:lpwstr>
  </property>
  <property fmtid="{D5CDD505-2E9C-101B-9397-08002B2CF9AE}" pid="7" name="ICV">
    <vt:lpwstr>37FCE4794F1F4851B9700BD61F2FB23D_13</vt:lpwstr>
  </property>
</Properties>
</file>