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桐柏县行政审批和政务信息管理局</w:t>
      </w:r>
    </w:p>
    <w:p w14:paraId="1386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关于2025年度法治政府建设情况的报告</w:t>
      </w:r>
    </w:p>
    <w:p w14:paraId="03467143">
      <w:p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F21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桐柏县行政审批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和政务信息管理局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在桐柏县委全面依法治县委员会的领导下，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紧紧围绕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县委、县政府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中心工作，坚持以习近平新时代中国特色社会主义思想为指导，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全面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贯彻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党的二十大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和二十届三中、四中全会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精神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，深入学习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习近平法治思想，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《中共桐柏县委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全面依法治县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年工作要点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》和主要事项及分工方案，认真履职尽责，坚守依法行政和廉洁从政两条底线，统筹推进法治建设和政务服务工作，为全县经济社会高质量发展提供有力的法治保障。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现将相关情况总结如下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56C73C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一、工作开展情况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468F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（一）强化政治引领，深入学习习近平法治思想。一是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坚持把学习好、宣传好、贯彻好习近平法治思想作为法治政府建设的首要政治任务，结合党纪学习教育，引导干部职工深入学习《中国共产党纪律处分条例》，着力引导党员干部在以学正风、以学促干上下功夫；2025年，共组织习近平法治思想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相关学习10余次，共150余人次参与学习，达到法治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思想学习全覆盖。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坚持督促领导干部学好用好《习近平法治思想学习纲要》《习近平法治思想学习问答》等书目，借助“学习强国”、“河南干部网络学院”等网络平台进行自学，深入学习领会习近平法治思想，以之武装头脑、指导实践、推动工作，不断推进学习宣传贯彻习近平法治思想走深走实、见行见效。</w:t>
      </w:r>
    </w:p>
    <w:p w14:paraId="4BD1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（二）健全法治保障，坚持依法决策。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为全面推进依法行政，加快政务服务法治建设，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与桐大律师事务所律师签订法律服务协议，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提供法律咨询服务，协助党组对“三重一大”及疑难复杂事项的法律审查、法律研究，从而进行依法决策，确保依法履职。</w:t>
      </w:r>
    </w:p>
    <w:p w14:paraId="4F3BEB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（三）开展普法宣传，营造依法行政氛围。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在政务服务大厅内外营造浓厚的学法用法氛围。围绕习近平法治思想制作专题版面，供来往群众及工作人员学习；同时，在大厅广播电视、LED屏上循环播放习近平法治思想宣传标语及政务服务工作要求，警示政务服务大厅工作人员依法办事，依规服务群众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深入宣传党内法规。以党章、准则、条例等为重点，要求领导干部深入学习宣传党内法规，推动领导干部带头依法办事。</w:t>
      </w:r>
    </w:p>
    <w:p w14:paraId="0A558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32"/>
          <w:szCs w:val="32"/>
          <w:lang w:val="en-US" w:eastAsia="zh-CN" w:bidi="ar-SA"/>
        </w:rPr>
        <w:t>（四）严格履行推进法治建设的职责。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履行单位党政主要负责人推进法治建设第一责任人职责，持续完善领导干部学法用法制度，将法治建设和单位中心工作紧密结合，养成自觉运用法治思维和法治方式解决问题的工作习惯，紧紧遵循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“重大决策依法、开展工作合法、遇到问题找法”的原则，进一步提高依法工作水平。</w:t>
      </w:r>
    </w:p>
    <w:p w14:paraId="5D6B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推进依法行政，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推进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政务服务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。推进依法行政，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助力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政务服务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按照省级下发的颗粒化清单，动态调整政务服务事项基本目录，清单化公布我县政务服务事项，网上办指标不断提升，办事指南更加精准。同时依托河南政务服务网平台，通过流程再造、数据共享等方式，将企业和群众的办事需求转化为“一网通办”的服务应用，打通政务服务“最后一公里”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深入推进“高效办成一件事”，线下在政务服务大厅开设“高效办成一件事”窗口；线上依托河南政务服务网、豫事办“高效办成一件事”专区，对涉及的“一件事”网上可办。目前，37个“一件事”实现线上可办，线下“一窗通办”，办件总量38453件，按时办结率99.79%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zh-CN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市司法局下发的《关于推行证照到期前提醒工作机制的通知》要求，组织相关县直单位召开证照到期前提醒工作推进会，梳理桐柏县证照到期前提醒目录，相关单位在证照到期前及时通过电话、告知书、邮件、当面告知等形式确保工作落实到位，并按季度通过南阳市一表通系统上报证照到期前提醒台账。</w:t>
      </w:r>
    </w:p>
    <w:p w14:paraId="099B6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二、存在问题、原因及整改情况</w:t>
      </w:r>
    </w:p>
    <w:p w14:paraId="352F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（一）法治教育形式较单一。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普法宣传教育措施较为单一，理解不够深入，利用新媒体创新开展普法宣传的手段还不够丰富，缺乏创新意识，学习内容关于政务服务工作的特色性不强。</w:t>
      </w:r>
    </w:p>
    <w:p w14:paraId="6958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运用法治思维推动业务工作的能力有待加强。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在实践工作中优先运用法治思维和法治方式开展工作、解决问题的能力和水平还不够，政务服务队伍的业务水平和素质仍需在今后工作实践中持续加强。</w:t>
      </w:r>
    </w:p>
    <w:p w14:paraId="4A5C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主要原因：思想认知偏差导致“重业务、轻普法”，未将法治教育与政务服务工作深度融合，缺乏专业普法力量及创新新媒体技术支持，制约了普法形式创新与效果提升。整改情况：搭建“线上新媒体矩阵+线下体验区”，打造贴合政务服务高频事项的特色普法内容，推动法治教育嵌入办事流程。</w:t>
      </w:r>
    </w:p>
    <w:p w14:paraId="679A8B6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下一步工作计划 </w:t>
      </w:r>
    </w:p>
    <w:p w14:paraId="1AF281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创新普法宣传形式。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进一步创新法治宣传的方式和载体，广泛开展法治宣传。以“业务融合+创新赋能”为核心，打造贴合政务服务高频事项的特色普法内容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开展更多互动式、立体化的宣传活动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  <w:t>充分利用网络、多媒体等现代信息技术手段，丰富法治培训的方式方法，提升普法工作的针对性和实效性，推动法治宣传的覆盖面、群众知晓率、知晓程度进一步提升。</w:t>
      </w:r>
    </w:p>
    <w:p w14:paraId="043A6A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提升学法用法能力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强化法律实践应用，组织参与案例研讨与风险研判，提升依法决策、依法办事能力。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加大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政务服务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领域法律法规学习，进一步提升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人员的法律素养和依法履职能力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不定期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组织开展法制宣传培训，不断提高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人员依法行政的能力和水平。</w:t>
      </w:r>
    </w:p>
    <w:p w14:paraId="2E73EC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D5E0018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746C591F">
      <w:pPr>
        <w:pStyle w:val="7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6A2C73FB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0D31AD4-16B6-45E4-96A3-2940F7E40D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9FF094-7AFD-4E1E-9500-F1A9ED0E8F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A433BC-32D7-4637-8780-A1ADD69381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F1347"/>
    <w:multiLevelType w:val="singleLevel"/>
    <w:tmpl w:val="50EF13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532F"/>
    <w:rsid w:val="0192621F"/>
    <w:rsid w:val="072308D8"/>
    <w:rsid w:val="220B669A"/>
    <w:rsid w:val="57BB6592"/>
    <w:rsid w:val="5DEC3B46"/>
    <w:rsid w:val="706E532F"/>
    <w:rsid w:val="77A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首行缩进1"/>
    <w:basedOn w:val="2"/>
    <w:next w:val="1"/>
    <w:autoRedefine/>
    <w:qFormat/>
    <w:uiPriority w:val="0"/>
    <w:pPr>
      <w:ind w:firstLine="420"/>
    </w:pPr>
    <w:rPr>
      <w:rFonts w:ascii="Times New Roman" w:hAnsi="Times New Roman" w:eastAsia="微软雅黑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2025</Words>
  <Characters>2056</Characters>
  <Lines>0</Lines>
  <Paragraphs>0</Paragraphs>
  <TotalTime>0</TotalTime>
  <ScaleCrop>false</ScaleCrop>
  <LinksUpToDate>false</LinksUpToDate>
  <CharactersWithSpaces>2061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2024-12-18T06:37:00Z</dcterms:created>
  <dc:creator>小豆芽儿</dc:creator>
  <cp:lastModifiedBy>阿汤哥</cp:lastModifiedBy>
  <dcterms:modified xsi:type="dcterms:W3CDTF">2026-02-12T01:34:09Z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0B63B1DFA86742C09F217358461D3F8E_11</vt:lpwstr>
  </property>
  <property fmtid="{D5CDD505-2E9C-101B-9397-08002B2CF9AE}" pid="4" name="KSOTemplateDocerSaveRecord">
    <vt:lpwstr>eyJoZGlkIjoiODdhMGZlMmFiYjk4MTBlNzViOGI4NTkwODFlNzYxMTMiLCJ1c2VySWQiOiIyNDk0MDI4OTMifQ==</vt:lpwstr>
  </property>
</Properties>
</file>