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83509">
      <w:pPr>
        <w:jc w:val="cente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t>中共</w:t>
      </w:r>
      <w:r>
        <w:rPr>
          <w:rFonts w:hint="eastAsia" w:ascii="方正小标宋简体" w:hAnsi="方正小标宋简体" w:eastAsia="方正小标宋简体" w:cs="方正小标宋简体"/>
          <w:color w:val="000000" w:themeColor="text1"/>
          <w:kern w:val="0"/>
          <w:sz w:val="40"/>
          <w:szCs w:val="22"/>
          <w:lang w:val="en-US" w:eastAsia="zh-CN"/>
          <w14:textFill>
            <w14:solidFill>
              <w14:schemeClr w14:val="tx1"/>
            </w14:solidFill>
          </w14:textFill>
        </w:rPr>
        <w:t>吴城</w:t>
      </w:r>
      <w: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t xml:space="preserve">镇委员会 </w:t>
      </w:r>
      <w:r>
        <w:rPr>
          <w:rFonts w:hint="eastAsia" w:ascii="方正小标宋简体" w:hAnsi="方正小标宋简体" w:eastAsia="方正小标宋简体" w:cs="方正小标宋简体"/>
          <w:color w:val="000000" w:themeColor="text1"/>
          <w:kern w:val="0"/>
          <w:sz w:val="40"/>
          <w:szCs w:val="22"/>
          <w:lang w:val="en-US" w:eastAsia="zh-CN"/>
          <w14:textFill>
            <w14:solidFill>
              <w14:schemeClr w14:val="tx1"/>
            </w14:solidFill>
          </w14:textFill>
        </w:rPr>
        <w:t>吴城</w:t>
      </w:r>
      <w: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t>镇人民政府</w:t>
      </w:r>
    </w:p>
    <w:p w14:paraId="1C118165">
      <w:pPr>
        <w:jc w:val="cente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t>关于202</w:t>
      </w:r>
      <w:r>
        <w:rPr>
          <w:rFonts w:hint="eastAsia" w:ascii="方正小标宋简体" w:hAnsi="方正小标宋简体" w:eastAsia="方正小标宋简体" w:cs="方正小标宋简体"/>
          <w:color w:val="000000" w:themeColor="text1"/>
          <w:kern w:val="0"/>
          <w:sz w:val="40"/>
          <w:szCs w:val="22"/>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t>年法治政府建设</w:t>
      </w:r>
      <w:r>
        <w:rPr>
          <w:rFonts w:hint="eastAsia" w:ascii="方正小标宋简体" w:hAnsi="方正小标宋简体" w:eastAsia="方正小标宋简体" w:cs="方正小标宋简体"/>
          <w:color w:val="000000" w:themeColor="text1"/>
          <w:kern w:val="0"/>
          <w:sz w:val="40"/>
          <w:szCs w:val="22"/>
          <w:lang w:val="en-US" w:eastAsia="zh-CN"/>
          <w14:textFill>
            <w14:solidFill>
              <w14:schemeClr w14:val="tx1"/>
            </w14:solidFill>
          </w14:textFill>
        </w:rPr>
        <w:t>情况</w:t>
      </w:r>
      <w: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t>的报告</w:t>
      </w:r>
    </w:p>
    <w:p w14:paraId="685F22E3">
      <w:pPr>
        <w:jc w:val="center"/>
        <w:rPr>
          <w:rFonts w:hint="eastAsia" w:ascii="方正小标宋简体" w:hAnsi="方正小标宋简体" w:eastAsia="方正小标宋简体" w:cs="方正小标宋简体"/>
          <w:color w:val="000000" w:themeColor="text1"/>
          <w:kern w:val="0"/>
          <w:sz w:val="40"/>
          <w:szCs w:val="22"/>
          <w:lang w:eastAsia="zh-CN"/>
          <w14:textFill>
            <w14:solidFill>
              <w14:schemeClr w14:val="tx1"/>
            </w14:solidFill>
          </w14:textFill>
        </w:rPr>
      </w:pPr>
    </w:p>
    <w:p w14:paraId="1D2EF8E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2025年，吴城镇在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桐柏</w:t>
      </w:r>
      <w:r>
        <w:rPr>
          <w:rFonts w:hint="eastAsia" w:ascii="仿宋_GB2312" w:hAnsi="仿宋_GB2312" w:eastAsia="仿宋_GB2312" w:cs="仿宋_GB2312"/>
          <w:color w:val="000000" w:themeColor="text1"/>
          <w:sz w:val="32"/>
          <w:szCs w:val="32"/>
          <w14:textFill>
            <w14:solidFill>
              <w14:schemeClr w14:val="tx1"/>
            </w14:solidFill>
          </w14:textFill>
        </w:rPr>
        <w:t>县委、县政府的坚强领导下，坚持以习近平新时代中国特色社会主义思想为指导，全面贯彻落实党的二十大及二十届二中、三中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四中</w:t>
      </w:r>
      <w:r>
        <w:rPr>
          <w:rFonts w:hint="eastAsia" w:ascii="仿宋_GB2312" w:hAnsi="仿宋_GB2312" w:eastAsia="仿宋_GB2312" w:cs="仿宋_GB2312"/>
          <w:color w:val="000000" w:themeColor="text1"/>
          <w:sz w:val="32"/>
          <w:szCs w:val="32"/>
          <w14:textFill>
            <w14:solidFill>
              <w14:schemeClr w14:val="tx1"/>
            </w14:solidFill>
          </w14:textFill>
        </w:rPr>
        <w:t>全会精神。严格对照《党政主要负责人履行推进法治建设第一责任人职责规定》《河南省法治政府建设年度报告工作规定》及县委全面依法治县委员会2025年工作部署，全面梳理总结了本年度法治政府建设工作。现将有关情况报告如下：</w:t>
      </w:r>
    </w:p>
    <w:p w14:paraId="00BB503B">
      <w:pPr>
        <w:ind w:firstLine="643" w:firstLineChars="200"/>
        <w:rPr>
          <w:rStyle w:val="4"/>
          <w:rFonts w:hint="eastAsia" w:ascii="黑体" w:hAnsi="黑体" w:eastAsia="黑体" w:cs="黑体"/>
          <w:b/>
          <w:bCs/>
          <w:i w:val="0"/>
          <w:iCs w:val="0"/>
          <w:caps w:val="0"/>
          <w:color w:val="0F1115"/>
          <w:spacing w:val="0"/>
          <w:sz w:val="32"/>
          <w:szCs w:val="32"/>
          <w:shd w:val="clear" w:fill="FFFFFF"/>
        </w:rPr>
      </w:pPr>
      <w:r>
        <w:rPr>
          <w:rStyle w:val="4"/>
          <w:rFonts w:hint="eastAsia" w:ascii="黑体" w:hAnsi="黑体" w:eastAsia="黑体" w:cs="黑体"/>
          <w:b/>
          <w:bCs/>
          <w:i w:val="0"/>
          <w:iCs w:val="0"/>
          <w:caps w:val="0"/>
          <w:color w:val="0F1115"/>
          <w:spacing w:val="0"/>
          <w:sz w:val="32"/>
          <w:szCs w:val="32"/>
          <w:shd w:val="clear" w:fill="FFFFFF"/>
        </w:rPr>
        <w:t>一、 强化组织领导，压实法治建设第一责任</w:t>
      </w:r>
    </w:p>
    <w:p w14:paraId="4531FBD9">
      <w:pPr>
        <w:ind w:firstLine="643" w:firstLineChars="200"/>
        <w:rPr>
          <w:rStyle w:val="4"/>
          <w:rFonts w:hint="eastAsia" w:ascii="黑体" w:hAnsi="黑体" w:eastAsia="黑体" w:cs="黑体"/>
          <w:b/>
          <w:bCs/>
          <w:i w:val="0"/>
          <w:iCs w:val="0"/>
          <w:caps w:val="0"/>
          <w:color w:val="0F1115"/>
          <w:spacing w:val="0"/>
          <w:sz w:val="32"/>
          <w:szCs w:val="32"/>
          <w:shd w:val="clear" w:fill="FFFFFF"/>
        </w:rPr>
      </w:pPr>
      <w:r>
        <w:rPr>
          <w:rStyle w:val="4"/>
          <w:rFonts w:hint="eastAsia" w:ascii="楷体" w:hAnsi="楷体" w:eastAsia="楷体" w:cs="楷体"/>
          <w:b/>
          <w:bCs/>
          <w:i w:val="0"/>
          <w:iCs w:val="0"/>
          <w:caps w:val="0"/>
          <w:color w:val="0F1115"/>
          <w:spacing w:val="0"/>
          <w:sz w:val="32"/>
          <w:szCs w:val="32"/>
          <w:shd w:val="clear" w:fill="FFFFFF"/>
        </w:rPr>
        <w:t>（一）坚持高位推动。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吴城镇党政主要负责同志严格履行推进法治建设第一责任人职责，充分发挥关键作用。</w:t>
      </w:r>
      <w:r>
        <w:rPr>
          <w:rFonts w:hint="eastAsia" w:ascii="仿宋_GB2312" w:hAnsi="仿宋_GB2312" w:eastAsia="仿宋_GB2312" w:cs="仿宋_GB2312"/>
          <w:color w:val="000000" w:themeColor="text1"/>
          <w:sz w:val="32"/>
          <w:szCs w:val="32"/>
          <w14:textFill>
            <w14:solidFill>
              <w14:schemeClr w14:val="tx1"/>
            </w14:solidFill>
          </w14:textFill>
        </w:rPr>
        <w:t>对法治建设重要工作亲自部署、重大问题亲自过问。年内召开党委专题会议4次，深入学习贯彻习近平法治思想，研究解决法治政府建设中的难点问题，将法治建设与经济社会发展同部署、同推进、同考核。</w:t>
      </w:r>
    </w:p>
    <w:p w14:paraId="0A63277F">
      <w:pPr>
        <w:ind w:firstLine="643" w:firstLineChars="200"/>
        <w:rPr>
          <w:rStyle w:val="4"/>
          <w:rFonts w:hint="eastAsia" w:ascii="黑体" w:hAnsi="黑体" w:eastAsia="黑体" w:cs="黑体"/>
          <w:b/>
          <w:bCs/>
          <w:i w:val="0"/>
          <w:iCs w:val="0"/>
          <w:caps w:val="0"/>
          <w:color w:val="0F1115"/>
          <w:spacing w:val="0"/>
          <w:sz w:val="32"/>
          <w:szCs w:val="32"/>
          <w:shd w:val="clear" w:fill="FFFFFF"/>
        </w:rPr>
      </w:pPr>
      <w:r>
        <w:rPr>
          <w:rStyle w:val="4"/>
          <w:rFonts w:hint="eastAsia" w:ascii="楷体" w:hAnsi="楷体" w:eastAsia="楷体" w:cs="楷体"/>
          <w:b/>
          <w:bCs/>
          <w:i w:val="0"/>
          <w:iCs w:val="0"/>
          <w:caps w:val="0"/>
          <w:color w:val="0F1115"/>
          <w:spacing w:val="0"/>
          <w:sz w:val="32"/>
          <w:szCs w:val="32"/>
          <w:shd w:val="clear" w:fill="FFFFFF"/>
        </w:rPr>
        <w:t>（二）健全责任体系。</w:t>
      </w:r>
      <w:r>
        <w:rPr>
          <w:rFonts w:hint="eastAsia" w:ascii="仿宋_GB2312" w:hAnsi="仿宋_GB2312" w:eastAsia="仿宋_GB2312" w:cs="仿宋_GB2312"/>
          <w:color w:val="000000" w:themeColor="text1"/>
          <w:sz w:val="32"/>
          <w:szCs w:val="32"/>
          <w14:textFill>
            <w14:solidFill>
              <w14:schemeClr w14:val="tx1"/>
            </w14:solidFill>
          </w14:textFill>
        </w:rPr>
        <w:t>制定《吴城镇2025年法治政府建设工作要点》，明确任务分工与责任单位。将法治政府建设成效纳入各部门、各行政村年度综合考核指标体系，作为干部评优评先的重要依据，形成一级抓一级、层层抓落实的工作格局。</w:t>
      </w:r>
    </w:p>
    <w:p w14:paraId="415139FA">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rPr>
        <w:t>（三）强化述法考评。</w:t>
      </w:r>
      <w:r>
        <w:rPr>
          <w:rFonts w:hint="eastAsia" w:ascii="仿宋_GB2312" w:hAnsi="仿宋_GB2312" w:eastAsia="仿宋_GB2312" w:cs="仿宋_GB2312"/>
          <w:color w:val="000000" w:themeColor="text1"/>
          <w:sz w:val="32"/>
          <w:szCs w:val="32"/>
          <w14:textFill>
            <w14:solidFill>
              <w14:schemeClr w14:val="tx1"/>
            </w14:solidFill>
          </w14:textFill>
        </w:rPr>
        <w:t>严格执行党政主要负责人年终专题述法制度，将履行推进法治建设职责情况作为述职报告的重要内容。组织开展对镇直各部门、各行政村法治建设工作的专项评议，强化结果运用，确保责任压力传导到位。</w:t>
      </w:r>
    </w:p>
    <w:p w14:paraId="187EB3F2">
      <w:pPr>
        <w:ind w:firstLine="643" w:firstLineChars="200"/>
        <w:rPr>
          <w:rStyle w:val="4"/>
          <w:rFonts w:hint="eastAsia" w:ascii="黑体" w:hAnsi="黑体" w:eastAsia="黑体" w:cs="黑体"/>
          <w:b/>
          <w:bCs/>
          <w:i w:val="0"/>
          <w:iCs w:val="0"/>
          <w:caps w:val="0"/>
          <w:color w:val="0F1115"/>
          <w:spacing w:val="0"/>
          <w:sz w:val="32"/>
          <w:szCs w:val="32"/>
          <w:shd w:val="clear" w:fill="FFFFFF"/>
        </w:rPr>
      </w:pPr>
      <w:r>
        <w:rPr>
          <w:rStyle w:val="4"/>
          <w:rFonts w:hint="eastAsia" w:ascii="黑体" w:hAnsi="黑体" w:eastAsia="黑体" w:cs="黑体"/>
          <w:b/>
          <w:bCs/>
          <w:i w:val="0"/>
          <w:iCs w:val="0"/>
          <w:caps w:val="0"/>
          <w:color w:val="0F1115"/>
          <w:spacing w:val="0"/>
          <w:sz w:val="32"/>
          <w:szCs w:val="32"/>
          <w:shd w:val="clear" w:fill="FFFFFF"/>
        </w:rPr>
        <w:t>二、 聚焦依法行政，提升政府履职法治水平</w:t>
      </w:r>
    </w:p>
    <w:p w14:paraId="2812CC86">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吴城镇</w:t>
      </w:r>
      <w:r>
        <w:rPr>
          <w:rFonts w:hint="eastAsia" w:ascii="仿宋_GB2312" w:hAnsi="仿宋_GB2312" w:eastAsia="仿宋_GB2312" w:cs="仿宋_GB2312"/>
          <w:color w:val="000000" w:themeColor="text1"/>
          <w:sz w:val="32"/>
          <w:szCs w:val="32"/>
          <w14:textFill>
            <w14:solidFill>
              <w14:schemeClr w14:val="tx1"/>
            </w14:solidFill>
          </w14:textFill>
        </w:rPr>
        <w:t>紧扣“职能科学、权责法定、执法严明、公开公正”的目标，全面提升政府工作法治化水平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6EC151A">
      <w:pPr>
        <w:ind w:firstLine="643"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eastAsia="zh-CN"/>
        </w:rPr>
        <w:t>（</w:t>
      </w:r>
      <w:r>
        <w:rPr>
          <w:rStyle w:val="4"/>
          <w:rFonts w:hint="eastAsia" w:ascii="楷体" w:hAnsi="楷体" w:eastAsia="楷体" w:cs="楷体"/>
          <w:b/>
          <w:bCs/>
          <w:i w:val="0"/>
          <w:iCs w:val="0"/>
          <w:caps w:val="0"/>
          <w:color w:val="0F1115"/>
          <w:spacing w:val="0"/>
          <w:sz w:val="32"/>
          <w:szCs w:val="32"/>
          <w:shd w:val="clear" w:fill="FFFFFF"/>
          <w:lang w:val="en-US" w:eastAsia="zh-CN"/>
        </w:rPr>
        <w:t>一</w:t>
      </w:r>
      <w:r>
        <w:rPr>
          <w:rStyle w:val="4"/>
          <w:rFonts w:hint="eastAsia" w:ascii="楷体" w:hAnsi="楷体" w:eastAsia="楷体" w:cs="楷体"/>
          <w:b/>
          <w:bCs/>
          <w:i w:val="0"/>
          <w:iCs w:val="0"/>
          <w:caps w:val="0"/>
          <w:color w:val="0F1115"/>
          <w:spacing w:val="0"/>
          <w:sz w:val="32"/>
          <w:szCs w:val="32"/>
          <w:shd w:val="clear" w:fill="FFFFFF"/>
          <w:lang w:eastAsia="zh-CN"/>
        </w:rPr>
        <w:t>）依法全面履行政府职能。</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深入推进“放管服效”改革，积极配合县级部门推动“高效办成一件事”落地。动态调整并公开镇级权责清单，确保“法定职责必须为”。全面推行证明事项告知承诺制，持续优化办事流程。</w:t>
      </w:r>
    </w:p>
    <w:p w14:paraId="21C060A3">
      <w:pPr>
        <w:ind w:firstLine="643"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（二）健全依法决策机制。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对涉及公共利益、重大项目投资等决策事项，全面落实公众参与、专家论证、风险评估、合法性审查和集体讨论决定程序。聘请法律顾问全程参与重大决策、合同审查等工作，有效防范法律风险。</w:t>
      </w:r>
    </w:p>
    <w:p w14:paraId="21FA9E3D">
      <w:pPr>
        <w:ind w:firstLine="643"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（三）推进严格规范公正文明执法</w:t>
      </w:r>
      <w:r>
        <w:rPr>
          <w:rStyle w:val="4"/>
          <w:rFonts w:hint="default" w:ascii="楷体" w:hAnsi="楷体" w:eastAsia="楷体" w:cs="楷体"/>
          <w:b/>
          <w:bCs/>
          <w:i w:val="0"/>
          <w:iCs w:val="0"/>
          <w:caps w:val="0"/>
          <w:color w:val="0F1115"/>
          <w:spacing w:val="0"/>
          <w:sz w:val="32"/>
          <w:szCs w:val="32"/>
          <w:shd w:val="clear" w:fill="FFFFFF"/>
          <w:lang w:val="en-US" w:eastAsia="zh-CN"/>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全面推行行政执法“三项制度”，实现执法信息及时公示、执法过程全程留痕、重大执法决定法制审核全覆盖。规范涉企行政检查，推广运用说服教育、劝导示范等非强制性手段，杜绝逐利执法、选择性执法。</w:t>
      </w:r>
    </w:p>
    <w:p w14:paraId="3D749777">
      <w:pPr>
        <w:ind w:firstLine="643" w:firstLineChars="200"/>
        <w:rPr>
          <w:rStyle w:val="4"/>
          <w:rFonts w:hint="eastAsia" w:ascii="黑体" w:hAnsi="黑体" w:eastAsia="黑体" w:cs="黑体"/>
          <w:b/>
          <w:bCs/>
          <w:i w:val="0"/>
          <w:iCs w:val="0"/>
          <w:caps w:val="0"/>
          <w:color w:val="0F1115"/>
          <w:spacing w:val="0"/>
          <w:sz w:val="32"/>
          <w:szCs w:val="32"/>
          <w:shd w:val="clear" w:fill="FFFFFF"/>
        </w:rPr>
      </w:pPr>
      <w:r>
        <w:rPr>
          <w:rStyle w:val="4"/>
          <w:rFonts w:hint="eastAsia" w:ascii="黑体" w:hAnsi="黑体" w:eastAsia="黑体" w:cs="黑体"/>
          <w:b/>
          <w:bCs/>
          <w:i w:val="0"/>
          <w:iCs w:val="0"/>
          <w:caps w:val="0"/>
          <w:color w:val="0F1115"/>
          <w:spacing w:val="0"/>
          <w:sz w:val="32"/>
          <w:szCs w:val="32"/>
          <w:shd w:val="clear" w:fill="FFFFFF"/>
          <w:lang w:val="en-US" w:eastAsia="zh-CN"/>
        </w:rPr>
        <w:t>三</w:t>
      </w:r>
      <w:r>
        <w:rPr>
          <w:rStyle w:val="4"/>
          <w:rFonts w:hint="eastAsia" w:ascii="黑体" w:hAnsi="黑体" w:eastAsia="黑体" w:cs="黑体"/>
          <w:b/>
          <w:bCs/>
          <w:i w:val="0"/>
          <w:iCs w:val="0"/>
          <w:caps w:val="0"/>
          <w:color w:val="0F1115"/>
          <w:spacing w:val="0"/>
          <w:sz w:val="32"/>
          <w:szCs w:val="32"/>
          <w:shd w:val="clear" w:fill="FFFFFF"/>
        </w:rPr>
        <w:t>、 化解社会矛盾，维护社会大局和谐稳定</w:t>
      </w:r>
    </w:p>
    <w:p w14:paraId="0985F748">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坚持和发展新时代“枫桥经验”，推动矛盾纠纷源头预防、多元化解。</w:t>
      </w:r>
    </w:p>
    <w:p w14:paraId="42CABC13">
      <w:pPr>
        <w:ind w:firstLine="643"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（一）构建多元化解格局</w:t>
      </w:r>
      <w:r>
        <w:rPr>
          <w:rStyle w:val="4"/>
          <w:rFonts w:hint="default" w:ascii="楷体" w:hAnsi="楷体" w:eastAsia="楷体" w:cs="楷体"/>
          <w:b/>
          <w:bCs/>
          <w:i w:val="0"/>
          <w:iCs w:val="0"/>
          <w:caps w:val="0"/>
          <w:color w:val="0F1115"/>
          <w:spacing w:val="0"/>
          <w:sz w:val="32"/>
          <w:szCs w:val="32"/>
          <w:shd w:val="clear" w:fill="FFFFFF"/>
          <w:lang w:val="en-US" w:eastAsia="zh-CN"/>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完善镇、村两级矛盾纠纷调处功能，健全人民调解、行政调解、司法调解联动工作体系。2025年，全镇各级调解组织共排查调处矛盾纠纷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150余</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起，调解成功率达9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债务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纠纷、邻里关系、土地宅基地等矛盾得到有效化解。</w:t>
      </w:r>
    </w:p>
    <w:p w14:paraId="4D89B214">
      <w:pPr>
        <w:ind w:firstLine="643"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（二）推进行政争议实质性化解</w:t>
      </w:r>
      <w:r>
        <w:rPr>
          <w:rStyle w:val="4"/>
          <w:rFonts w:hint="default" w:ascii="楷体" w:hAnsi="楷体" w:eastAsia="楷体" w:cs="楷体"/>
          <w:b/>
          <w:bCs/>
          <w:i w:val="0"/>
          <w:iCs w:val="0"/>
          <w:caps w:val="0"/>
          <w:color w:val="0F1115"/>
          <w:spacing w:val="0"/>
          <w:sz w:val="32"/>
          <w:szCs w:val="32"/>
          <w:shd w:val="clear" w:fill="FFFFFF"/>
          <w:lang w:val="en-US" w:eastAsia="zh-CN"/>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深入学习运用县级“府院联动”机制经验，严格落实“五个一”工作机制，对行政争议实行提前介入和全程调解。通过强化诉前沟通与案中协调，力促争议通过调解、和解方式实现案结事了，从源头上有效预防和减少了行政诉讼案件。2025年，全镇行政诉讼发案量为零。</w:t>
      </w:r>
    </w:p>
    <w:p w14:paraId="5306DC65">
      <w:pPr>
        <w:ind w:firstLine="643"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（三）夯实信访法治化基础</w:t>
      </w:r>
      <w:r>
        <w:rPr>
          <w:rStyle w:val="4"/>
          <w:rFonts w:hint="default" w:ascii="楷体" w:hAnsi="楷体" w:eastAsia="楷体" w:cs="楷体"/>
          <w:b/>
          <w:bCs/>
          <w:i w:val="0"/>
          <w:iCs w:val="0"/>
          <w:caps w:val="0"/>
          <w:color w:val="0F1115"/>
          <w:spacing w:val="0"/>
          <w:sz w:val="32"/>
          <w:szCs w:val="32"/>
          <w:shd w:val="clear" w:fill="FFFFFF"/>
          <w:lang w:val="en-US" w:eastAsia="zh-CN"/>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依法分类处理信访诉求，引导群众依法逐级走访。运用法治思维和法治方式解决信访突出问题，确保群众合理合法诉求依照法律规定和程序得到有效解决。</w:t>
      </w:r>
    </w:p>
    <w:p w14:paraId="1ADABAAE">
      <w:pPr>
        <w:ind w:firstLine="643" w:firstLineChars="200"/>
        <w:rPr>
          <w:rStyle w:val="4"/>
          <w:rFonts w:hint="default" w:ascii="黑体" w:hAnsi="黑体" w:eastAsia="黑体" w:cs="黑体"/>
          <w:b/>
          <w:bCs/>
          <w:i w:val="0"/>
          <w:iCs w:val="0"/>
          <w:caps w:val="0"/>
          <w:color w:val="0F1115"/>
          <w:spacing w:val="0"/>
          <w:sz w:val="32"/>
          <w:szCs w:val="32"/>
          <w:shd w:val="clear" w:fill="FFFFFF"/>
          <w:lang w:val="en-US" w:eastAsia="zh-CN"/>
        </w:rPr>
      </w:pPr>
      <w:r>
        <w:rPr>
          <w:rStyle w:val="4"/>
          <w:rFonts w:hint="eastAsia" w:ascii="黑体" w:hAnsi="黑体" w:eastAsia="黑体" w:cs="黑体"/>
          <w:b/>
          <w:bCs/>
          <w:i w:val="0"/>
          <w:iCs w:val="0"/>
          <w:caps w:val="0"/>
          <w:color w:val="0F1115"/>
          <w:spacing w:val="0"/>
          <w:sz w:val="32"/>
          <w:szCs w:val="32"/>
          <w:shd w:val="clear" w:fill="FFFFFF"/>
          <w:lang w:val="en-US" w:eastAsia="zh-CN"/>
        </w:rPr>
        <w:t>四</w:t>
      </w:r>
      <w:r>
        <w:rPr>
          <w:rStyle w:val="4"/>
          <w:rFonts w:hint="default" w:ascii="黑体" w:hAnsi="黑体" w:eastAsia="黑体" w:cs="黑体"/>
          <w:b/>
          <w:bCs/>
          <w:i w:val="0"/>
          <w:iCs w:val="0"/>
          <w:caps w:val="0"/>
          <w:color w:val="0F1115"/>
          <w:spacing w:val="0"/>
          <w:sz w:val="32"/>
          <w:szCs w:val="32"/>
          <w:shd w:val="clear" w:fill="FFFFFF"/>
          <w:lang w:val="en-US" w:eastAsia="zh-CN"/>
        </w:rPr>
        <w:t>、 加强普法宣传，营造尊法学法守法用法氛围</w:t>
      </w:r>
    </w:p>
    <w:p w14:paraId="5B8C2AF1">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紧密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围绕“3.15消费者维权日”、“4.15国家安全教育日”、“6.26国际禁毒日”等重要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节点，组织开展了系列法治宣传教育活动。此外，还深入实施了“青少年法治宣传教育”、“一村一堂普法课”、“气象法律法规宣传”、“森林防火法治宣传”、“宪法宣传”以及“防溺水、防性侵、防暴力、防欺凌—保护未成年人”等专项普法活动共计6次。活动期间，通过广播、宣传展板、发放宣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手册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（累计1500余份）等多种形式向居民普及相关法律法规，并组织群众及学生观看法治宣传视频2次。通过系列举措，有效提升了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辖区群众</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的法治素养，推动形成了办事依法、遇事找法、解决问题用法的良好氛围。</w:t>
      </w:r>
    </w:p>
    <w:p w14:paraId="47CD147E">
      <w:pPr>
        <w:ind w:firstLine="643" w:firstLineChars="200"/>
        <w:rPr>
          <w:rStyle w:val="4"/>
          <w:rFonts w:hint="default" w:ascii="黑体" w:hAnsi="黑体" w:eastAsia="黑体" w:cs="黑体"/>
          <w:b/>
          <w:bCs/>
          <w:i w:val="0"/>
          <w:iCs w:val="0"/>
          <w:caps w:val="0"/>
          <w:color w:val="0F1115"/>
          <w:spacing w:val="0"/>
          <w:sz w:val="32"/>
          <w:szCs w:val="32"/>
          <w:shd w:val="clear" w:fill="FFFFFF"/>
          <w:lang w:val="en-US" w:eastAsia="zh-CN"/>
        </w:rPr>
      </w:pPr>
      <w:r>
        <w:rPr>
          <w:rStyle w:val="4"/>
          <w:rFonts w:hint="eastAsia" w:ascii="黑体" w:hAnsi="黑体" w:eastAsia="黑体" w:cs="黑体"/>
          <w:b/>
          <w:bCs/>
          <w:i w:val="0"/>
          <w:iCs w:val="0"/>
          <w:caps w:val="0"/>
          <w:color w:val="0F1115"/>
          <w:spacing w:val="0"/>
          <w:sz w:val="32"/>
          <w:szCs w:val="32"/>
          <w:shd w:val="clear" w:fill="FFFFFF"/>
          <w:lang w:val="en-US" w:eastAsia="zh-CN"/>
        </w:rPr>
        <w:t>五、</w:t>
      </w:r>
      <w:r>
        <w:rPr>
          <w:rStyle w:val="4"/>
          <w:rFonts w:hint="default" w:ascii="黑体" w:hAnsi="黑体" w:eastAsia="黑体" w:cs="黑体"/>
          <w:b/>
          <w:bCs/>
          <w:i w:val="0"/>
          <w:iCs w:val="0"/>
          <w:caps w:val="0"/>
          <w:color w:val="0F1115"/>
          <w:spacing w:val="0"/>
          <w:sz w:val="32"/>
          <w:szCs w:val="32"/>
          <w:shd w:val="clear" w:fill="FFFFFF"/>
          <w:lang w:val="en-US" w:eastAsia="zh-CN"/>
        </w:rPr>
        <w:t>存在的主要问题与不足</w:t>
      </w:r>
    </w:p>
    <w:p w14:paraId="30492A3C">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一是部分基层执法人员运用法治思维和法治方式解决问题的能力有待进一步提升；二是法治政府建设工作的创新性和典型经验挖掘提炼尚有不足；三是公共法律服务的精准供给和覆盖面有待进一步拓展。</w:t>
      </w:r>
    </w:p>
    <w:p w14:paraId="2304C69A">
      <w:pPr>
        <w:ind w:firstLine="643" w:firstLineChars="200"/>
        <w:rPr>
          <w:rStyle w:val="4"/>
          <w:rFonts w:hint="eastAsia" w:ascii="黑体" w:hAnsi="黑体" w:eastAsia="黑体" w:cs="黑体"/>
          <w:b/>
          <w:bCs/>
          <w:i w:val="0"/>
          <w:iCs w:val="0"/>
          <w:caps w:val="0"/>
          <w:color w:val="0F1115"/>
          <w:spacing w:val="0"/>
          <w:sz w:val="32"/>
          <w:szCs w:val="32"/>
          <w:shd w:val="clear" w:fill="FFFFFF"/>
          <w:lang w:val="en-US" w:eastAsia="zh-CN"/>
        </w:rPr>
      </w:pPr>
      <w:r>
        <w:rPr>
          <w:rStyle w:val="4"/>
          <w:rFonts w:hint="eastAsia" w:ascii="黑体" w:hAnsi="黑体" w:eastAsia="黑体" w:cs="黑体"/>
          <w:b/>
          <w:bCs/>
          <w:i w:val="0"/>
          <w:iCs w:val="0"/>
          <w:caps w:val="0"/>
          <w:color w:val="0F1115"/>
          <w:spacing w:val="0"/>
          <w:sz w:val="32"/>
          <w:szCs w:val="32"/>
          <w:shd w:val="clear" w:fill="FFFFFF"/>
          <w:lang w:val="en-US" w:eastAsia="zh-CN"/>
        </w:rPr>
        <w:t>六、下一步工作计划</w:t>
      </w:r>
    </w:p>
    <w:p w14:paraId="6033F1E1">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下一步，我镇将坚持问题导向，精准发力，持续深化法治政府建设：</w:t>
      </w:r>
    </w:p>
    <w:p w14:paraId="7FC379DE">
      <w:pPr>
        <w:ind w:firstLine="643"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（一）深化履职能力建设。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持续加强对镇村干部，特别是一线执法人员的法治培训，推广运用“四问工作法”（问权限、问程序、问情理、问感受），提升基层依法行政的意识和能力。</w:t>
      </w:r>
    </w:p>
    <w:p w14:paraId="26FCABB4">
      <w:pPr>
        <w:ind w:firstLine="643"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（二）强化执法监督规范。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深入开展规范涉企行政执法专项行动，重点纠治执法不公、检查扰企等问题。完善行政执法监督机制。</w:t>
      </w:r>
    </w:p>
    <w:p w14:paraId="33F4DD51">
      <w:pPr>
        <w:ind w:firstLine="643"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4"/>
          <w:rFonts w:hint="eastAsia" w:ascii="楷体" w:hAnsi="楷体" w:eastAsia="楷体" w:cs="楷体"/>
          <w:b/>
          <w:bCs/>
          <w:i w:val="0"/>
          <w:iCs w:val="0"/>
          <w:caps w:val="0"/>
          <w:color w:val="0F1115"/>
          <w:spacing w:val="0"/>
          <w:sz w:val="32"/>
          <w:szCs w:val="32"/>
          <w:shd w:val="clear" w:fill="FFFFFF"/>
          <w:lang w:val="en-US" w:eastAsia="zh-CN"/>
        </w:rPr>
        <w:t>（三）创新基层治理模式。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进一步完善矛盾纠纷多元预防调处化解综合机制，推动更多法治力量向引导和疏导端用力。加大全民普法力度，培育乡村“法律明白人”，助力法治社会建设。</w:t>
      </w:r>
    </w:p>
    <w:p w14:paraId="3B4CFF1D">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A96DFCA">
      <w:pPr>
        <w:jc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0" w:name="_GoBack"/>
      <w:bookmarkEnd w:id="0"/>
    </w:p>
    <w:p w14:paraId="73005C19">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B1718D7">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6AA770E">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C59B0EE">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05D4B033">
      <w:pPr>
        <w:rPr>
          <w:rStyle w:val="4"/>
          <w:rFonts w:hint="default" w:ascii="黑体" w:hAnsi="黑体" w:eastAsia="黑体" w:cs="黑体"/>
          <w:b/>
          <w:bCs/>
          <w:i w:val="0"/>
          <w:iCs w:val="0"/>
          <w:caps w:val="0"/>
          <w:color w:val="0F1115"/>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513FC-5D4A-4F84-9284-F2CAB873AA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F6E2BE5-4AAE-4DBA-BC50-1C373648B26E}"/>
  </w:font>
  <w:font w:name="仿宋_GB2312">
    <w:altName w:val="仿宋"/>
    <w:panose1 w:val="02010609030101010101"/>
    <w:charset w:val="86"/>
    <w:family w:val="auto"/>
    <w:pitch w:val="default"/>
    <w:sig w:usb0="00000000" w:usb1="00000000" w:usb2="00000000" w:usb3="00000000" w:csb0="00040000" w:csb1="00000000"/>
    <w:embedRegular r:id="rId3" w:fontKey="{25A9DB5B-C4E4-4979-8885-A773DCBC0C11}"/>
  </w:font>
  <w:font w:name="楷体">
    <w:panose1 w:val="02010609060101010101"/>
    <w:charset w:val="86"/>
    <w:family w:val="auto"/>
    <w:pitch w:val="default"/>
    <w:sig w:usb0="800002BF" w:usb1="38CF7CFA" w:usb2="00000016" w:usb3="00000000" w:csb0="00040001" w:csb1="00000000"/>
    <w:embedRegular r:id="rId4" w:fontKey="{622805FC-E02B-4110-AB06-ECBB79B01A3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46A40"/>
    <w:rsid w:val="0EAA10CD"/>
    <w:rsid w:val="1C13053F"/>
    <w:rsid w:val="1C2838BF"/>
    <w:rsid w:val="1FA45C12"/>
    <w:rsid w:val="33DC1707"/>
    <w:rsid w:val="34474DD2"/>
    <w:rsid w:val="3A1E65D5"/>
    <w:rsid w:val="4BCF6283"/>
    <w:rsid w:val="4EA14EB1"/>
    <w:rsid w:val="539B119C"/>
    <w:rsid w:val="58AB6E2E"/>
    <w:rsid w:val="613100ED"/>
    <w:rsid w:val="69C35C6A"/>
    <w:rsid w:val="761402B1"/>
    <w:rsid w:val="7B6A2A92"/>
    <w:rsid w:val="7E4B683A"/>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1974</Words>
  <Characters>2014</Characters>
  <Lines>0</Lines>
  <Paragraphs>0</Paragraphs>
  <TotalTime>12</TotalTime>
  <ScaleCrop>false</ScaleCrop>
  <LinksUpToDate>false</LinksUpToDate>
  <CharactersWithSpaces>2079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2025-12-08T05:16:00Z</dcterms:created>
  <dc:creator>Administrator</dc:creator>
  <cp:lastModifiedBy>阿汤哥</cp:lastModifiedBy>
  <dcterms:modified xsi:type="dcterms:W3CDTF">2026-02-12T01:16:50Z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eyJoZGlkIjoiODdhMGZlMmFiYjk4MTBlNzViOGI4NTkwODFlNzYxMTMiLCJ1c2VySWQiOiIyNDk0MDI4OTMifQ==</vt:lpwstr>
  </property>
  <property fmtid="{D5CDD505-2E9C-101B-9397-08002B2CF9AE}" pid="4" name="ICV">
    <vt:lpwstr>0013891C085D4BE38A9A5B564296D199_12</vt:lpwstr>
  </property>
</Properties>
</file>