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F5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桐柏县商务局</w:t>
      </w:r>
    </w:p>
    <w:p w14:paraId="674525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关于2025年度法治政府建设情况的报告</w:t>
      </w:r>
    </w:p>
    <w:p w14:paraId="6539DB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lang w:val="en-US" w:eastAsia="zh-CN"/>
        </w:rPr>
      </w:pPr>
      <w:r>
        <w:rPr>
          <w:rFonts w:hint="eastAsia" w:ascii="黑体" w:hAnsi="黑体" w:eastAsia="黑体" w:cs="黑体"/>
          <w:sz w:val="44"/>
          <w:szCs w:val="44"/>
          <w:lang w:val="en-US" w:eastAsia="zh-CN"/>
        </w:rPr>
        <w:t>​</w:t>
      </w:r>
    </w:p>
    <w:p w14:paraId="494E96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3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桐柏县商务局坚持以习近平新时代中国特色社会主义思想为指导，深入贯彻习近平法治思想，全面落实中央、省、市关于法治政府建设的决策部署，紧扣商务工作“稳外贸、促消费、扩开放、保安全”核心任务，将法治建设贯穿商务发展全领域、各环节，着力提升依法行政水平，为全县商务经济高质量发展提供了坚实法治保障。现将有关情况报告如下：​</w:t>
      </w:r>
    </w:p>
    <w:p w14:paraId="51CC5C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bCs/>
          <w:sz w:val="32"/>
          <w:szCs w:val="32"/>
          <w:lang w:val="en-US" w:eastAsia="zh-CN"/>
        </w:rPr>
        <w:t>一、主要开展工作及成效</w:t>
      </w:r>
      <w:r>
        <w:rPr>
          <w:rFonts w:hint="eastAsia" w:ascii="黑体" w:hAnsi="黑体" w:eastAsia="黑体" w:cs="黑体"/>
          <w:sz w:val="32"/>
          <w:szCs w:val="32"/>
          <w:lang w:val="en-US" w:eastAsia="zh-CN"/>
        </w:rPr>
        <w:t>​</w:t>
      </w:r>
    </w:p>
    <w:p w14:paraId="50D05A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0" w:firstLineChars="1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 xml:space="preserve">（一）党政主要负责人切实履行法治建设第一责任人职责​  </w:t>
      </w:r>
      <w:r>
        <w:rPr>
          <w:rFonts w:hint="eastAsia" w:ascii="仿宋" w:hAnsi="仿宋" w:eastAsia="仿宋" w:cs="仿宋"/>
          <w:sz w:val="32"/>
          <w:szCs w:val="32"/>
          <w:lang w:val="en-US" w:eastAsia="zh-CN"/>
        </w:rPr>
        <w:t>局党组始终把法治政府建设摆在全局工作突出位置，构建“主要领导统筹抓、分管领导具体抓、科室负责人直接抓” 的工作格局。一是强化统筹部署，将法治建设纳入年度工作计划和党组重点议事日程，与商务业务工作同部署、同推进、同考核，全年召开党组会15次，其中专题研究法治建设工作4次，解决法治宣传、执法规范等重点问题2项。二是带头学法用法，落实党组理论学习中心组集体学法制度，全年组织学习《民法典》《外商投资法》《优化营商环境条例》等法律法规6次，党政主要负责人带头宣讲法治政策3场，带动全局干部职工形成尊法学法守法用法氛围。三是严格决策规范，严格执行“三重一大”决策制度，所有重大行政决策、重要合同签订、大额资金使用等均经合法性审查和集体讨论决定，全年完成2项重要政策的合法性审核，审核通过率 100%。四是强化督导落实，主要负责人定期听取法治建设工作汇报，带队开展执法监督检查3次，对安全生产、市场监管等领域法治工作落实情况进行专项督办，确保各项任务落地见效。​</w:t>
      </w:r>
    </w:p>
    <w:p w14:paraId="3BD470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（二）推进法治政府建设的主要举措和成效</w:t>
      </w:r>
      <w:r>
        <w:rPr>
          <w:rFonts w:hint="eastAsia" w:ascii="仿宋" w:hAnsi="仿宋" w:eastAsia="仿宋" w:cs="仿宋"/>
          <w:sz w:val="32"/>
          <w:szCs w:val="32"/>
          <w:lang w:val="en-US" w:eastAsia="zh-CN"/>
        </w:rPr>
        <w:t>​</w:t>
      </w:r>
    </w:p>
    <w:p w14:paraId="144CB5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b/>
          <w:bCs/>
          <w:sz w:val="32"/>
          <w:szCs w:val="32"/>
          <w:lang w:val="en-US" w:eastAsia="zh-CN"/>
        </w:rPr>
        <w:t>健全制度体系，规范权力运行。</w:t>
      </w:r>
      <w:r>
        <w:rPr>
          <w:rFonts w:hint="eastAsia" w:ascii="仿宋" w:hAnsi="仿宋" w:eastAsia="仿宋" w:cs="仿宋"/>
          <w:sz w:val="32"/>
          <w:szCs w:val="32"/>
          <w:lang w:val="en-US" w:eastAsia="zh-CN"/>
        </w:rPr>
        <w:t>完善依法行政制度框架，修订《县商务局政府法律顾问工作制度》《规范性文件管理办法》等4项制度，构建“决策-执行-监督”全流程法治管理体系。严格规范性文件管理，全年制发规范性文件5件，均履行评估论证、公开征求意见、合法性审核、备案审查等程序，合法性审核率、备案率均达100%。落实政府法律顾问制度，聘请专业律师担任法律顾问，全年提供法律咨询23次，参与重大纠纷调处1次，有效防范法律风险。​</w:t>
      </w:r>
    </w:p>
    <w:p w14:paraId="7061BB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b/>
          <w:bCs/>
          <w:sz w:val="32"/>
          <w:szCs w:val="32"/>
          <w:lang w:val="en-US" w:eastAsia="zh-CN"/>
        </w:rPr>
        <w:t>深化执法监管，维护市场秩序。</w:t>
      </w:r>
      <w:r>
        <w:rPr>
          <w:rFonts w:hint="eastAsia" w:ascii="仿宋" w:hAnsi="仿宋" w:eastAsia="仿宋" w:cs="仿宋"/>
          <w:sz w:val="32"/>
          <w:szCs w:val="32"/>
          <w:lang w:val="en-US" w:eastAsia="zh-CN"/>
        </w:rPr>
        <w:t>聚焦商贸流通、成品油市场、单用途商业预付卡等重点领域，开展“双随机、一公开”监管和专项整治行动。全年组织联合执法检查10次，检查商贸企业10家次，排查安全隐患5处，整改完成率98%；查处成品油非法经营、预付卡违规发卡等违法案件5起。创新监管模式，建立“信用 + 监管”机制，将1家失信企业纳入重点监管名单，实施差异化监管措施；推进“互联网+监管”，实现2项监管事项全程网办，监管效率提升40%。针对大型商超、加油站等重点场所，开展消防安全“解剖式”检查和现场观摩会，组织安全生产培训4场，覆盖企业130家次、从业人员150余人次，发放宣传手册1500余份。​</w:t>
      </w:r>
    </w:p>
    <w:p w14:paraId="3331E8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b/>
          <w:bCs/>
          <w:sz w:val="32"/>
          <w:szCs w:val="32"/>
          <w:lang w:val="en-US" w:eastAsia="zh-CN"/>
        </w:rPr>
        <w:t>优化法治服务，助力企业发展。</w:t>
      </w:r>
      <w:r>
        <w:rPr>
          <w:rFonts w:hint="eastAsia" w:ascii="仿宋" w:hAnsi="仿宋" w:eastAsia="仿宋" w:cs="仿宋"/>
          <w:sz w:val="32"/>
          <w:szCs w:val="32"/>
          <w:lang w:val="en-US" w:eastAsia="zh-CN"/>
        </w:rPr>
        <w:t>深化“放管服”改革，动态调整权责清单和行政许可事项清单，将对外贸易经营者备案、单用途商业预付卡备案等8项事项纳入 “一窗通办”，办理时限平均压缩50%。建立涉企法律服务机制，联合市贸促会设立商事调解联络点，为外贸企业提供纠纷调解、法律维权等服务，全年受理企业咨询130次，帮助企业挽回经济损失100余万元。落实“谁执法谁普法”责任制，开展“法律进企业”活动12场，围绕《对外贸易法》《再生资源回收管理办法》等法规政策进行宣讲，覆盖企业55家次。​</w:t>
      </w:r>
    </w:p>
    <w:p w14:paraId="43657A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b/>
          <w:bCs/>
          <w:sz w:val="32"/>
          <w:szCs w:val="32"/>
          <w:lang w:val="en-US" w:eastAsia="zh-CN"/>
        </w:rPr>
        <w:t>化解矛盾纠纷，回应群众关切。</w:t>
      </w:r>
      <w:r>
        <w:rPr>
          <w:rFonts w:hint="eastAsia" w:ascii="仿宋" w:hAnsi="仿宋" w:eastAsia="仿宋" w:cs="仿宋"/>
          <w:sz w:val="32"/>
          <w:szCs w:val="32"/>
          <w:lang w:val="en-US" w:eastAsia="zh-CN"/>
        </w:rPr>
        <w:t>畅通投诉举报渠道，完善12345政务服务热线、政府信箱等诉求办理机制，全年受理群众咨询、投诉、举报15件，按时办结率100%，群众满意度96.4%。主动公开政务信息89条，其中政策文件12条、执法结果28条、工作动态49条，保障群众知情权、参与权和监督权。​</w:t>
      </w:r>
    </w:p>
    <w:p w14:paraId="50D6A6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bCs/>
          <w:sz w:val="32"/>
          <w:szCs w:val="32"/>
          <w:lang w:val="en-US" w:eastAsia="zh-CN"/>
        </w:rPr>
        <w:t>二、存在的不足、原因和问题整改情况</w:t>
      </w:r>
      <w:r>
        <w:rPr>
          <w:rFonts w:hint="eastAsia" w:ascii="仿宋" w:hAnsi="仿宋" w:eastAsia="仿宋" w:cs="仿宋"/>
          <w:sz w:val="32"/>
          <w:szCs w:val="32"/>
          <w:lang w:val="en-US" w:eastAsia="zh-CN"/>
        </w:rPr>
        <w:t>​</w:t>
      </w:r>
    </w:p>
    <w:p w14:paraId="3092CF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（一）存在的不足​</w:t>
      </w:r>
    </w:p>
    <w:p w14:paraId="0A9192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1、法治与业务融合深度不足，部分干部运用法治思维和法治方式解决商务领域复杂问题的能力有待提升，在招商引资、项目推进等工作中，法治风险预判和防控意识不够强。</w:t>
      </w:r>
    </w:p>
    <w:p w14:paraId="24E163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2、普法宣传形式较为单一，主要以传统宣讲、发放手册为主，运用新媒体、数字化手段开展精准普法的力度不足，针对外贸企业、小微企业等不同群体的个性化普法服务不够精准。​</w:t>
      </w:r>
    </w:p>
    <w:p w14:paraId="457039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3、执法队伍专业化水平有待提高，商务领域执法涉及面广、专业性强，但现有执法人员中法律专业人才占比偏低，部分执法人员对新型业态、跨境贸易等领域的法律法规掌握不够全面。​</w:t>
      </w:r>
    </w:p>
    <w:p w14:paraId="42FB89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（二）原因分析​</w:t>
      </w:r>
    </w:p>
    <w:p w14:paraId="561823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1、思想认识层面，部分干部对法治政府建设的重要性认识不够深刻，存在“重业务、轻法治”的倾向，没有充分认识到法治建设对商务工作的保障和促进作用。​</w:t>
      </w:r>
    </w:p>
    <w:p w14:paraId="487120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2、资源保障层面，法治建设经费投入不足，普法宣传、执法培训等工作缺乏必要的资金和技术支持；法治人才培养机制不够完善，缺乏系统的法律知识培训和实践锻炼。​</w:t>
      </w:r>
    </w:p>
    <w:p w14:paraId="66A165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3、工作机制层面，法治建设考核评价体系不够健全，</w:t>
      </w:r>
      <w:r>
        <w:rPr>
          <w:rFonts w:hint="eastAsia" w:ascii="仿宋" w:hAnsi="仿宋" w:eastAsia="仿宋" w:cs="仿宋"/>
          <w:sz w:val="32"/>
          <w:szCs w:val="32"/>
          <w:lang w:val="en-US" w:eastAsia="zh-CN"/>
        </w:rPr>
        <w:t>考核指标较为笼统，对法治与业务融合、普法实效等方面的考核权重偏低，激励约束作用不够明显。​</w:t>
      </w:r>
    </w:p>
    <w:p w14:paraId="286B97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（三）问题整改情况​</w:t>
      </w:r>
    </w:p>
    <w:p w14:paraId="1A9B2E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上述问题，我局迅速制定整改方案，明确整改措施、责任人和完成时限，扎实推进整改工作。一是强化思想引领，将习近平法治思想纳入干部培训必修课程，组织开展法治业务融合专题培训3场，覆盖干部职工60人次，提升干部法治素养和履职能力。二是创新普法模式，针对外贸企业、餐饮企业等不同群体开展“定制化”普法4场；建立企业法治需求清单制度，收集企业法治需求10条，精准提供法律服务。三是加强执法队伍建设，招录法律专业人才1名，组织执法人员参加市、县行政执法资格培训和业务轮训2次，7名执法人员全部持证上岗；聘请行业专家、律师开展执法实务培训2场，提升执法专业化水平。目前，各项整改措施已取得阶段性成效，后续将建立长效机制，持续巩固整改成果。</w:t>
      </w:r>
    </w:p>
    <w:p w14:paraId="0CE1EF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bCs/>
          <w:sz w:val="32"/>
          <w:szCs w:val="32"/>
          <w:lang w:val="en-US" w:eastAsia="zh-CN"/>
        </w:rPr>
        <w:t>三、下步工作建议及打算</w:t>
      </w:r>
      <w:r>
        <w:rPr>
          <w:rFonts w:hint="eastAsia" w:ascii="仿宋" w:hAnsi="仿宋" w:eastAsia="仿宋" w:cs="仿宋"/>
          <w:sz w:val="32"/>
          <w:szCs w:val="32"/>
          <w:lang w:val="en-US" w:eastAsia="zh-CN"/>
        </w:rPr>
        <w:t>​</w:t>
      </w:r>
    </w:p>
    <w:p w14:paraId="1F2911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（一）对2026年度全县法治政府建设重点工作安排建议​</w:t>
      </w:r>
    </w:p>
    <w:p w14:paraId="19DCD1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强化法治营商环境建设，建议全县统筹推进涉企政策法治化审查，建立招商引资合同、产业扶持政策等合法性审核绿色通道，防范行政决策法律风险；健全跨部门联合执法机制，聚焦市场监管、安全生产等重点领域，开展联合执法行动，严厉打击违法违规行为，维护公平竞争的市场秩序。</w:t>
      </w:r>
    </w:p>
    <w:p w14:paraId="50DB84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重点领域法治保障，建议围绕县域经济高质量发展，加快完善电子商务、跨境贸易、现代物流等新兴领域的制度规范；建立企业法治服务联盟，整合律师事务所、会计师事务所、行业协会等资源，为企业提供一站式法治服务，助力企业防范化解经营风险。​</w:t>
      </w:r>
    </w:p>
    <w:p w14:paraId="6827C2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创新普法宣传教育模式，建议搭建全县统一的数字化普法平台，运用大数据、人工智能等技术，开展精准普法、智慧普法；建立普法责任制考核评价机制，将普法实效纳入各部门年度考核，推动“谁执法谁普法”责任制落到实处。 </w:t>
      </w:r>
    </w:p>
    <w:p w14:paraId="423759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法治人才队伍建设，建议全县统筹开展法治业务培训，组织各部门执法人员、中层干部进行跨领域、跨部门法治学习交流；建立法治人才库，鼓励干部职工参加法律职业资格考试，提升法治人才占比，为法治政府建设提供人才支撑。​</w:t>
      </w:r>
    </w:p>
    <w:p w14:paraId="13FA7E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（二）本单位本系统2026年度法治政府建设重点工作打算​</w:t>
      </w:r>
    </w:p>
    <w:p w14:paraId="12C21E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深化法治思想引领，持续推进习近平法治思想学习教育常态化、制度化，将法治学习纳入党组理论学习中心组学习、干部职工培训的重要内容，全年组织专题学习不少于6次，开展法治专题研讨2次，不断提升干部法治思维和依法办事能力。​</w:t>
      </w:r>
    </w:p>
    <w:p w14:paraId="4EAB05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健全依法行政制度体系，修订完善行政决策程序、执法监督管理等制度3-5项，加强规范性文件动态清理和备案审查，确保行政行为合法合规；深化法律顾问参与决策机制，将合法性审查覆盖到商务工作全流程，全年完成重大决策、重要合同合法性审核不少于20件。​</w:t>
      </w:r>
    </w:p>
    <w:p w14:paraId="1722FC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升行政执法规范化水平，深入落实行政执法“三项制度”，完善执法流程和裁量标准，规范执法文书制作和案卷管理；探索运用非现场监管、触发式监管等新型监管模式，开展“双随机、一公开”监管不少于12次，联合执法检查不少于8次，提升监管精准性和效能。​</w:t>
      </w:r>
    </w:p>
    <w:p w14:paraId="188F28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优化法治服务企业水平，深化“法律进企业”活动，开展定制化普法宣传不少于10场，覆盖企业150家次；升级涉企法律服务机制，扩大商事调解联络点覆盖面，全年提供法律援助不少于5次，调解纠纷不少于5起，助力企业防范法律风险。​</w:t>
      </w:r>
    </w:p>
    <w:p w14:paraId="532266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强化法治建设保障措施，加大法治建设经费投入，改善执法装备和普法设施；加强执法队伍专业化建设，组织执法人员培训不少于8次，鼓励干部参加法律职业资格考试，力争法治专业人才占比提升至30%；健全法治建设考核评价体系，将法治工作成效与干部评优评先、绩效考核挂钩，压实法治建设责任。​</w:t>
      </w:r>
    </w:p>
    <w:p w14:paraId="6077E6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val="en-US" w:eastAsia="zh-CN"/>
        </w:rPr>
      </w:pPr>
    </w:p>
    <w:p w14:paraId="7FC6A7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440" w:firstLineChars="1700"/>
        <w:jc w:val="both"/>
        <w:textAlignment w:val="auto"/>
        <w:rPr>
          <w:rFonts w:hint="eastAsia" w:ascii="仿宋" w:hAnsi="仿宋" w:eastAsia="仿宋" w:cs="仿宋"/>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GWZT-EN">
    <w:altName w:val="Perpetua Titling MT"/>
    <w:panose1 w:val="02020400000000000000"/>
    <w:charset w:val="00"/>
    <w:family w:val="auto"/>
    <w:pitch w:val="default"/>
    <w:sig w:usb0="00000000" w:usb1="00000000" w:usb2="00082016" w:usb3="00000000" w:csb0="00000003" w:csb1="00000000"/>
  </w:font>
  <w:font w:name="DejaVu Math TeX Gyre">
    <w:altName w:val="Cambria Math"/>
    <w:panose1 w:val="02000503000000000000"/>
    <w:charset w:val="00"/>
    <w:family w:val="auto"/>
    <w:pitch w:val="default"/>
    <w:sig w:usb0="00000000" w:usb1="00000000" w:usb2="02000000" w:usb3="00000000" w:csb0="60000193" w:csb1="0DD40000"/>
  </w:font>
  <w:font w:name="Perpetua Titling MT">
    <w:panose1 w:val="02020502060505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AB56">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F7630">
                          <w:pPr>
                            <w:pStyle w:val="4"/>
                            <w:rPr>
                              <w:rFonts w:hint="default" w:ascii="GWZT-EN" w:hAnsi="GWZT-EN" w:eastAsia="GWZT-EN" w:cs="GWZT-EN"/>
                              <w:b w:val="0"/>
                              <w:bCs w:val="0"/>
                              <w:sz w:val="28"/>
                            </w:rPr>
                          </w:pPr>
                          <w:r>
                            <w:rPr>
                              <w:rFonts w:hint="default" w:ascii="GWZT-EN" w:hAnsi="GWZT-EN" w:eastAsia="GWZT-EN" w:cs="GWZT-EN"/>
                              <w:b w:val="0"/>
                              <w:bCs w:val="0"/>
                              <w:sz w:val="28"/>
                            </w:rPr>
                            <w:t>—</w:t>
                          </w:r>
                          <w:r>
                            <w:rPr>
                              <w:rFonts w:hint="default" w:ascii="GWZT-EN" w:hAnsi="GWZT-EN" w:eastAsia="GWZT-EN" w:cs="GWZT-EN"/>
                              <w:b w:val="0"/>
                              <w:bCs w:val="0"/>
                              <w:sz w:val="24"/>
                            </w:rPr>
                            <w:t>　</w:t>
                          </w:r>
                          <w:r>
                            <w:rPr>
                              <w:rFonts w:hint="default" w:ascii="GWZT-EN" w:hAnsi="GWZT-EN" w:eastAsia="GWZT-EN" w:cs="GWZT-EN"/>
                              <w:b w:val="0"/>
                              <w:bCs w:val="0"/>
                              <w:sz w:val="28"/>
                            </w:rPr>
                            <w:fldChar w:fldCharType="begin"/>
                          </w:r>
                          <w:r>
                            <w:rPr>
                              <w:rFonts w:hint="default" w:ascii="GWZT-EN" w:hAnsi="GWZT-EN" w:eastAsia="GWZT-EN" w:cs="GWZT-EN"/>
                              <w:b w:val="0"/>
                              <w:bCs w:val="0"/>
                              <w:sz w:val="28"/>
                            </w:rPr>
                            <w:instrText xml:space="preserve"> PAGE  \* MERGEFORMAT </w:instrText>
                          </w:r>
                          <w:r>
                            <w:rPr>
                              <w:rFonts w:hint="default" w:ascii="GWZT-EN" w:hAnsi="GWZT-EN" w:eastAsia="GWZT-EN" w:cs="GWZT-EN"/>
                              <w:b w:val="0"/>
                              <w:bCs w:val="0"/>
                              <w:sz w:val="28"/>
                            </w:rPr>
                            <w:fldChar w:fldCharType="separate"/>
                          </w:r>
                          <w:r>
                            <w:rPr>
                              <w:rFonts w:hint="default" w:ascii="GWZT-EN" w:hAnsi="GWZT-EN" w:eastAsia="GWZT-EN" w:cs="GWZT-EN"/>
                              <w:b w:val="0"/>
                              <w:bCs w:val="0"/>
                              <w:sz w:val="28"/>
                            </w:rPr>
                            <w:t>14</w:t>
                          </w:r>
                          <w:r>
                            <w:rPr>
                              <w:rFonts w:hint="default" w:ascii="GWZT-EN" w:hAnsi="GWZT-EN" w:eastAsia="GWZT-EN" w:cs="GWZT-EN"/>
                              <w:b w:val="0"/>
                              <w:bCs w:val="0"/>
                              <w:sz w:val="28"/>
                            </w:rPr>
                            <w:fldChar w:fldCharType="end"/>
                          </w:r>
                          <w:r>
                            <w:rPr>
                              <w:rFonts w:hint="default" w:ascii="GWZT-EN" w:hAnsi="GWZT-EN" w:eastAsia="GWZT-EN" w:cs="GWZT-EN"/>
                              <w:b w:val="0"/>
                              <w:bCs w:val="0"/>
                              <w:sz w:val="24"/>
                            </w:rPr>
                            <w:t>　</w:t>
                          </w:r>
                          <w:r>
                            <w:rPr>
                              <w:rFonts w:hint="default" w:ascii="GWZT-EN" w:hAnsi="GWZT-EN" w:eastAsia="GWZT-EN" w:cs="GWZT-EN"/>
                              <w:b w:val="0"/>
                              <w:bCs w:val="0"/>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59264;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m2ltd1gAAAAgBAAAPAAAAAAAAAAEAIAAAACIAAABkcnMvZG93&#10;bnJldi54bWxQSwECFAAUAAAACACHTuJAahnSaDsCAABtBAAADgAAAAAAAAABACAAAAAlAQAAZHJz&#10;L2Uyb0RvYy54bWxQSwUGAAAAAAYABgBZAQAA0gUAAAAA&#10;">
              <v:fill on="f" focussize="0,0"/>
              <v:stroke on="f" weight="0.5pt"/>
              <v:imagedata o:title=""/>
              <o:lock v:ext="edit" aspectratio="f"/>
              <v:textbox inset="0mm,16pt,0mm,16pt" style="layout-flow:vertical-ideographic;mso-fit-shape-to-text:t;">
                <w:txbxContent>
                  <w:p w14:paraId="501F7630">
                    <w:pPr>
                      <w:pStyle w:val="4"/>
                      <w:rPr>
                        <w:rFonts w:hint="default" w:ascii="GWZT-EN" w:hAnsi="GWZT-EN" w:eastAsia="GWZT-EN" w:cs="GWZT-EN"/>
                        <w:b w:val="0"/>
                        <w:bCs w:val="0"/>
                        <w:sz w:val="28"/>
                      </w:rPr>
                    </w:pPr>
                    <w:r>
                      <w:rPr>
                        <w:rFonts w:hint="default" w:ascii="GWZT-EN" w:hAnsi="GWZT-EN" w:eastAsia="GWZT-EN" w:cs="GWZT-EN"/>
                        <w:b w:val="0"/>
                        <w:bCs w:val="0"/>
                        <w:sz w:val="28"/>
                      </w:rPr>
                      <w:t>—</w:t>
                    </w:r>
                    <w:r>
                      <w:rPr>
                        <w:rFonts w:hint="default" w:ascii="GWZT-EN" w:hAnsi="GWZT-EN" w:eastAsia="GWZT-EN" w:cs="GWZT-EN"/>
                        <w:b w:val="0"/>
                        <w:bCs w:val="0"/>
                        <w:sz w:val="24"/>
                      </w:rPr>
                      <w:t>　</w:t>
                    </w:r>
                    <w:r>
                      <w:rPr>
                        <w:rFonts w:hint="default" w:ascii="GWZT-EN" w:hAnsi="GWZT-EN" w:eastAsia="GWZT-EN" w:cs="GWZT-EN"/>
                        <w:b w:val="0"/>
                        <w:bCs w:val="0"/>
                        <w:sz w:val="28"/>
                      </w:rPr>
                      <w:fldChar w:fldCharType="begin"/>
                    </w:r>
                    <w:r>
                      <w:rPr>
                        <w:rFonts w:hint="default" w:ascii="GWZT-EN" w:hAnsi="GWZT-EN" w:eastAsia="GWZT-EN" w:cs="GWZT-EN"/>
                        <w:b w:val="0"/>
                        <w:bCs w:val="0"/>
                        <w:sz w:val="28"/>
                      </w:rPr>
                      <w:instrText xml:space="preserve"> PAGE  \* MERGEFORMAT </w:instrText>
                    </w:r>
                    <w:r>
                      <w:rPr>
                        <w:rFonts w:hint="default" w:ascii="GWZT-EN" w:hAnsi="GWZT-EN" w:eastAsia="GWZT-EN" w:cs="GWZT-EN"/>
                        <w:b w:val="0"/>
                        <w:bCs w:val="0"/>
                        <w:sz w:val="28"/>
                      </w:rPr>
                      <w:fldChar w:fldCharType="separate"/>
                    </w:r>
                    <w:r>
                      <w:rPr>
                        <w:rFonts w:hint="default" w:ascii="GWZT-EN" w:hAnsi="GWZT-EN" w:eastAsia="GWZT-EN" w:cs="GWZT-EN"/>
                        <w:b w:val="0"/>
                        <w:bCs w:val="0"/>
                        <w:sz w:val="28"/>
                      </w:rPr>
                      <w:t>14</w:t>
                    </w:r>
                    <w:r>
                      <w:rPr>
                        <w:rFonts w:hint="default" w:ascii="GWZT-EN" w:hAnsi="GWZT-EN" w:eastAsia="GWZT-EN" w:cs="GWZT-EN"/>
                        <w:b w:val="0"/>
                        <w:bCs w:val="0"/>
                        <w:sz w:val="28"/>
                      </w:rPr>
                      <w:fldChar w:fldCharType="end"/>
                    </w:r>
                    <w:r>
                      <w:rPr>
                        <w:rFonts w:hint="default" w:ascii="GWZT-EN" w:hAnsi="GWZT-EN" w:eastAsia="GWZT-EN" w:cs="GWZT-EN"/>
                        <w:b w:val="0"/>
                        <w:bCs w:val="0"/>
                        <w:sz w:val="24"/>
                      </w:rPr>
                      <w:t>　</w:t>
                    </w:r>
                    <w:r>
                      <w:rPr>
                        <w:rFonts w:hint="default" w:ascii="GWZT-EN" w:hAnsi="GWZT-EN" w:eastAsia="GWZT-EN" w:cs="GWZT-EN"/>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MDQ0ZTM3M2MyYmMzNzNmODJiNjYyZGUzMzNmMmMifQ=="/>
  </w:docVars>
  <w:rsids>
    <w:rsidRoot w:val="00000000"/>
    <w:rsid w:val="004F6D53"/>
    <w:rsid w:val="01F334EE"/>
    <w:rsid w:val="01FF14EF"/>
    <w:rsid w:val="05501684"/>
    <w:rsid w:val="05AB719C"/>
    <w:rsid w:val="06CF68CE"/>
    <w:rsid w:val="06DA3B03"/>
    <w:rsid w:val="08963B51"/>
    <w:rsid w:val="0B397956"/>
    <w:rsid w:val="0B9F280D"/>
    <w:rsid w:val="0C662A0D"/>
    <w:rsid w:val="0C7C538B"/>
    <w:rsid w:val="0CF37F1F"/>
    <w:rsid w:val="0D884CCF"/>
    <w:rsid w:val="0DF20642"/>
    <w:rsid w:val="0DF626F7"/>
    <w:rsid w:val="0E356B7C"/>
    <w:rsid w:val="0E4F7C80"/>
    <w:rsid w:val="0F3B2377"/>
    <w:rsid w:val="106D43EE"/>
    <w:rsid w:val="11AA58EE"/>
    <w:rsid w:val="13C90448"/>
    <w:rsid w:val="1593155C"/>
    <w:rsid w:val="16B1384A"/>
    <w:rsid w:val="18456B90"/>
    <w:rsid w:val="19603694"/>
    <w:rsid w:val="1AC6529E"/>
    <w:rsid w:val="1B75304D"/>
    <w:rsid w:val="1B7E5A0D"/>
    <w:rsid w:val="1BBB6CAC"/>
    <w:rsid w:val="1C4F4A80"/>
    <w:rsid w:val="1D43518E"/>
    <w:rsid w:val="1DAC2BE5"/>
    <w:rsid w:val="1DD079EB"/>
    <w:rsid w:val="1DD3642C"/>
    <w:rsid w:val="1FB5641E"/>
    <w:rsid w:val="20E73D60"/>
    <w:rsid w:val="21030589"/>
    <w:rsid w:val="21583244"/>
    <w:rsid w:val="219D696C"/>
    <w:rsid w:val="22C86234"/>
    <w:rsid w:val="22EC3ABF"/>
    <w:rsid w:val="23A834D7"/>
    <w:rsid w:val="24117BB9"/>
    <w:rsid w:val="24280299"/>
    <w:rsid w:val="25B73A53"/>
    <w:rsid w:val="260E3934"/>
    <w:rsid w:val="267970AE"/>
    <w:rsid w:val="26840D16"/>
    <w:rsid w:val="26D055EC"/>
    <w:rsid w:val="29E54B8B"/>
    <w:rsid w:val="2D074A73"/>
    <w:rsid w:val="2E8944E5"/>
    <w:rsid w:val="2F154FF2"/>
    <w:rsid w:val="308C306B"/>
    <w:rsid w:val="308D5C45"/>
    <w:rsid w:val="316C55A4"/>
    <w:rsid w:val="319065D6"/>
    <w:rsid w:val="32307ABE"/>
    <w:rsid w:val="3398596D"/>
    <w:rsid w:val="33ED7B40"/>
    <w:rsid w:val="34342EDB"/>
    <w:rsid w:val="34F206CA"/>
    <w:rsid w:val="370D0BDF"/>
    <w:rsid w:val="375D0761"/>
    <w:rsid w:val="37C24785"/>
    <w:rsid w:val="380769FB"/>
    <w:rsid w:val="381961A3"/>
    <w:rsid w:val="381F40A2"/>
    <w:rsid w:val="39FF3B21"/>
    <w:rsid w:val="3A1E390A"/>
    <w:rsid w:val="3E1A6B83"/>
    <w:rsid w:val="3E1C2D73"/>
    <w:rsid w:val="3F962B4D"/>
    <w:rsid w:val="40AC40A5"/>
    <w:rsid w:val="40AD365B"/>
    <w:rsid w:val="40F06055"/>
    <w:rsid w:val="4185788C"/>
    <w:rsid w:val="42AB61E5"/>
    <w:rsid w:val="44841371"/>
    <w:rsid w:val="44891C7F"/>
    <w:rsid w:val="44A83B0E"/>
    <w:rsid w:val="46F32BB8"/>
    <w:rsid w:val="473D70ED"/>
    <w:rsid w:val="4B900BD2"/>
    <w:rsid w:val="4B963850"/>
    <w:rsid w:val="4D2515D1"/>
    <w:rsid w:val="4DDA33B4"/>
    <w:rsid w:val="53E25321"/>
    <w:rsid w:val="547B1EEA"/>
    <w:rsid w:val="54B83CAD"/>
    <w:rsid w:val="54C03B2D"/>
    <w:rsid w:val="55FF63B8"/>
    <w:rsid w:val="57215213"/>
    <w:rsid w:val="588A274D"/>
    <w:rsid w:val="58D81171"/>
    <w:rsid w:val="58E841FA"/>
    <w:rsid w:val="596266AE"/>
    <w:rsid w:val="5A983AE7"/>
    <w:rsid w:val="5AF35146"/>
    <w:rsid w:val="5B366F26"/>
    <w:rsid w:val="5B5D7E1A"/>
    <w:rsid w:val="5B7B3430"/>
    <w:rsid w:val="5E2E0D9C"/>
    <w:rsid w:val="5F6E751E"/>
    <w:rsid w:val="605E6D82"/>
    <w:rsid w:val="60B50FED"/>
    <w:rsid w:val="60EA297F"/>
    <w:rsid w:val="621D1385"/>
    <w:rsid w:val="62A235BE"/>
    <w:rsid w:val="62C5540B"/>
    <w:rsid w:val="62F94AE8"/>
    <w:rsid w:val="63040DEB"/>
    <w:rsid w:val="6332564A"/>
    <w:rsid w:val="63D2278F"/>
    <w:rsid w:val="647102D3"/>
    <w:rsid w:val="6487778D"/>
    <w:rsid w:val="64E419AA"/>
    <w:rsid w:val="656327F6"/>
    <w:rsid w:val="65A478BB"/>
    <w:rsid w:val="65F120F9"/>
    <w:rsid w:val="6764762E"/>
    <w:rsid w:val="68BE4E24"/>
    <w:rsid w:val="6CB5232F"/>
    <w:rsid w:val="6E4B5383"/>
    <w:rsid w:val="6E9C4DDE"/>
    <w:rsid w:val="6EEC70CB"/>
    <w:rsid w:val="6FC6206A"/>
    <w:rsid w:val="701759E1"/>
    <w:rsid w:val="736B3BA9"/>
    <w:rsid w:val="743154A2"/>
    <w:rsid w:val="74356371"/>
    <w:rsid w:val="7493369C"/>
    <w:rsid w:val="74996DF5"/>
    <w:rsid w:val="75E660A2"/>
    <w:rsid w:val="77547547"/>
    <w:rsid w:val="7A613082"/>
    <w:rsid w:val="7AD26999"/>
    <w:rsid w:val="7BF54FE9"/>
    <w:rsid w:val="7C127991"/>
    <w:rsid w:val="7C6C5A6B"/>
    <w:rsid w:val="7C8E7CF2"/>
    <w:rsid w:val="7CC556C2"/>
    <w:rsid w:val="7D430D35"/>
    <w:rsid w:val="7E251164"/>
    <w:rsid w:val="7E66131A"/>
    <w:rsid w:val="7EA369D9"/>
    <w:rsid w:val="7FF8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3442</Words>
  <Characters>3514</Characters>
  <Lines>0</Lines>
  <Paragraphs>0</Paragraphs>
  <TotalTime>98</TotalTime>
  <ScaleCrop>false</ScaleCrop>
  <LinksUpToDate>false</LinksUpToDate>
  <CharactersWithSpaces>3522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2025-09-11T09:33:00Z</dcterms:created>
  <dc:creator>Administrator</dc:creator>
  <cp:lastModifiedBy>阿汤哥</cp:lastModifiedBy>
  <cp:lastPrinted>2025-11-03T07:51:00Z</cp:lastPrinted>
  <dcterms:modified xsi:type="dcterms:W3CDTF">2026-02-12T01:31:31Z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eyJoZGlkIjoiODdhMGZlMmFiYjk4MTBlNzViOGI4NTkwODFlNzYxMTMiLCJ1c2VySWQiOiIyNDk0MDI4OTMifQ==</vt:lpwstr>
  </property>
  <property fmtid="{D5CDD505-2E9C-101B-9397-08002B2CF9AE}" pid="4" name="ICV">
    <vt:lpwstr>D01679AFC49546D1963176909B05A36F_13</vt:lpwstr>
  </property>
</Properties>
</file>