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2E31C8">
      <w:pPr>
        <w:jc w:val="center"/>
        <w:rPr>
          <w:rFonts w:hint="eastAsia" w:ascii="宋体" w:hAnsi="宋体" w:eastAsia="宋体" w:cs="宋体"/>
          <w:sz w:val="44"/>
          <w:szCs w:val="44"/>
        </w:rPr>
      </w:pPr>
      <w:r>
        <w:rPr>
          <w:rFonts w:hint="eastAsia" w:ascii="宋体" w:hAnsi="宋体" w:eastAsia="宋体" w:cs="宋体"/>
          <w:sz w:val="44"/>
          <w:szCs w:val="44"/>
        </w:rPr>
        <w:t>桐柏县</w:t>
      </w:r>
      <w:r>
        <w:rPr>
          <w:rFonts w:hint="eastAsia" w:ascii="宋体" w:hAnsi="宋体" w:eastAsia="宋体" w:cs="宋体"/>
          <w:sz w:val="44"/>
          <w:szCs w:val="44"/>
          <w:lang w:val="en-US" w:eastAsia="zh-CN"/>
        </w:rPr>
        <w:t>人力资源和社会保障</w:t>
      </w:r>
      <w:r>
        <w:rPr>
          <w:rFonts w:hint="eastAsia" w:ascii="宋体" w:hAnsi="宋体" w:eastAsia="宋体" w:cs="宋体"/>
          <w:sz w:val="44"/>
          <w:szCs w:val="44"/>
        </w:rPr>
        <w:t>局</w:t>
      </w:r>
    </w:p>
    <w:p w14:paraId="14290771">
      <w:pPr>
        <w:jc w:val="center"/>
        <w:rPr>
          <w:rFonts w:hint="eastAsia" w:ascii="宋体" w:hAnsi="宋体" w:eastAsia="宋体" w:cs="宋体"/>
          <w:sz w:val="44"/>
          <w:szCs w:val="44"/>
        </w:rPr>
      </w:pPr>
      <w:r>
        <w:rPr>
          <w:rFonts w:hint="eastAsia" w:ascii="宋体" w:hAnsi="宋体" w:eastAsia="宋体" w:cs="宋体"/>
          <w:sz w:val="44"/>
          <w:szCs w:val="44"/>
        </w:rPr>
        <w:t>关于2025年度法治政府建设情况的报告</w:t>
      </w:r>
    </w:p>
    <w:p w14:paraId="4EA7DB2F">
      <w:pPr>
        <w:jc w:val="center"/>
        <w:rPr>
          <w:rFonts w:hint="eastAsia" w:ascii="宋体" w:hAnsi="宋体" w:eastAsia="宋体" w:cs="宋体"/>
          <w:sz w:val="44"/>
          <w:szCs w:val="44"/>
        </w:rPr>
      </w:pPr>
    </w:p>
    <w:p w14:paraId="0AB5F1EA">
      <w:pPr>
        <w:ind w:firstLine="640" w:firstLineChars="200"/>
        <w:jc w:val="both"/>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r>
        <w:rPr>
          <w:rFonts w:hint="eastAsia" w:ascii="仿宋" w:hAnsi="仿宋" w:eastAsia="仿宋" w:cs="仿宋"/>
          <w:sz w:val="32"/>
          <w:szCs w:val="32"/>
        </w:rPr>
        <w:t>年，</w:t>
      </w:r>
      <w:r>
        <w:rPr>
          <w:rFonts w:hint="eastAsia" w:ascii="仿宋" w:hAnsi="仿宋" w:eastAsia="仿宋" w:cs="仿宋"/>
          <w:sz w:val="32"/>
          <w:szCs w:val="32"/>
          <w:lang w:val="en-US" w:eastAsia="zh-CN"/>
        </w:rPr>
        <w:t>桐柏县</w:t>
      </w:r>
      <w:r>
        <w:rPr>
          <w:rFonts w:hint="eastAsia" w:ascii="仿宋" w:hAnsi="仿宋" w:eastAsia="仿宋" w:cs="仿宋"/>
          <w:sz w:val="32"/>
          <w:szCs w:val="32"/>
        </w:rPr>
        <w:t>人力资源和社会保障局</w:t>
      </w:r>
      <w:r>
        <w:rPr>
          <w:rFonts w:hint="eastAsia" w:ascii="仿宋" w:hAnsi="仿宋" w:eastAsia="仿宋" w:cs="仿宋"/>
          <w:sz w:val="32"/>
          <w:szCs w:val="32"/>
          <w:lang w:val="en-US" w:eastAsia="zh-CN"/>
        </w:rPr>
        <w:t>始终坚定不移</w:t>
      </w:r>
      <w:r>
        <w:rPr>
          <w:rFonts w:hint="eastAsia" w:ascii="仿宋" w:hAnsi="仿宋" w:eastAsia="仿宋" w:cs="仿宋"/>
          <w:sz w:val="32"/>
          <w:szCs w:val="32"/>
        </w:rPr>
        <w:t>紧紧围绕年初</w:t>
      </w:r>
      <w:r>
        <w:rPr>
          <w:rFonts w:hint="eastAsia" w:ascii="仿宋" w:hAnsi="仿宋" w:eastAsia="仿宋" w:cs="仿宋"/>
          <w:sz w:val="32"/>
          <w:szCs w:val="32"/>
          <w:lang w:val="en-US" w:eastAsia="zh-CN"/>
        </w:rPr>
        <w:t>法治人社建设的</w:t>
      </w:r>
      <w:r>
        <w:rPr>
          <w:rFonts w:hint="eastAsia" w:ascii="仿宋" w:hAnsi="仿宋" w:eastAsia="仿宋" w:cs="仿宋"/>
          <w:sz w:val="32"/>
          <w:szCs w:val="32"/>
        </w:rPr>
        <w:t>目标任务，继续强化责任担当，坚持依法行政，积极调解纠纷矛盾促稳定，</w:t>
      </w:r>
      <w:r>
        <w:rPr>
          <w:rFonts w:hint="eastAsia" w:ascii="仿宋" w:hAnsi="仿宋" w:eastAsia="仿宋" w:cs="仿宋"/>
          <w:sz w:val="32"/>
          <w:szCs w:val="32"/>
          <w:lang w:val="en-US" w:eastAsia="zh-CN"/>
        </w:rPr>
        <w:t>不断推动人社领域治理体系和治理能力现代化，</w:t>
      </w:r>
      <w:r>
        <w:rPr>
          <w:rFonts w:hint="eastAsia" w:ascii="仿宋" w:hAnsi="仿宋" w:eastAsia="仿宋" w:cs="仿宋"/>
          <w:sz w:val="32"/>
          <w:szCs w:val="32"/>
        </w:rPr>
        <w:t>有力维护企业及劳动者合法权益。现将我局202</w:t>
      </w:r>
      <w:r>
        <w:rPr>
          <w:rFonts w:hint="eastAsia" w:ascii="仿宋" w:hAnsi="仿宋" w:eastAsia="仿宋" w:cs="仿宋"/>
          <w:sz w:val="32"/>
          <w:szCs w:val="32"/>
          <w:lang w:val="en-US" w:eastAsia="zh-CN"/>
        </w:rPr>
        <w:t>5</w:t>
      </w:r>
      <w:r>
        <w:rPr>
          <w:rFonts w:hint="eastAsia" w:ascii="仿宋" w:hAnsi="仿宋" w:eastAsia="仿宋" w:cs="仿宋"/>
          <w:sz w:val="32"/>
          <w:szCs w:val="32"/>
        </w:rPr>
        <w:t>年法治政府建设工作情况报告如下。</w:t>
      </w:r>
    </w:p>
    <w:p w14:paraId="0E257593">
      <w:pPr>
        <w:ind w:firstLine="643" w:firstLineChars="200"/>
        <w:jc w:val="both"/>
        <w:rPr>
          <w:rFonts w:hint="eastAsia"/>
          <w:b/>
          <w:bCs/>
          <w:sz w:val="32"/>
          <w:szCs w:val="32"/>
        </w:rPr>
      </w:pPr>
      <w:r>
        <w:rPr>
          <w:rFonts w:hint="eastAsia"/>
          <w:b/>
          <w:bCs/>
          <w:sz w:val="32"/>
          <w:szCs w:val="32"/>
          <w:lang w:val="en-US" w:eastAsia="zh-CN"/>
        </w:rPr>
        <w:t>一、</w:t>
      </w:r>
      <w:r>
        <w:rPr>
          <w:rFonts w:hint="eastAsia"/>
          <w:b/>
          <w:bCs/>
          <w:sz w:val="32"/>
          <w:szCs w:val="32"/>
        </w:rPr>
        <w:t>主要开展工作及成效</w:t>
      </w:r>
    </w:p>
    <w:p w14:paraId="7320C5F7">
      <w:pPr>
        <w:ind w:firstLine="643" w:firstLineChars="200"/>
        <w:jc w:val="both"/>
        <w:rPr>
          <w:rFonts w:hint="eastAsia" w:ascii="仿宋" w:hAnsi="仿宋" w:eastAsia="仿宋" w:cs="仿宋"/>
          <w:b/>
          <w:bCs/>
          <w:sz w:val="32"/>
          <w:szCs w:val="32"/>
          <w:lang w:eastAsia="zh-CN"/>
        </w:rPr>
      </w:pPr>
      <w:r>
        <w:rPr>
          <w:rFonts w:hint="eastAsia" w:ascii="仿宋" w:hAnsi="仿宋" w:eastAsia="仿宋" w:cs="仿宋"/>
          <w:b/>
          <w:bCs/>
          <w:sz w:val="32"/>
          <w:szCs w:val="32"/>
        </w:rPr>
        <w:t>（一）</w:t>
      </w:r>
      <w:r>
        <w:rPr>
          <w:rFonts w:hint="eastAsia" w:ascii="仿宋" w:hAnsi="仿宋" w:eastAsia="仿宋" w:cs="仿宋"/>
          <w:b/>
          <w:bCs/>
          <w:sz w:val="32"/>
          <w:szCs w:val="32"/>
          <w:lang w:val="en-US" w:eastAsia="zh-CN"/>
        </w:rPr>
        <w:t>深入</w:t>
      </w:r>
      <w:r>
        <w:rPr>
          <w:rFonts w:hint="eastAsia" w:ascii="仿宋" w:hAnsi="仿宋" w:eastAsia="仿宋" w:cs="仿宋"/>
          <w:b/>
          <w:bCs/>
          <w:sz w:val="32"/>
          <w:szCs w:val="32"/>
        </w:rPr>
        <w:t>学习贯彻习近平法治思想</w:t>
      </w:r>
    </w:p>
    <w:p w14:paraId="07B0A6AA">
      <w:pPr>
        <w:ind w:firstLine="640" w:firstLineChars="200"/>
        <w:jc w:val="both"/>
        <w:rPr>
          <w:rFonts w:hint="eastAsia"/>
        </w:rPr>
      </w:pPr>
      <w:r>
        <w:rPr>
          <w:rFonts w:hint="eastAsia" w:ascii="仿宋" w:hAnsi="仿宋" w:eastAsia="仿宋" w:cs="仿宋"/>
          <w:sz w:val="32"/>
          <w:szCs w:val="32"/>
        </w:rPr>
        <w:t>人社局党组始终将学习宣传贯彻习近平法治思想视为重中之重，将其作为党组理论学习中心组学习以及党员学习的核心要点。</w:t>
      </w:r>
      <w:r>
        <w:rPr>
          <w:rFonts w:hint="eastAsia" w:ascii="仿宋" w:hAnsi="仿宋" w:eastAsia="仿宋" w:cs="仿宋"/>
          <w:b w:val="0"/>
          <w:bCs w:val="0"/>
          <w:i w:val="0"/>
          <w:iCs w:val="0"/>
          <w:caps w:val="0"/>
          <w:color w:val="000000"/>
          <w:spacing w:val="0"/>
          <w:sz w:val="32"/>
          <w:szCs w:val="32"/>
          <w:shd w:val="clear" w:color="auto" w:fill="FFFFFF"/>
          <w:lang w:val="en-US" w:eastAsia="zh-CN"/>
        </w:rPr>
        <w:t>今年共</w:t>
      </w:r>
      <w:r>
        <w:rPr>
          <w:rFonts w:hint="eastAsia" w:ascii="仿宋" w:hAnsi="仿宋" w:eastAsia="仿宋" w:cs="仿宋"/>
          <w:b w:val="0"/>
          <w:bCs w:val="0"/>
          <w:i w:val="0"/>
          <w:iCs w:val="0"/>
          <w:caps w:val="0"/>
          <w:color w:val="000000"/>
          <w:spacing w:val="0"/>
          <w:sz w:val="32"/>
          <w:szCs w:val="32"/>
          <w:shd w:val="clear" w:color="auto" w:fill="FFFFFF"/>
        </w:rPr>
        <w:t>召开</w:t>
      </w:r>
      <w:r>
        <w:rPr>
          <w:rFonts w:hint="eastAsia" w:ascii="仿宋" w:hAnsi="仿宋" w:eastAsia="仿宋" w:cs="仿宋"/>
          <w:b w:val="0"/>
          <w:bCs w:val="0"/>
          <w:i w:val="0"/>
          <w:iCs w:val="0"/>
          <w:caps w:val="0"/>
          <w:color w:val="000000"/>
          <w:spacing w:val="0"/>
          <w:sz w:val="32"/>
          <w:szCs w:val="32"/>
          <w:shd w:val="clear" w:color="auto" w:fill="FFFFFF"/>
          <w:lang w:val="en-US" w:eastAsia="zh-CN"/>
        </w:rPr>
        <w:t>12</w:t>
      </w:r>
      <w:r>
        <w:rPr>
          <w:rFonts w:hint="eastAsia" w:ascii="仿宋" w:hAnsi="仿宋" w:eastAsia="仿宋" w:cs="仿宋"/>
          <w:b w:val="0"/>
          <w:bCs w:val="0"/>
          <w:i w:val="0"/>
          <w:iCs w:val="0"/>
          <w:caps w:val="0"/>
          <w:color w:val="000000"/>
          <w:spacing w:val="0"/>
          <w:sz w:val="32"/>
          <w:szCs w:val="32"/>
          <w:shd w:val="clear" w:color="auto" w:fill="FFFFFF"/>
        </w:rPr>
        <w:t>次中心组学习，</w:t>
      </w:r>
      <w:r>
        <w:rPr>
          <w:rFonts w:hint="eastAsia" w:ascii="仿宋" w:hAnsi="仿宋" w:eastAsia="仿宋" w:cs="仿宋"/>
          <w:b w:val="0"/>
          <w:bCs w:val="0"/>
          <w:i w:val="0"/>
          <w:iCs w:val="0"/>
          <w:caps w:val="0"/>
          <w:color w:val="000000"/>
          <w:spacing w:val="0"/>
          <w:sz w:val="32"/>
          <w:szCs w:val="32"/>
          <w:shd w:val="clear" w:color="auto" w:fill="FFFFFF"/>
          <w:lang w:val="en-US" w:eastAsia="zh-CN"/>
        </w:rPr>
        <w:t>同时</w:t>
      </w:r>
      <w:r>
        <w:rPr>
          <w:rFonts w:hint="eastAsia" w:ascii="仿宋" w:hAnsi="仿宋" w:eastAsia="仿宋" w:cs="仿宋"/>
          <w:b w:val="0"/>
          <w:bCs w:val="0"/>
          <w:i w:val="0"/>
          <w:iCs w:val="0"/>
          <w:caps w:val="0"/>
          <w:color w:val="000000"/>
          <w:spacing w:val="0"/>
          <w:sz w:val="32"/>
          <w:szCs w:val="32"/>
          <w:shd w:val="clear" w:color="auto" w:fill="FFFFFF"/>
        </w:rPr>
        <w:t>组织</w:t>
      </w:r>
      <w:r>
        <w:rPr>
          <w:rFonts w:hint="eastAsia" w:ascii="仿宋" w:hAnsi="仿宋" w:eastAsia="仿宋" w:cs="仿宋"/>
          <w:b w:val="0"/>
          <w:bCs w:val="0"/>
          <w:i w:val="0"/>
          <w:iCs w:val="0"/>
          <w:caps w:val="0"/>
          <w:color w:val="000000"/>
          <w:spacing w:val="0"/>
          <w:sz w:val="32"/>
          <w:szCs w:val="32"/>
          <w:shd w:val="clear" w:color="auto" w:fill="FFFFFF"/>
          <w:lang w:val="en-US" w:eastAsia="zh-CN"/>
        </w:rPr>
        <w:t>干部职工</w:t>
      </w:r>
      <w:r>
        <w:rPr>
          <w:rFonts w:hint="eastAsia" w:ascii="仿宋" w:hAnsi="仿宋" w:eastAsia="仿宋" w:cs="仿宋"/>
          <w:b w:val="0"/>
          <w:bCs w:val="0"/>
          <w:i w:val="0"/>
          <w:iCs w:val="0"/>
          <w:caps w:val="0"/>
          <w:color w:val="000000"/>
          <w:spacing w:val="0"/>
          <w:sz w:val="32"/>
          <w:szCs w:val="32"/>
          <w:shd w:val="clear" w:color="auto" w:fill="FFFFFF"/>
        </w:rPr>
        <w:t>学习</w:t>
      </w:r>
      <w:r>
        <w:rPr>
          <w:rFonts w:hint="eastAsia" w:ascii="仿宋" w:hAnsi="仿宋" w:eastAsia="仿宋" w:cs="仿宋"/>
          <w:i w:val="0"/>
          <w:iCs w:val="0"/>
          <w:caps w:val="0"/>
          <w:color w:val="000000"/>
          <w:spacing w:val="0"/>
          <w:sz w:val="32"/>
          <w:szCs w:val="32"/>
          <w:shd w:val="clear" w:color="auto" w:fill="FFFFFF"/>
        </w:rPr>
        <w:t>习近平法治思想，学习宪法法律，学习人社法律法规，做学法用法的模范</w:t>
      </w:r>
      <w:r>
        <w:rPr>
          <w:rFonts w:hint="eastAsia" w:ascii="仿宋" w:hAnsi="仿宋" w:eastAsia="仿宋" w:cs="仿宋"/>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开展案例教学与警示教育</w:t>
      </w:r>
      <w:r>
        <w:rPr>
          <w:rFonts w:hint="eastAsia" w:ascii="仿宋" w:hAnsi="仿宋" w:eastAsia="仿宋" w:cs="仿宋"/>
          <w:b w:val="0"/>
          <w:bCs w:val="0"/>
          <w:i w:val="0"/>
          <w:iCs w:val="0"/>
          <w:caps w:val="0"/>
          <w:color w:val="000000"/>
          <w:spacing w:val="0"/>
          <w:sz w:val="32"/>
          <w:szCs w:val="32"/>
          <w:shd w:val="clear" w:color="auto" w:fill="FFFFFF"/>
          <w:lang w:val="en-US" w:eastAsia="zh-CN"/>
        </w:rPr>
        <w:t>2</w:t>
      </w:r>
      <w:r>
        <w:rPr>
          <w:rFonts w:hint="eastAsia" w:ascii="仿宋" w:hAnsi="仿宋" w:eastAsia="仿宋" w:cs="仿宋"/>
          <w:b w:val="0"/>
          <w:bCs w:val="0"/>
          <w:i w:val="0"/>
          <w:iCs w:val="0"/>
          <w:caps w:val="0"/>
          <w:color w:val="000000"/>
          <w:spacing w:val="0"/>
          <w:sz w:val="32"/>
          <w:szCs w:val="32"/>
          <w:shd w:val="clear" w:color="auto" w:fill="FFFFFF"/>
        </w:rPr>
        <w:t>次，</w:t>
      </w:r>
      <w:r>
        <w:rPr>
          <w:rFonts w:hint="eastAsia" w:ascii="仿宋" w:hAnsi="仿宋" w:eastAsia="仿宋" w:cs="仿宋"/>
          <w:b w:val="0"/>
          <w:bCs w:val="0"/>
          <w:i w:val="0"/>
          <w:iCs w:val="0"/>
          <w:caps w:val="0"/>
          <w:color w:val="000000"/>
          <w:spacing w:val="0"/>
          <w:sz w:val="32"/>
          <w:szCs w:val="32"/>
          <w:shd w:val="clear" w:color="auto" w:fill="FFFFFF"/>
          <w:lang w:val="en-US" w:eastAsia="zh-CN"/>
        </w:rPr>
        <w:t>注重</w:t>
      </w:r>
      <w:r>
        <w:rPr>
          <w:rFonts w:hint="eastAsia" w:ascii="仿宋" w:hAnsi="仿宋" w:eastAsia="仿宋" w:cs="仿宋"/>
          <w:sz w:val="32"/>
          <w:szCs w:val="32"/>
        </w:rPr>
        <w:t>加强对社保干部特别是社保经办重要岗位人员、高风险业务经办人员、年轻干部的谈心谈话，深入了解干部思想、工作、生活等方面情况</w:t>
      </w:r>
      <w:r>
        <w:rPr>
          <w:rFonts w:hint="eastAsia" w:ascii="仿宋" w:hAnsi="仿宋" w:eastAsia="仿宋" w:cs="仿宋"/>
          <w:sz w:val="32"/>
          <w:szCs w:val="32"/>
          <w:lang w:eastAsia="zh-CN"/>
        </w:rPr>
        <w:t>。</w:t>
      </w:r>
      <w:r>
        <w:rPr>
          <w:rFonts w:hint="eastAsia" w:ascii="仿宋" w:hAnsi="仿宋" w:eastAsia="仿宋" w:cs="仿宋"/>
          <w:sz w:val="32"/>
          <w:szCs w:val="32"/>
        </w:rPr>
        <w:t>广泛开展谈心谈话</w:t>
      </w:r>
      <w:r>
        <w:rPr>
          <w:rFonts w:hint="eastAsia" w:ascii="仿宋" w:hAnsi="仿宋" w:eastAsia="仿宋" w:cs="仿宋"/>
          <w:sz w:val="32"/>
          <w:szCs w:val="32"/>
          <w:lang w:val="en-US" w:eastAsia="zh-CN"/>
        </w:rPr>
        <w:t>达60余</w:t>
      </w:r>
      <w:r>
        <w:rPr>
          <w:rFonts w:hint="eastAsia" w:ascii="仿宋" w:hAnsi="仿宋" w:eastAsia="仿宋" w:cs="仿宋"/>
          <w:sz w:val="32"/>
          <w:szCs w:val="32"/>
        </w:rPr>
        <w:t>人次，交流心得体会</w:t>
      </w:r>
      <w:r>
        <w:rPr>
          <w:rFonts w:hint="eastAsia" w:ascii="仿宋" w:hAnsi="仿宋" w:eastAsia="仿宋" w:cs="仿宋"/>
          <w:sz w:val="32"/>
          <w:szCs w:val="32"/>
          <w:lang w:val="en-US" w:eastAsia="zh-CN"/>
        </w:rPr>
        <w:t>5</w:t>
      </w:r>
      <w:r>
        <w:rPr>
          <w:rFonts w:hint="eastAsia" w:ascii="仿宋" w:hAnsi="仿宋" w:eastAsia="仿宋" w:cs="仿宋"/>
          <w:sz w:val="32"/>
          <w:szCs w:val="32"/>
        </w:rPr>
        <w:t>篇</w:t>
      </w:r>
      <w:r>
        <w:rPr>
          <w:rFonts w:hint="eastAsia" w:ascii="仿宋" w:hAnsi="仿宋" w:eastAsia="仿宋" w:cs="仿宋"/>
          <w:sz w:val="32"/>
          <w:szCs w:val="32"/>
          <w:lang w:eastAsia="zh-CN"/>
        </w:rPr>
        <w:t>，</w:t>
      </w:r>
      <w:r>
        <w:rPr>
          <w:rFonts w:hint="eastAsia" w:ascii="仿宋" w:hAnsi="仿宋" w:eastAsia="仿宋" w:cs="仿宋"/>
          <w:b w:val="0"/>
          <w:bCs w:val="0"/>
          <w:i w:val="0"/>
          <w:iCs w:val="0"/>
          <w:caps w:val="0"/>
          <w:color w:val="000000"/>
          <w:spacing w:val="0"/>
          <w:sz w:val="32"/>
          <w:szCs w:val="32"/>
          <w:shd w:val="clear" w:color="auto" w:fill="FFFFFF"/>
        </w:rPr>
        <w:t>引导干部职工自觉在法规框架内履职用权、开展工作。</w:t>
      </w:r>
    </w:p>
    <w:p w14:paraId="29BA559C">
      <w:pPr>
        <w:pStyle w:val="2"/>
        <w:numPr>
          <w:ilvl w:val="0"/>
          <w:numId w:val="0"/>
        </w:numPr>
        <w:ind w:firstLine="643" w:firstLineChars="200"/>
        <w:jc w:val="both"/>
        <w:rPr>
          <w:rFonts w:hint="default" w:ascii="仿宋" w:hAnsi="仿宋" w:eastAsia="仿宋" w:cs="仿宋"/>
          <w:b/>
          <w:bCs/>
          <w:sz w:val="32"/>
          <w:szCs w:val="32"/>
          <w:lang w:val="en-US"/>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二）推进矛盾纠纷多元化解</w:t>
      </w:r>
    </w:p>
    <w:p w14:paraId="7AB16C5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 w:hAnsi="仿宋" w:eastAsia="仿宋" w:cs="仿宋"/>
          <w:i w:val="0"/>
          <w:iCs w:val="0"/>
          <w:caps w:val="0"/>
          <w:color w:val="000000"/>
          <w:spacing w:val="0"/>
          <w:sz w:val="32"/>
          <w:szCs w:val="32"/>
          <w:shd w:val="clear" w:fill="FFFFFF"/>
        </w:rPr>
        <w:t>202</w:t>
      </w:r>
      <w:r>
        <w:rPr>
          <w:rFonts w:hint="eastAsia" w:ascii="仿宋" w:hAnsi="仿宋" w:eastAsia="仿宋" w:cs="仿宋"/>
          <w:i w:val="0"/>
          <w:iCs w:val="0"/>
          <w:caps w:val="0"/>
          <w:color w:val="000000"/>
          <w:spacing w:val="0"/>
          <w:sz w:val="32"/>
          <w:szCs w:val="32"/>
          <w:shd w:val="clear" w:fill="FFFFFF"/>
          <w:lang w:val="en-US" w:eastAsia="zh-CN"/>
        </w:rPr>
        <w:t>5</w:t>
      </w:r>
      <w:r>
        <w:rPr>
          <w:rFonts w:hint="eastAsia" w:ascii="仿宋" w:hAnsi="仿宋" w:eastAsia="仿宋" w:cs="仿宋"/>
          <w:i w:val="0"/>
          <w:iCs w:val="0"/>
          <w:caps w:val="0"/>
          <w:color w:val="000000"/>
          <w:spacing w:val="0"/>
          <w:sz w:val="32"/>
          <w:szCs w:val="32"/>
          <w:shd w:val="clear" w:fill="FFFFFF"/>
        </w:rPr>
        <w:t xml:space="preserve"> 年，</w:t>
      </w:r>
      <w:r>
        <w:rPr>
          <w:rFonts w:hint="eastAsia" w:ascii="仿宋" w:hAnsi="仿宋" w:eastAsia="仿宋" w:cs="仿宋"/>
          <w:i w:val="0"/>
          <w:iCs w:val="0"/>
          <w:caps w:val="0"/>
          <w:color w:val="000000"/>
          <w:spacing w:val="0"/>
          <w:sz w:val="32"/>
          <w:szCs w:val="32"/>
          <w:shd w:val="clear" w:fill="FFFFFF"/>
          <w:lang w:val="en-US" w:eastAsia="zh-CN"/>
        </w:rPr>
        <w:t>桐柏县</w:t>
      </w:r>
      <w:r>
        <w:rPr>
          <w:rFonts w:hint="eastAsia" w:ascii="仿宋" w:hAnsi="仿宋" w:eastAsia="仿宋" w:cs="仿宋"/>
          <w:i w:val="0"/>
          <w:iCs w:val="0"/>
          <w:caps w:val="0"/>
          <w:color w:val="000000"/>
          <w:spacing w:val="0"/>
          <w:sz w:val="32"/>
          <w:szCs w:val="32"/>
          <w:shd w:val="clear" w:fill="FFFFFF"/>
        </w:rPr>
        <w:t>人社局</w:t>
      </w:r>
      <w:r>
        <w:rPr>
          <w:rFonts w:hint="eastAsia" w:ascii="仿宋" w:hAnsi="仿宋" w:eastAsia="仿宋" w:cs="仿宋"/>
          <w:i w:val="0"/>
          <w:iCs w:val="0"/>
          <w:caps w:val="0"/>
          <w:color w:val="000000"/>
          <w:spacing w:val="0"/>
          <w:sz w:val="32"/>
          <w:szCs w:val="32"/>
          <w:shd w:val="clear" w:fill="FFFFFF"/>
          <w:lang w:val="en-US" w:eastAsia="zh-CN"/>
        </w:rPr>
        <w:t>继续</w:t>
      </w:r>
      <w:r>
        <w:rPr>
          <w:rFonts w:hint="eastAsia" w:ascii="仿宋" w:hAnsi="仿宋" w:eastAsia="仿宋" w:cs="仿宋"/>
          <w:i w:val="0"/>
          <w:iCs w:val="0"/>
          <w:caps w:val="0"/>
          <w:color w:val="000000"/>
          <w:spacing w:val="0"/>
          <w:sz w:val="32"/>
          <w:szCs w:val="32"/>
          <w:shd w:val="clear" w:fill="FFFFFF"/>
        </w:rPr>
        <w:t>延续以法治主题实践活动为重要依托，始终将提升法治力作为核心发力点，进一步浓厚法治氛围，全力维护劳动者合法权益。依据《保障农民工工资支付条例》《中华人民共和国劳动争议调解仲裁法》等法规要求，持续优化农民工、新业态、房地产业、教育机构等劳动争议调处工作机制，依法妥善处理重点劳动争议案件。</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全年</w:t>
      </w:r>
      <w:r>
        <w:rPr>
          <w:rFonts w:hint="eastAsia" w:ascii="仿宋_GB2312" w:hAnsi="仿宋_GB2312" w:eastAsia="仿宋_GB2312" w:cs="仿宋_GB2312"/>
          <w:b w:val="0"/>
          <w:bCs w:val="0"/>
          <w:sz w:val="32"/>
          <w:szCs w:val="32"/>
          <w:lang w:val="en-US" w:eastAsia="zh-CN"/>
        </w:rPr>
        <w:t>共接待劳动保障法律法规及政策咨询342人次，受理劳动人事争议仲裁申请36件。其中已办结案件中调解成功的有31件、裁决结案的有2件，另有3件正在法定程序中有序推进；对4件超时效申请依法作出不予受理决定。</w:t>
      </w:r>
    </w:p>
    <w:p w14:paraId="33C4C3B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加强仲裁调解员队伍建设。县仲裁院配备院长1名、专职仲裁员3名。持续推进基层调解组织建设，在全县18个乡镇（街道）及6家企业设立基层调解中心，选聘专兼职调解员98名。组织举办调解员业务培训1期，覆盖36人次。通过强化业务学习、推行“以老带新”等方式，不断提升仲裁员和调解员专业能力，为争议高效化解提供有力人才支撑；</w:t>
      </w:r>
    </w:p>
    <w:p w14:paraId="3E93C40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bCs/>
          <w:sz w:val="32"/>
          <w:szCs w:val="32"/>
          <w:lang w:val="en-US" w:eastAsia="zh-CN"/>
        </w:rPr>
      </w:pPr>
      <w:r>
        <w:rPr>
          <w:rFonts w:hint="eastAsia" w:ascii="仿宋_GB2312" w:hAnsi="仿宋_GB2312" w:eastAsia="仿宋_GB2312" w:cs="仿宋_GB2312"/>
          <w:b w:val="0"/>
          <w:bCs w:val="0"/>
          <w:sz w:val="32"/>
          <w:szCs w:val="32"/>
          <w:lang w:val="en-US" w:eastAsia="zh-CN"/>
        </w:rPr>
        <w:t>深化“互联网+调解仲裁”应用。积极落实人社部“互联网+调解仲裁”行动部署，推广线上调解服务平台应用。目前已在全县各乡镇（街道）建成18个线上调解中心，截至上半年累计通过平台受理案件71件，已全部办结，实现“数据多跑路、群众少跑腿”，有效降低群众维权成本，提升仲裁服务便捷度和群众满意度。</w:t>
      </w:r>
    </w:p>
    <w:p w14:paraId="33A65513">
      <w:pPr>
        <w:pStyle w:val="2"/>
        <w:numPr>
          <w:ilvl w:val="0"/>
          <w:numId w:val="0"/>
        </w:numPr>
        <w:ind w:leftChars="200"/>
        <w:jc w:val="both"/>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三）全面推进法治教育宣传落实</w:t>
      </w:r>
    </w:p>
    <w:p w14:paraId="3AE46B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在组织领导层面，以主要负责同志为组长的普法工作领导小组充分发挥引领作用，定期召开会议，深入研究普法规划与重点任务，确保各项工作有序推进。同时，依据当年人社领域新政策、新法规及社会热点，对普法责任清单进行动态更新，进一步细化各科室的普法职责，做到责任明确、任务清晰。</w:t>
      </w:r>
      <w:r>
        <w:rPr>
          <w:rFonts w:hint="eastAsia" w:ascii="仿宋" w:hAnsi="仿宋" w:eastAsia="仿宋" w:cs="仿宋"/>
          <w:sz w:val="32"/>
          <w:szCs w:val="32"/>
          <w:lang w:val="en-US" w:eastAsia="zh-CN"/>
        </w:rPr>
        <w:t>强化“谁执法、谁普法”的普法责任制落实，全面提升普法的针对性、实效性。同时，</w:t>
      </w:r>
      <w:r>
        <w:rPr>
          <w:rFonts w:hint="eastAsia" w:ascii="仿宋" w:hAnsi="仿宋" w:eastAsia="仿宋" w:cs="仿宋"/>
          <w:sz w:val="32"/>
          <w:szCs w:val="32"/>
        </w:rPr>
        <w:t>立足</w:t>
      </w:r>
      <w:r>
        <w:rPr>
          <w:rFonts w:hint="eastAsia" w:ascii="仿宋" w:hAnsi="仿宋" w:eastAsia="仿宋" w:cs="仿宋"/>
          <w:sz w:val="32"/>
          <w:szCs w:val="32"/>
          <w:lang w:val="en-US" w:eastAsia="zh-CN"/>
        </w:rPr>
        <w:t>人社</w:t>
      </w:r>
      <w:r>
        <w:rPr>
          <w:rFonts w:hint="eastAsia" w:ascii="仿宋" w:hAnsi="仿宋" w:eastAsia="仿宋" w:cs="仿宋"/>
          <w:sz w:val="32"/>
          <w:szCs w:val="32"/>
        </w:rPr>
        <w:t>工作职能，</w:t>
      </w:r>
      <w:r>
        <w:rPr>
          <w:rFonts w:hint="eastAsia" w:ascii="仿宋" w:hAnsi="仿宋" w:eastAsia="仿宋" w:cs="仿宋"/>
          <w:b w:val="0"/>
          <w:bCs w:val="0"/>
          <w:i w:val="0"/>
          <w:iCs w:val="0"/>
          <w:caps w:val="0"/>
          <w:color w:val="000000"/>
          <w:spacing w:val="0"/>
          <w:sz w:val="32"/>
          <w:szCs w:val="32"/>
          <w:shd w:val="clear" w:color="auto" w:fill="FFFFFF"/>
        </w:rPr>
        <w:t>结合劳动力职业技能培训</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lang w:val="en-US" w:eastAsia="zh-CN"/>
        </w:rPr>
        <w:t>社保政策进万家等</w:t>
      </w:r>
      <w:r>
        <w:rPr>
          <w:rFonts w:hint="eastAsia" w:ascii="仿宋" w:hAnsi="仿宋" w:eastAsia="仿宋" w:cs="仿宋"/>
          <w:b w:val="0"/>
          <w:bCs w:val="0"/>
          <w:i w:val="0"/>
          <w:iCs w:val="0"/>
          <w:caps w:val="0"/>
          <w:color w:val="000000"/>
          <w:spacing w:val="0"/>
          <w:sz w:val="32"/>
          <w:szCs w:val="32"/>
          <w:shd w:val="clear" w:color="auto" w:fill="FFFFFF"/>
        </w:rPr>
        <w:t>工作，深入开展以《中华人民共和国宪法》、《中华人民共和国</w:t>
      </w:r>
      <w:r>
        <w:rPr>
          <w:rFonts w:hint="eastAsia" w:ascii="仿宋" w:hAnsi="仿宋" w:eastAsia="仿宋" w:cs="仿宋"/>
          <w:b w:val="0"/>
          <w:bCs w:val="0"/>
          <w:i w:val="0"/>
          <w:iCs w:val="0"/>
          <w:caps w:val="0"/>
          <w:color w:val="000000"/>
          <w:spacing w:val="0"/>
          <w:sz w:val="32"/>
          <w:szCs w:val="32"/>
          <w:shd w:val="clear" w:color="auto" w:fill="FFFFFF"/>
          <w:lang w:val="en-US" w:eastAsia="zh-CN"/>
        </w:rPr>
        <w:t>社会保险</w:t>
      </w:r>
      <w:r>
        <w:rPr>
          <w:rFonts w:hint="eastAsia" w:ascii="仿宋" w:hAnsi="仿宋" w:eastAsia="仿宋" w:cs="仿宋"/>
          <w:b w:val="0"/>
          <w:bCs w:val="0"/>
          <w:i w:val="0"/>
          <w:iCs w:val="0"/>
          <w:caps w:val="0"/>
          <w:color w:val="000000"/>
          <w:spacing w:val="0"/>
          <w:sz w:val="32"/>
          <w:szCs w:val="32"/>
          <w:shd w:val="clear" w:color="auto" w:fill="FFFFFF"/>
        </w:rPr>
        <w:t>法》</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中华人民共和国劳动合同法》、《中华人民共和国就业促进法》、《工伤保险条例》、《中华人民共和国劳动争议调解仲裁法》、《保障农民工工资支付条例》等法律法规为重点的人社法治宣传教育活动，让普法宣传</w:t>
      </w:r>
      <w:r>
        <w:rPr>
          <w:rFonts w:hint="eastAsia" w:ascii="仿宋" w:hAnsi="仿宋" w:eastAsia="仿宋" w:cs="仿宋"/>
          <w:b w:val="0"/>
          <w:bCs w:val="0"/>
          <w:i w:val="0"/>
          <w:iCs w:val="0"/>
          <w:caps w:val="0"/>
          <w:color w:val="000000"/>
          <w:spacing w:val="0"/>
          <w:sz w:val="32"/>
          <w:szCs w:val="32"/>
          <w:shd w:val="clear" w:color="auto" w:fill="FFFFFF"/>
          <w:lang w:val="en-US" w:eastAsia="zh-CN"/>
        </w:rPr>
        <w:t>走上街头广场、</w:t>
      </w:r>
      <w:r>
        <w:rPr>
          <w:rFonts w:hint="eastAsia" w:ascii="仿宋" w:hAnsi="仿宋" w:eastAsia="仿宋" w:cs="仿宋"/>
          <w:b w:val="0"/>
          <w:bCs w:val="0"/>
          <w:i w:val="0"/>
          <w:iCs w:val="0"/>
          <w:caps w:val="0"/>
          <w:color w:val="000000"/>
          <w:spacing w:val="0"/>
          <w:sz w:val="32"/>
          <w:szCs w:val="32"/>
          <w:shd w:val="clear" w:color="auto" w:fill="FFFFFF"/>
        </w:rPr>
        <w:t>走进</w:t>
      </w:r>
      <w:r>
        <w:rPr>
          <w:rFonts w:hint="eastAsia" w:ascii="仿宋" w:hAnsi="仿宋" w:eastAsia="仿宋" w:cs="仿宋"/>
          <w:b w:val="0"/>
          <w:bCs w:val="0"/>
          <w:i w:val="0"/>
          <w:iCs w:val="0"/>
          <w:caps w:val="0"/>
          <w:color w:val="000000"/>
          <w:spacing w:val="0"/>
          <w:sz w:val="32"/>
          <w:szCs w:val="32"/>
          <w:shd w:val="clear" w:color="auto" w:fill="FFFFFF"/>
          <w:lang w:val="en-US" w:eastAsia="zh-CN"/>
        </w:rPr>
        <w:t>社区，深入用人单位、建筑工地开展“面对面、点对点”的劳动保障法律法规宣传</w:t>
      </w:r>
      <w:r>
        <w:rPr>
          <w:rFonts w:hint="eastAsia" w:ascii="仿宋" w:hAnsi="仿宋" w:eastAsia="仿宋" w:cs="仿宋"/>
          <w:b w:val="0"/>
          <w:bCs w:val="0"/>
          <w:i w:val="0"/>
          <w:iCs w:val="0"/>
          <w:caps w:val="0"/>
          <w:color w:val="000000"/>
          <w:spacing w:val="0"/>
          <w:sz w:val="32"/>
          <w:szCs w:val="32"/>
          <w:shd w:val="clear" w:color="auto" w:fill="FFFFFF"/>
        </w:rPr>
        <w:t>。同时，在重要时间节点加大宣传力度。</w:t>
      </w:r>
      <w:r>
        <w:rPr>
          <w:rFonts w:hint="eastAsia" w:ascii="仿宋" w:hAnsi="仿宋" w:eastAsia="仿宋" w:cs="仿宋"/>
          <w:b w:val="0"/>
          <w:bCs w:val="0"/>
          <w:i w:val="0"/>
          <w:iCs w:val="0"/>
          <w:caps w:val="0"/>
          <w:color w:val="000000"/>
          <w:spacing w:val="0"/>
          <w:sz w:val="32"/>
          <w:szCs w:val="32"/>
          <w:shd w:val="clear" w:color="auto" w:fill="FFFFFF"/>
          <w:lang w:val="en-US" w:eastAsia="zh-CN"/>
        </w:rPr>
        <w:t>如</w:t>
      </w:r>
      <w:r>
        <w:rPr>
          <w:rFonts w:hint="eastAsia" w:ascii="仿宋" w:hAnsi="仿宋" w:eastAsia="仿宋" w:cs="仿宋"/>
          <w:b w:val="0"/>
          <w:bCs w:val="0"/>
          <w:i w:val="0"/>
          <w:iCs w:val="0"/>
          <w:caps w:val="0"/>
          <w:color w:val="000000"/>
          <w:spacing w:val="0"/>
          <w:sz w:val="32"/>
          <w:szCs w:val="32"/>
          <w:shd w:val="clear" w:color="auto" w:fill="FFFFFF"/>
        </w:rPr>
        <w:t>在国家安全日、宪法宣传周等法治宣传活动，结合“我为群众办实事”实践活动，通过案例讲解、现场解答、发放宣传资料等形式，向广大群众宣讲了法律法规相关内容。全年共开展</w:t>
      </w:r>
      <w:r>
        <w:rPr>
          <w:rFonts w:hint="eastAsia" w:ascii="仿宋" w:hAnsi="仿宋" w:eastAsia="仿宋" w:cs="仿宋"/>
          <w:b w:val="0"/>
          <w:bCs w:val="0"/>
          <w:i w:val="0"/>
          <w:iCs w:val="0"/>
          <w:caps w:val="0"/>
          <w:color w:val="000000"/>
          <w:spacing w:val="0"/>
          <w:sz w:val="32"/>
          <w:szCs w:val="32"/>
          <w:shd w:val="clear" w:color="auto" w:fill="FFFFFF"/>
          <w:lang w:val="en-US" w:eastAsia="zh-CN"/>
        </w:rPr>
        <w:t>各种形式</w:t>
      </w:r>
      <w:r>
        <w:rPr>
          <w:rFonts w:hint="eastAsia" w:ascii="仿宋" w:hAnsi="仿宋" w:eastAsia="仿宋" w:cs="仿宋"/>
          <w:b w:val="0"/>
          <w:bCs w:val="0"/>
          <w:i w:val="0"/>
          <w:iCs w:val="0"/>
          <w:caps w:val="0"/>
          <w:color w:val="000000"/>
          <w:spacing w:val="0"/>
          <w:sz w:val="32"/>
          <w:szCs w:val="32"/>
          <w:shd w:val="clear" w:color="auto" w:fill="FFFFFF"/>
        </w:rPr>
        <w:t>宣传</w:t>
      </w:r>
      <w:r>
        <w:rPr>
          <w:rFonts w:hint="eastAsia" w:ascii="仿宋" w:hAnsi="仿宋" w:eastAsia="仿宋" w:cs="仿宋"/>
          <w:b w:val="0"/>
          <w:bCs w:val="0"/>
          <w:i w:val="0"/>
          <w:iCs w:val="0"/>
          <w:caps w:val="0"/>
          <w:color w:val="000000"/>
          <w:spacing w:val="0"/>
          <w:sz w:val="32"/>
          <w:szCs w:val="32"/>
          <w:shd w:val="clear" w:color="auto" w:fill="FFFFFF"/>
          <w:lang w:val="en-US" w:eastAsia="zh-CN"/>
        </w:rPr>
        <w:t>5</w:t>
      </w:r>
      <w:r>
        <w:rPr>
          <w:rFonts w:hint="eastAsia" w:ascii="仿宋" w:hAnsi="仿宋" w:eastAsia="仿宋" w:cs="仿宋"/>
          <w:b w:val="0"/>
          <w:bCs w:val="0"/>
          <w:i w:val="0"/>
          <w:iCs w:val="0"/>
          <w:caps w:val="0"/>
          <w:color w:val="000000"/>
          <w:spacing w:val="0"/>
          <w:sz w:val="32"/>
          <w:szCs w:val="32"/>
          <w:shd w:val="clear" w:color="auto" w:fill="FFFFFF"/>
        </w:rPr>
        <w:t>次，覆盖企业员工、建筑工人等群体</w:t>
      </w:r>
      <w:r>
        <w:rPr>
          <w:rFonts w:hint="eastAsia" w:ascii="仿宋" w:hAnsi="仿宋" w:eastAsia="仿宋" w:cs="仿宋"/>
          <w:b w:val="0"/>
          <w:bCs w:val="0"/>
          <w:i w:val="0"/>
          <w:iCs w:val="0"/>
          <w:caps w:val="0"/>
          <w:color w:val="000000"/>
          <w:spacing w:val="0"/>
          <w:sz w:val="32"/>
          <w:szCs w:val="32"/>
          <w:shd w:val="clear" w:color="auto" w:fill="FFFFFF"/>
          <w:lang w:val="en-US" w:eastAsia="zh-CN"/>
        </w:rPr>
        <w:t>1500</w:t>
      </w:r>
      <w:r>
        <w:rPr>
          <w:rFonts w:hint="eastAsia" w:ascii="仿宋" w:hAnsi="仿宋" w:eastAsia="仿宋" w:cs="仿宋"/>
          <w:b w:val="0"/>
          <w:bCs w:val="0"/>
          <w:i w:val="0"/>
          <w:iCs w:val="0"/>
          <w:caps w:val="0"/>
          <w:color w:val="000000"/>
          <w:spacing w:val="0"/>
          <w:sz w:val="32"/>
          <w:szCs w:val="32"/>
          <w:shd w:val="clear" w:color="auto" w:fill="FFFFFF"/>
        </w:rPr>
        <w:t>余人次，发放普法宣传材料</w:t>
      </w:r>
      <w:r>
        <w:rPr>
          <w:rFonts w:hint="eastAsia" w:ascii="仿宋" w:hAnsi="仿宋" w:eastAsia="仿宋" w:cs="仿宋"/>
          <w:b w:val="0"/>
          <w:bCs w:val="0"/>
          <w:i w:val="0"/>
          <w:iCs w:val="0"/>
          <w:caps w:val="0"/>
          <w:color w:val="000000"/>
          <w:spacing w:val="0"/>
          <w:sz w:val="32"/>
          <w:szCs w:val="32"/>
          <w:shd w:val="clear" w:color="auto" w:fill="FFFFFF"/>
          <w:lang w:val="en-US" w:eastAsia="zh-CN"/>
        </w:rPr>
        <w:t>5000</w:t>
      </w:r>
      <w:r>
        <w:rPr>
          <w:rFonts w:hint="eastAsia" w:ascii="仿宋" w:hAnsi="仿宋" w:eastAsia="仿宋" w:cs="仿宋"/>
          <w:b w:val="0"/>
          <w:bCs w:val="0"/>
          <w:i w:val="0"/>
          <w:iCs w:val="0"/>
          <w:caps w:val="0"/>
          <w:color w:val="000000"/>
          <w:spacing w:val="0"/>
          <w:sz w:val="32"/>
          <w:szCs w:val="32"/>
          <w:shd w:val="clear" w:color="auto" w:fill="FFFFFF"/>
        </w:rPr>
        <w:t>余份，营造了</w:t>
      </w:r>
      <w:r>
        <w:rPr>
          <w:rFonts w:hint="eastAsia" w:ascii="仿宋" w:hAnsi="仿宋" w:eastAsia="仿宋" w:cs="仿宋"/>
          <w:b w:val="0"/>
          <w:bCs w:val="0"/>
          <w:i w:val="0"/>
          <w:iCs w:val="0"/>
          <w:caps w:val="0"/>
          <w:color w:val="000000"/>
          <w:spacing w:val="0"/>
          <w:sz w:val="32"/>
          <w:szCs w:val="32"/>
          <w:shd w:val="clear" w:color="auto" w:fill="FFFFFF"/>
          <w:lang w:val="en-US" w:eastAsia="zh-CN"/>
        </w:rPr>
        <w:t>遵</w:t>
      </w:r>
      <w:r>
        <w:rPr>
          <w:rFonts w:hint="eastAsia" w:ascii="仿宋" w:hAnsi="仿宋" w:eastAsia="仿宋" w:cs="仿宋"/>
          <w:b w:val="0"/>
          <w:bCs w:val="0"/>
          <w:i w:val="0"/>
          <w:iCs w:val="0"/>
          <w:caps w:val="0"/>
          <w:color w:val="000000"/>
          <w:spacing w:val="0"/>
          <w:sz w:val="32"/>
          <w:szCs w:val="32"/>
          <w:shd w:val="clear" w:color="auto" w:fill="FFFFFF"/>
        </w:rPr>
        <w:t>法学法守法用法的良好社会氛围。</w:t>
      </w:r>
    </w:p>
    <w:p w14:paraId="1F8FBB84">
      <w:pPr>
        <w:pStyle w:val="2"/>
        <w:numPr>
          <w:ilvl w:val="0"/>
          <w:numId w:val="0"/>
        </w:numPr>
        <w:ind w:left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（四）全面推进法治建设工作</w:t>
      </w:r>
    </w:p>
    <w:p w14:paraId="0394D87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iCs w:val="0"/>
          <w:caps w:val="0"/>
          <w:color w:val="000000"/>
          <w:spacing w:val="0"/>
          <w:sz w:val="32"/>
          <w:szCs w:val="32"/>
          <w:shd w:val="clear" w:fill="FFFFFF"/>
          <w:lang w:val="en-US" w:eastAsia="zh-CN"/>
        </w:rPr>
      </w:pPr>
      <w:r>
        <w:rPr>
          <w:rFonts w:hint="eastAsia" w:ascii="仿宋" w:hAnsi="仿宋" w:eastAsia="仿宋" w:cs="仿宋"/>
          <w:i w:val="0"/>
          <w:iCs w:val="0"/>
          <w:caps w:val="0"/>
          <w:color w:val="000000"/>
          <w:spacing w:val="0"/>
          <w:sz w:val="32"/>
          <w:szCs w:val="32"/>
          <w:shd w:val="clear" w:fill="FFFFFF"/>
        </w:rPr>
        <w:t>严格按照上级要求，扎实做好规范性文件的制定、清理与发布工作。在制定环节，深入开展前期调研，充分考量政策的可行性与社会影响，广泛征求意见，确保文件内容合法合规、切实可行。持续推进规范性文件清理工作，建立动态清理机制，定期对现行规范性文件进行全面审查。同时，进一步优化规范性文件备案审查流程，加强与上级备案审查部门的沟通协调，确保规范性文件报备率、及时率和规范率均达 100%，坚决做到“有件必备、有备必审、有错必纠”，切实维护规范性文件的权威性与严肃性，为依法行政提供坚实的制度支撑</w:t>
      </w:r>
      <w:r>
        <w:rPr>
          <w:rFonts w:hint="eastAsia" w:ascii="仿宋" w:hAnsi="仿宋" w:eastAsia="仿宋" w:cs="仿宋"/>
          <w:i w:val="0"/>
          <w:iCs w:val="0"/>
          <w:caps w:val="0"/>
          <w:color w:val="000000"/>
          <w:spacing w:val="0"/>
          <w:sz w:val="32"/>
          <w:szCs w:val="32"/>
          <w:shd w:val="clear" w:fill="FFFFFF"/>
          <w:lang w:eastAsia="zh-CN"/>
        </w:rPr>
        <w:t>。</w:t>
      </w:r>
      <w:r>
        <w:rPr>
          <w:rFonts w:hint="eastAsia" w:ascii="仿宋" w:hAnsi="仿宋" w:eastAsia="仿宋" w:cs="仿宋"/>
          <w:i w:val="0"/>
          <w:iCs w:val="0"/>
          <w:caps w:val="0"/>
          <w:color w:val="000000"/>
          <w:spacing w:val="0"/>
          <w:sz w:val="32"/>
          <w:szCs w:val="32"/>
          <w:shd w:val="clear" w:fill="FFFFFF"/>
          <w:lang w:val="en-US" w:eastAsia="zh-CN"/>
        </w:rPr>
        <w:t xml:space="preserve"> </w:t>
      </w:r>
    </w:p>
    <w:p w14:paraId="668FA4F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i w:val="0"/>
          <w:iCs w:val="0"/>
          <w:caps w:val="0"/>
          <w:color w:val="000000"/>
          <w:spacing w:val="0"/>
          <w:sz w:val="32"/>
          <w:szCs w:val="32"/>
          <w:shd w:val="clear" w:color="auto" w:fill="FFFFFF"/>
          <w:lang w:val="en-US" w:eastAsia="zh-CN"/>
        </w:rPr>
      </w:pPr>
      <w:r>
        <w:rPr>
          <w:rFonts w:hint="eastAsia" w:ascii="仿宋" w:hAnsi="仿宋" w:eastAsia="仿宋" w:cs="仿宋"/>
          <w:b w:val="0"/>
          <w:bCs w:val="0"/>
          <w:i w:val="0"/>
          <w:iCs w:val="0"/>
          <w:caps w:val="0"/>
          <w:color w:val="000000"/>
          <w:spacing w:val="0"/>
          <w:sz w:val="32"/>
          <w:szCs w:val="32"/>
          <w:shd w:val="clear" w:color="auto" w:fill="FFFFFF"/>
        </w:rPr>
        <w:t>全面推行法律顾问制度，</w:t>
      </w:r>
      <w:r>
        <w:rPr>
          <w:rFonts w:hint="eastAsia" w:ascii="仿宋" w:hAnsi="仿宋" w:eastAsia="仿宋" w:cs="仿宋"/>
          <w:b w:val="0"/>
          <w:bCs w:val="0"/>
          <w:i w:val="0"/>
          <w:iCs w:val="0"/>
          <w:caps w:val="0"/>
          <w:color w:val="000000"/>
          <w:spacing w:val="0"/>
          <w:sz w:val="32"/>
          <w:szCs w:val="32"/>
          <w:shd w:val="clear" w:color="auto" w:fill="FFFFFF"/>
          <w:lang w:val="en-US" w:eastAsia="zh-CN"/>
        </w:rPr>
        <w:t>局</w:t>
      </w:r>
      <w:r>
        <w:rPr>
          <w:rFonts w:hint="eastAsia" w:ascii="仿宋" w:hAnsi="仿宋" w:eastAsia="仿宋" w:cs="仿宋"/>
          <w:b w:val="0"/>
          <w:bCs w:val="0"/>
          <w:i w:val="0"/>
          <w:iCs w:val="0"/>
          <w:caps w:val="0"/>
          <w:color w:val="000000"/>
          <w:spacing w:val="0"/>
          <w:sz w:val="32"/>
          <w:szCs w:val="32"/>
          <w:shd w:val="clear" w:color="auto" w:fill="FFFFFF"/>
        </w:rPr>
        <w:t>配备</w:t>
      </w:r>
      <w:r>
        <w:rPr>
          <w:rFonts w:hint="eastAsia" w:ascii="仿宋" w:hAnsi="仿宋" w:eastAsia="仿宋" w:cs="仿宋"/>
          <w:b w:val="0"/>
          <w:bCs w:val="0"/>
          <w:i w:val="0"/>
          <w:iCs w:val="0"/>
          <w:caps w:val="0"/>
          <w:color w:val="000000"/>
          <w:spacing w:val="0"/>
          <w:sz w:val="32"/>
          <w:szCs w:val="32"/>
          <w:shd w:val="clear" w:color="auto" w:fill="FFFFFF"/>
          <w:lang w:val="en-US" w:eastAsia="zh-CN"/>
        </w:rPr>
        <w:t>顾问</w:t>
      </w:r>
      <w:r>
        <w:rPr>
          <w:rFonts w:hint="eastAsia" w:ascii="仿宋" w:hAnsi="仿宋" w:eastAsia="仿宋" w:cs="仿宋"/>
          <w:b w:val="0"/>
          <w:bCs w:val="0"/>
          <w:i w:val="0"/>
          <w:iCs w:val="0"/>
          <w:caps w:val="0"/>
          <w:color w:val="000000"/>
          <w:spacing w:val="0"/>
          <w:sz w:val="32"/>
          <w:szCs w:val="32"/>
          <w:shd w:val="clear" w:color="auto" w:fill="FFFFFF"/>
        </w:rPr>
        <w:t>律师2名</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局</w:t>
      </w:r>
      <w:r>
        <w:rPr>
          <w:rFonts w:hint="eastAsia" w:ascii="仿宋" w:hAnsi="仿宋" w:eastAsia="仿宋" w:cs="仿宋"/>
          <w:b w:val="0"/>
          <w:bCs w:val="0"/>
          <w:i w:val="0"/>
          <w:iCs w:val="0"/>
          <w:caps w:val="0"/>
          <w:color w:val="000000"/>
          <w:spacing w:val="0"/>
          <w:sz w:val="32"/>
          <w:szCs w:val="32"/>
          <w:shd w:val="clear" w:color="auto" w:fill="FFFFFF"/>
          <w:lang w:val="en-US" w:eastAsia="zh-CN"/>
        </w:rPr>
        <w:t>机关做出</w:t>
      </w:r>
      <w:r>
        <w:rPr>
          <w:rFonts w:hint="eastAsia" w:ascii="仿宋" w:hAnsi="仿宋" w:eastAsia="仿宋" w:cs="仿宋"/>
          <w:b w:val="0"/>
          <w:bCs w:val="0"/>
          <w:i w:val="0"/>
          <w:iCs w:val="0"/>
          <w:caps w:val="0"/>
          <w:color w:val="000000"/>
          <w:spacing w:val="0"/>
          <w:sz w:val="32"/>
          <w:szCs w:val="32"/>
          <w:shd w:val="clear" w:color="auto" w:fill="FFFFFF"/>
        </w:rPr>
        <w:t>重大行政决策、工伤保险案件、重大执法决定</w:t>
      </w:r>
      <w:r>
        <w:rPr>
          <w:rFonts w:hint="eastAsia" w:ascii="仿宋" w:hAnsi="仿宋" w:eastAsia="仿宋" w:cs="仿宋"/>
          <w:b w:val="0"/>
          <w:bCs w:val="0"/>
          <w:i w:val="0"/>
          <w:iCs w:val="0"/>
          <w:caps w:val="0"/>
          <w:color w:val="000000"/>
          <w:spacing w:val="0"/>
          <w:sz w:val="32"/>
          <w:szCs w:val="32"/>
          <w:shd w:val="clear" w:color="auto" w:fill="FFFFFF"/>
          <w:lang w:eastAsia="zh-CN"/>
        </w:rPr>
        <w:t>、</w:t>
      </w:r>
      <w:r>
        <w:rPr>
          <w:rFonts w:hint="eastAsia" w:ascii="仿宋" w:hAnsi="仿宋" w:eastAsia="仿宋" w:cs="仿宋"/>
          <w:b w:val="0"/>
          <w:bCs w:val="0"/>
          <w:i w:val="0"/>
          <w:iCs w:val="0"/>
          <w:caps w:val="0"/>
          <w:color w:val="000000"/>
          <w:spacing w:val="0"/>
          <w:sz w:val="32"/>
          <w:szCs w:val="32"/>
          <w:shd w:val="clear" w:color="auto" w:fill="FFFFFF"/>
        </w:rPr>
        <w:t>法制审核等工作</w:t>
      </w:r>
      <w:r>
        <w:rPr>
          <w:rFonts w:hint="eastAsia" w:ascii="仿宋" w:hAnsi="仿宋" w:eastAsia="仿宋" w:cs="仿宋"/>
          <w:b w:val="0"/>
          <w:bCs w:val="0"/>
          <w:i w:val="0"/>
          <w:iCs w:val="0"/>
          <w:caps w:val="0"/>
          <w:color w:val="000000"/>
          <w:spacing w:val="0"/>
          <w:sz w:val="32"/>
          <w:szCs w:val="32"/>
          <w:shd w:val="clear" w:color="auto" w:fill="FFFFFF"/>
          <w:lang w:val="en-US" w:eastAsia="zh-CN"/>
        </w:rPr>
        <w:t>前按照规定安排法律顾问参与或听取法律顾问意见。同时法律顾问也积极参加重大涉法事项研究论证、法律评估，为科室、单位提供日常法律咨询，承办行政复议、行政诉讼案件，接受委托代理诉讼、仲裁、调解活动及其他法律事务，对合同、重要文件、执法决定进行合法性审查。</w:t>
      </w:r>
    </w:p>
    <w:p w14:paraId="3D937C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（五）</w:t>
      </w:r>
      <w:r>
        <w:rPr>
          <w:rFonts w:hint="eastAsia" w:ascii="仿宋" w:hAnsi="仿宋" w:eastAsia="仿宋" w:cs="仿宋"/>
          <w:b/>
          <w:bCs/>
          <w:i w:val="0"/>
          <w:iCs w:val="0"/>
          <w:caps w:val="0"/>
          <w:color w:val="000000"/>
          <w:spacing w:val="0"/>
          <w:sz w:val="32"/>
          <w:szCs w:val="32"/>
          <w:shd w:val="clear" w:color="auto" w:fill="FFFFFF"/>
          <w:vertAlign w:val="baseline"/>
          <w:lang w:val="en-US" w:eastAsia="zh-CN"/>
        </w:rPr>
        <w:t>深化根治欠薪，保障农民工合法权益</w:t>
      </w:r>
    </w:p>
    <w:p w14:paraId="3EB470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以来，桐柏县人力资源和社会保障维权中心以涉嫌恶意欠薪移送公安机关立案侦办2起，涉及欠薪人员42人共计58万元，处理系统平台及信访投诉线索251余件，涉及金额2700余万元，已经全部按照要求时限办结，办结率100%。截至目前，全县农民工工资专用账户开设率100%，总包企业代发工资代发率100%，河南省系统欠薪线索办结率100%，全国根治欠薪平台欠薪线索办结率100%，切实保障了全县农民工的合法权益，全县未出现一起国家、省督办欠薪案件和群体性事件，桐柏县根治欠薪工作各项指标在全市位居前列。</w:t>
      </w:r>
    </w:p>
    <w:p w14:paraId="73E0F10B">
      <w:pPr>
        <w:ind w:firstLine="643" w:firstLineChars="200"/>
        <w:jc w:val="both"/>
        <w:rPr>
          <w:rStyle w:val="9"/>
          <w:rFonts w:hint="eastAsia" w:ascii="仿宋" w:hAnsi="仿宋" w:eastAsia="仿宋" w:cs="仿宋"/>
          <w:i w:val="0"/>
          <w:iCs w:val="0"/>
          <w:caps w:val="0"/>
          <w:color w:val="000000"/>
          <w:spacing w:val="0"/>
          <w:sz w:val="32"/>
          <w:szCs w:val="32"/>
          <w:shd w:val="clear" w:color="auto" w:fill="FFFFFF"/>
          <w:lang w:eastAsia="zh-CN"/>
        </w:rPr>
      </w:pPr>
      <w:r>
        <w:rPr>
          <w:rFonts w:hint="eastAsia" w:ascii="仿宋_GB2312" w:hAnsi="仿宋_GB2312" w:eastAsia="仿宋_GB2312" w:cs="仿宋_GB2312"/>
          <w:b/>
          <w:bCs/>
          <w:sz w:val="32"/>
          <w:szCs w:val="32"/>
          <w:lang w:val="en-US" w:eastAsia="zh-CN"/>
        </w:rPr>
        <w:t>（六）</w:t>
      </w:r>
      <w:r>
        <w:rPr>
          <w:rStyle w:val="9"/>
          <w:rFonts w:hint="eastAsia" w:ascii="仿宋" w:hAnsi="仿宋" w:eastAsia="仿宋" w:cs="仿宋"/>
          <w:i w:val="0"/>
          <w:iCs w:val="0"/>
          <w:caps w:val="0"/>
          <w:color w:val="000000"/>
          <w:spacing w:val="0"/>
          <w:sz w:val="32"/>
          <w:szCs w:val="32"/>
          <w:shd w:val="clear" w:color="auto" w:fill="FFFFFF"/>
          <w:lang w:val="en-US" w:eastAsia="zh-CN"/>
        </w:rPr>
        <w:t>依法全面履行行政职能，</w:t>
      </w:r>
      <w:r>
        <w:rPr>
          <w:rStyle w:val="9"/>
          <w:rFonts w:hint="eastAsia" w:ascii="仿宋" w:hAnsi="仿宋" w:eastAsia="仿宋" w:cs="仿宋"/>
          <w:i w:val="0"/>
          <w:iCs w:val="0"/>
          <w:caps w:val="0"/>
          <w:color w:val="000000"/>
          <w:spacing w:val="0"/>
          <w:sz w:val="32"/>
          <w:szCs w:val="32"/>
          <w:shd w:val="clear" w:color="auto" w:fill="FFFFFF"/>
        </w:rPr>
        <w:t>优化机构职能体系，深化改革提升服务</w:t>
      </w:r>
      <w:r>
        <w:rPr>
          <w:rStyle w:val="9"/>
          <w:rFonts w:hint="eastAsia" w:ascii="仿宋" w:hAnsi="仿宋" w:eastAsia="仿宋" w:cs="仿宋"/>
          <w:i w:val="0"/>
          <w:iCs w:val="0"/>
          <w:caps w:val="0"/>
          <w:color w:val="000000"/>
          <w:spacing w:val="0"/>
          <w:sz w:val="32"/>
          <w:szCs w:val="32"/>
          <w:shd w:val="clear" w:color="auto" w:fill="FFFFFF"/>
          <w:lang w:eastAsia="zh-CN"/>
        </w:rPr>
        <w:t>。</w:t>
      </w:r>
    </w:p>
    <w:p w14:paraId="79A64396">
      <w:pPr>
        <w:ind w:firstLine="643" w:firstLineChars="200"/>
        <w:jc w:val="both"/>
        <w:rPr>
          <w:rFonts w:hint="default"/>
          <w:lang w:val="en-US" w:eastAsia="zh-CN"/>
        </w:rPr>
      </w:pPr>
      <w:r>
        <w:rPr>
          <w:rStyle w:val="9"/>
          <w:rFonts w:hint="eastAsia" w:ascii="仿宋" w:hAnsi="仿宋" w:eastAsia="仿宋" w:cs="仿宋"/>
          <w:b/>
          <w:bCs w:val="0"/>
          <w:i w:val="0"/>
          <w:iCs w:val="0"/>
          <w:caps w:val="0"/>
          <w:color w:val="000000"/>
          <w:spacing w:val="0"/>
          <w:sz w:val="32"/>
          <w:szCs w:val="32"/>
          <w:shd w:val="clear" w:color="auto" w:fill="FFFFFF"/>
          <w:lang w:eastAsia="zh-CN"/>
        </w:rPr>
        <w:t>（</w:t>
      </w:r>
      <w:r>
        <w:rPr>
          <w:rStyle w:val="9"/>
          <w:rFonts w:hint="eastAsia" w:ascii="仿宋" w:hAnsi="仿宋" w:eastAsia="仿宋" w:cs="仿宋"/>
          <w:b/>
          <w:bCs w:val="0"/>
          <w:i w:val="0"/>
          <w:iCs w:val="0"/>
          <w:caps w:val="0"/>
          <w:color w:val="000000"/>
          <w:spacing w:val="0"/>
          <w:sz w:val="32"/>
          <w:szCs w:val="32"/>
          <w:shd w:val="clear" w:color="auto" w:fill="FFFFFF"/>
          <w:lang w:val="en-US" w:eastAsia="zh-CN"/>
        </w:rPr>
        <w:t>1）</w:t>
      </w:r>
      <w:r>
        <w:rPr>
          <w:rStyle w:val="9"/>
          <w:rFonts w:hint="eastAsia" w:ascii="仿宋" w:hAnsi="仿宋" w:eastAsia="仿宋" w:cs="仿宋"/>
          <w:b/>
          <w:bCs w:val="0"/>
          <w:i w:val="0"/>
          <w:iCs w:val="0"/>
          <w:caps w:val="0"/>
          <w:color w:val="000000"/>
          <w:spacing w:val="0"/>
          <w:sz w:val="32"/>
          <w:szCs w:val="32"/>
          <w:shd w:val="clear" w:color="auto" w:fill="FFFFFF"/>
        </w:rPr>
        <w:t>优化服务效能</w:t>
      </w:r>
      <w:r>
        <w:rPr>
          <w:rStyle w:val="9"/>
          <w:rFonts w:hint="eastAsia" w:ascii="仿宋" w:hAnsi="仿宋" w:eastAsia="仿宋" w:cs="仿宋"/>
          <w:b/>
          <w:bCs w:val="0"/>
          <w:i w:val="0"/>
          <w:iCs w:val="0"/>
          <w:caps w:val="0"/>
          <w:color w:val="000000"/>
          <w:spacing w:val="0"/>
          <w:sz w:val="32"/>
          <w:szCs w:val="32"/>
          <w:shd w:val="clear" w:color="auto" w:fill="FFFFFF"/>
          <w:lang w:eastAsia="zh-CN"/>
        </w:rPr>
        <w:t>。</w:t>
      </w:r>
      <w:r>
        <w:rPr>
          <w:rFonts w:hint="eastAsia" w:ascii="仿宋_GB2312" w:hAnsi="仿宋_GB2312" w:eastAsia="仿宋_GB2312" w:cs="仿宋_GB2312"/>
          <w:sz w:val="32"/>
          <w:szCs w:val="32"/>
        </w:rPr>
        <w:t>扎实推进“一件事一次办”改革，严格执行首问负责制，开展“一把手走流程”活动，持续完善窗口服务事项，优化审批流程，提升服务效率。动态更新并公开发布办事指南与业务流程，目前我局政务服务事项共计358项，全面实行权力清单管理，主动公开服务手册与办事指引，方便群众办事并接受社会监督。同步做好政务服务“好差评”工作，不断提升群众满意率和好评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人力资源与医疗服务11项指标均处全市第一方阵。</w:t>
      </w:r>
    </w:p>
    <w:p w14:paraId="458284A7">
      <w:pPr>
        <w:ind w:firstLine="643" w:firstLineChars="200"/>
        <w:jc w:val="both"/>
        <w:rPr>
          <w:rStyle w:val="9"/>
          <w:rFonts w:hint="eastAsia" w:ascii="仿宋" w:hAnsi="仿宋" w:eastAsia="仿宋" w:cs="仿宋"/>
          <w:b w:val="0"/>
          <w:bCs/>
          <w:i w:val="0"/>
          <w:iCs w:val="0"/>
          <w:caps w:val="0"/>
          <w:color w:val="000000"/>
          <w:spacing w:val="0"/>
          <w:sz w:val="32"/>
          <w:szCs w:val="32"/>
          <w:shd w:val="clear" w:color="auto" w:fill="FFFFFF"/>
          <w:lang w:val="en-US" w:eastAsia="zh-CN"/>
        </w:rPr>
      </w:pPr>
      <w:r>
        <w:rPr>
          <w:rStyle w:val="9"/>
          <w:rFonts w:hint="eastAsia" w:ascii="仿宋" w:hAnsi="仿宋" w:eastAsia="仿宋" w:cs="仿宋"/>
          <w:i w:val="0"/>
          <w:iCs w:val="0"/>
          <w:caps w:val="0"/>
          <w:color w:val="000000"/>
          <w:spacing w:val="0"/>
          <w:sz w:val="32"/>
          <w:szCs w:val="32"/>
          <w:shd w:val="clear" w:color="auto" w:fill="FFFFFF"/>
          <w:lang w:eastAsia="zh-CN"/>
        </w:rPr>
        <w:t>（</w:t>
      </w:r>
      <w:r>
        <w:rPr>
          <w:rStyle w:val="9"/>
          <w:rFonts w:hint="eastAsia" w:ascii="仿宋" w:hAnsi="仿宋" w:eastAsia="仿宋" w:cs="仿宋"/>
          <w:i w:val="0"/>
          <w:iCs w:val="0"/>
          <w:caps w:val="0"/>
          <w:color w:val="000000"/>
          <w:spacing w:val="0"/>
          <w:sz w:val="32"/>
          <w:szCs w:val="32"/>
          <w:shd w:val="clear" w:color="auto" w:fill="FFFFFF"/>
          <w:lang w:val="en-US" w:eastAsia="zh-CN"/>
        </w:rPr>
        <w:t>2）</w:t>
      </w:r>
      <w:r>
        <w:rPr>
          <w:rStyle w:val="9"/>
          <w:rFonts w:hint="eastAsia" w:ascii="仿宋" w:hAnsi="仿宋" w:eastAsia="仿宋" w:cs="仿宋"/>
          <w:i w:val="0"/>
          <w:iCs w:val="0"/>
          <w:caps w:val="0"/>
          <w:color w:val="000000"/>
          <w:spacing w:val="0"/>
          <w:sz w:val="32"/>
          <w:szCs w:val="32"/>
          <w:shd w:val="clear" w:color="auto" w:fill="FFFFFF"/>
        </w:rPr>
        <w:t>深化社银合作</w:t>
      </w:r>
      <w:r>
        <w:rPr>
          <w:rStyle w:val="9"/>
          <w:rFonts w:hint="eastAsia" w:ascii="仿宋" w:hAnsi="仿宋" w:eastAsia="仿宋" w:cs="仿宋"/>
          <w:i w:val="0"/>
          <w:iCs w:val="0"/>
          <w:caps w:val="0"/>
          <w:color w:val="000000"/>
          <w:spacing w:val="0"/>
          <w:sz w:val="32"/>
          <w:szCs w:val="32"/>
          <w:shd w:val="clear" w:color="auto" w:fill="FFFFFF"/>
          <w:lang w:eastAsia="zh-CN"/>
        </w:rPr>
        <w:t>。</w:t>
      </w:r>
      <w:r>
        <w:rPr>
          <w:rStyle w:val="9"/>
          <w:rFonts w:hint="eastAsia" w:ascii="仿宋" w:hAnsi="仿宋" w:eastAsia="仿宋" w:cs="仿宋"/>
          <w:b w:val="0"/>
          <w:bCs/>
          <w:i w:val="0"/>
          <w:iCs w:val="0"/>
          <w:caps w:val="0"/>
          <w:color w:val="000000"/>
          <w:spacing w:val="0"/>
          <w:sz w:val="32"/>
          <w:szCs w:val="32"/>
          <w:shd w:val="clear" w:color="auto" w:fill="FFFFFF"/>
          <w:lang w:val="en-US" w:eastAsia="zh-CN"/>
        </w:rPr>
        <w:t>桐柏县人社局深入贯彻落实“放管服”改革要求，全面推进社保经办服务下沉，目前已建成覆盖全县17个乡镇（街道）的基层社保服务站点，并依托银行网点资源打造了5个社保便民服务合作网点。促进“社保基层服务网络”与“社银合作网点”深度融合路径，进一步织密服务网络、优化办事流程，为企业和群众提供“就近办、快捷办、暖心办”的社保服务。2025年邮政储蓄银行桐柏县支行网点，在场所建设、业务能力、社银合作等方面表现突出，被选为全省首批、南阳唯一县级社保便民服务合作“五星”网点。</w:t>
      </w:r>
    </w:p>
    <w:p w14:paraId="41EED84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i w:val="0"/>
          <w:iCs w:val="0"/>
          <w:caps w:val="0"/>
          <w:color w:val="000000"/>
          <w:spacing w:val="0"/>
          <w:sz w:val="32"/>
          <w:szCs w:val="32"/>
          <w:shd w:val="clear" w:color="auto" w:fill="FFFFFF"/>
          <w:lang w:eastAsia="zh-CN"/>
        </w:rPr>
        <w:t>（</w:t>
      </w:r>
      <w:r>
        <w:rPr>
          <w:rFonts w:hint="eastAsia" w:ascii="仿宋" w:hAnsi="仿宋" w:eastAsia="仿宋" w:cs="仿宋"/>
          <w:b/>
          <w:bCs/>
          <w:i w:val="0"/>
          <w:iCs w:val="0"/>
          <w:caps w:val="0"/>
          <w:color w:val="000000"/>
          <w:spacing w:val="0"/>
          <w:sz w:val="32"/>
          <w:szCs w:val="32"/>
          <w:shd w:val="clear" w:color="auto" w:fill="FFFFFF"/>
          <w:lang w:val="en-US" w:eastAsia="zh-CN"/>
        </w:rPr>
        <w:t>3）推动就业创业开展。</w:t>
      </w:r>
      <w:r>
        <w:rPr>
          <w:rFonts w:hint="eastAsia" w:ascii="仿宋_GB2312" w:hAnsi="仿宋_GB2312" w:eastAsia="仿宋_GB2312" w:cs="仿宋_GB2312"/>
          <w:sz w:val="32"/>
          <w:szCs w:val="32"/>
          <w:lang w:val="en-US" w:eastAsia="zh-CN"/>
        </w:rPr>
        <w:t>举办“春风行动”“金秋招聘月”等各类招聘活动30场，提供就业岗位3000余个，达成就业意向600余人次。建立重点企业用工监测机制，走访企业86家，解决用工缺口200人。实施就业困难人员动态清零行动，累计安置公益性岗位183人（其中新增安置就业困难人员37人），发放岗位补贴359.928万元、社保补贴8.5706万元。</w:t>
      </w:r>
    </w:p>
    <w:p w14:paraId="09679D97">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年组织开展创业培训493人，完成年度目标的104.89%，有效支持大中专院校毕业生及返乡创业人员。发放创业担保贷款2060万元，扶持创业实体15家，其中小微企业4家。开展开业补贴专项核查，实地调查创业实体500余家，为326家符合条件企业发放补贴163万元，带动新增就业岗位500余个。</w:t>
      </w:r>
    </w:p>
    <w:p w14:paraId="3AD7610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lang w:val="en-US" w:eastAsia="zh-CN"/>
        </w:rPr>
      </w:pPr>
      <w:r>
        <w:rPr>
          <w:rFonts w:hint="eastAsia" w:ascii="仿宋_GB2312" w:hAnsi="仿宋_GB2312" w:eastAsia="仿宋_GB2312" w:cs="仿宋_GB2312"/>
          <w:sz w:val="32"/>
          <w:szCs w:val="32"/>
          <w:lang w:val="en-US" w:eastAsia="zh-CN"/>
        </w:rPr>
        <w:t>全县已建成1个社区就业服务站及17个零工驿站，实现17个乡镇（街道）服务站点全覆盖。创新推行“线上+线下”协同服务模式，全年累计办理就业失业登记、政策咨询等业务3000余件，通过零工驿站促成灵活就业对接600余人次，基本建成“15分钟就业服务圈”。</w:t>
      </w:r>
    </w:p>
    <w:p w14:paraId="64D7B1F8">
      <w:pPr>
        <w:ind w:firstLine="643" w:firstLineChars="200"/>
        <w:jc w:val="both"/>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（七）做好行政应诉，做好府院联动工作。</w:t>
      </w:r>
    </w:p>
    <w:p w14:paraId="6612481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做好行政复议、行政诉讼应诉工作，本年度发生诉讼案件3宗。其中民事诉讼1宗（原告已撤诉），行政诉讼案件2宗（正在应诉中）。行政机关负责人出庭应诉率100%。</w:t>
      </w:r>
    </w:p>
    <w:p w14:paraId="57CCC9B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2025年共接收法院送达的刑事判决文书11份，涉及</w:t>
      </w:r>
      <w:r>
        <w:rPr>
          <w:rFonts w:hint="default" w:ascii="仿宋" w:hAnsi="仿宋" w:eastAsia="仿宋" w:cs="仿宋"/>
          <w:sz w:val="32"/>
          <w:szCs w:val="32"/>
          <w:lang w:val="en-US" w:eastAsia="zh-CN"/>
        </w:rPr>
        <w:t>社会保险参保人员</w:t>
      </w:r>
      <w:r>
        <w:rPr>
          <w:rFonts w:hint="eastAsia" w:ascii="仿宋" w:hAnsi="仿宋" w:eastAsia="仿宋" w:cs="仿宋"/>
          <w:sz w:val="32"/>
          <w:szCs w:val="32"/>
          <w:lang w:val="en-US" w:eastAsia="zh-CN"/>
        </w:rPr>
        <w:t>11名。其中城乡居保参保人员3人、机关事业养老保险参保人员2名、企业职工养老保险参保人员5名。11名社会保险参保人员已按照现行政策区分险种进行分类处理完毕。</w:t>
      </w:r>
    </w:p>
    <w:p w14:paraId="0EE24697">
      <w:pPr>
        <w:pStyle w:val="2"/>
        <w:numPr>
          <w:ilvl w:val="0"/>
          <w:numId w:val="1"/>
        </w:numPr>
        <w:rPr>
          <w:rFonts w:hint="eastAsia" w:ascii="仿宋" w:hAnsi="仿宋" w:eastAsia="仿宋" w:cs="仿宋"/>
          <w:b/>
          <w:bCs/>
          <w:i w:val="0"/>
          <w:iCs w:val="0"/>
          <w:caps w:val="0"/>
          <w:color w:val="000000"/>
          <w:spacing w:val="0"/>
          <w:sz w:val="32"/>
          <w:szCs w:val="32"/>
          <w:shd w:val="clear" w:color="auto" w:fill="FFFFFF"/>
          <w:vertAlign w:val="baseline"/>
        </w:rPr>
      </w:pPr>
      <w:r>
        <w:rPr>
          <w:rFonts w:hint="eastAsia" w:ascii="仿宋" w:hAnsi="仿宋" w:eastAsia="仿宋" w:cs="仿宋"/>
          <w:b/>
          <w:bCs/>
          <w:i w:val="0"/>
          <w:iCs w:val="0"/>
          <w:caps w:val="0"/>
          <w:color w:val="000000"/>
          <w:spacing w:val="0"/>
          <w:sz w:val="32"/>
          <w:szCs w:val="32"/>
          <w:shd w:val="clear" w:color="auto" w:fill="FFFFFF"/>
          <w:vertAlign w:val="baseline"/>
        </w:rPr>
        <w:t>强化内控稽核，加强基金追缴工作</w:t>
      </w:r>
    </w:p>
    <w:p w14:paraId="201A45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
          <w:bCs/>
          <w:i w:val="0"/>
          <w:iCs w:val="0"/>
          <w:caps w:val="0"/>
          <w:color w:val="000000"/>
          <w:spacing w:val="0"/>
          <w:sz w:val="32"/>
          <w:szCs w:val="32"/>
          <w:shd w:val="clear" w:color="auto" w:fill="FFFFFF"/>
          <w:vertAlign w:val="baseline"/>
          <w:lang w:val="en-US" w:eastAsia="zh-CN"/>
        </w:rPr>
      </w:pP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桐柏县人社局</w:t>
      </w:r>
      <w:r>
        <w:rPr>
          <w:rFonts w:hint="eastAsia" w:ascii="仿宋" w:hAnsi="仿宋" w:eastAsia="仿宋" w:cs="仿宋"/>
          <w:b w:val="0"/>
          <w:bCs w:val="0"/>
          <w:i w:val="0"/>
          <w:iCs w:val="0"/>
          <w:caps w:val="0"/>
          <w:color w:val="000000"/>
          <w:spacing w:val="0"/>
          <w:sz w:val="32"/>
          <w:szCs w:val="32"/>
          <w:shd w:val="clear" w:color="auto" w:fill="FFFFFF"/>
          <w:vertAlign w:val="baseline"/>
        </w:rPr>
        <w:t>以业务排查和疑点数据核查为线索，全面排查违法违规领取社保基金底数。共核查疑点数据</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188</w:t>
      </w:r>
      <w:r>
        <w:rPr>
          <w:rFonts w:hint="eastAsia" w:ascii="仿宋" w:hAnsi="仿宋" w:eastAsia="仿宋" w:cs="仿宋"/>
          <w:b w:val="0"/>
          <w:bCs w:val="0"/>
          <w:i w:val="0"/>
          <w:iCs w:val="0"/>
          <w:caps w:val="0"/>
          <w:color w:val="000000"/>
          <w:spacing w:val="0"/>
          <w:sz w:val="32"/>
          <w:szCs w:val="32"/>
          <w:shd w:val="clear" w:color="auto" w:fill="FFFFFF"/>
          <w:vertAlign w:val="baseline"/>
        </w:rPr>
        <w:t>条，</w:t>
      </w:r>
      <w:r>
        <w:rPr>
          <w:rFonts w:hint="eastAsia" w:ascii="仿宋" w:hAnsi="仿宋" w:eastAsia="仿宋" w:cs="仿宋"/>
          <w:b w:val="0"/>
          <w:bCs w:val="0"/>
          <w:i w:val="0"/>
          <w:iCs w:val="0"/>
          <w:caps w:val="0"/>
          <w:color w:val="000000"/>
          <w:spacing w:val="0"/>
          <w:sz w:val="32"/>
          <w:szCs w:val="32"/>
          <w:shd w:val="clear" w:color="auto" w:fill="FFFFFF"/>
          <w:vertAlign w:val="baseline"/>
          <w:lang w:val="en-US" w:eastAsia="zh-CN"/>
        </w:rPr>
        <w:t>其中</w:t>
      </w:r>
      <w:r>
        <w:rPr>
          <w:rFonts w:hint="eastAsia" w:ascii="仿宋_GB2312" w:hAnsi="仿宋_GB2312" w:eastAsia="仿宋_GB2312" w:cs="仿宋_GB2312"/>
          <w:b w:val="0"/>
          <w:bCs w:val="0"/>
          <w:kern w:val="2"/>
          <w:sz w:val="32"/>
          <w:szCs w:val="32"/>
          <w:lang w:val="en-US" w:eastAsia="zh-CN" w:bidi="ar-SA"/>
        </w:rPr>
        <w:t>涉及城乡居民养老保险“疑似死亡后继续领取养老保险待遇”疑点数据47条，确认确实存在问题数37条（已整改完成）、不存在问题数10条。所有疑点涉及总金额61152.57元已全部追回；机关事业养老保险核查出一名死亡人员子女冒领机关事业养老保险待遇19.48万元，县人社局按照工作程序于2025年4月10日移交县纪委监委并积极配合县纪委监委调查，冒领的19.48万元已追回；涉及企业职工养老保险疑点数据141条。经核查后已整改完成。</w:t>
      </w:r>
    </w:p>
    <w:p w14:paraId="6D179C2B">
      <w:pPr>
        <w:numPr>
          <w:ilvl w:val="0"/>
          <w:numId w:val="2"/>
        </w:numPr>
        <w:ind w:firstLine="643" w:firstLineChars="200"/>
        <w:jc w:val="both"/>
        <w:rPr>
          <w:rFonts w:hint="eastAsia"/>
          <w:b/>
          <w:bCs/>
          <w:sz w:val="32"/>
          <w:szCs w:val="32"/>
        </w:rPr>
      </w:pPr>
      <w:r>
        <w:rPr>
          <w:rFonts w:hint="eastAsia"/>
          <w:b/>
          <w:bCs/>
          <w:sz w:val="32"/>
          <w:szCs w:val="32"/>
        </w:rPr>
        <w:t>存在的问题</w:t>
      </w:r>
    </w:p>
    <w:p w14:paraId="390404E3">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105" w:afterAutospacing="0" w:line="23" w:lineRule="atLeast"/>
        <w:ind w:right="0" w:rightChars="0" w:firstLine="643" w:firstLineChars="200"/>
        <w:jc w:val="both"/>
        <w:rPr>
          <w:rFonts w:hint="eastAsia" w:ascii="仿宋" w:hAnsi="仿宋" w:eastAsia="仿宋" w:cs="仿宋"/>
          <w:i w:val="0"/>
          <w:iCs w:val="0"/>
          <w:caps w:val="0"/>
          <w:color w:val="000000"/>
          <w:spacing w:val="0"/>
          <w:sz w:val="32"/>
          <w:szCs w:val="32"/>
          <w:shd w:val="clear" w:fill="FFFFFF"/>
        </w:rPr>
      </w:pPr>
      <w:r>
        <w:rPr>
          <w:rFonts w:hint="eastAsia" w:ascii="仿宋" w:hAnsi="仿宋" w:eastAsia="仿宋" w:cs="仿宋"/>
          <w:b/>
          <w:bCs/>
          <w:i w:val="0"/>
          <w:iCs w:val="0"/>
          <w:caps w:val="0"/>
          <w:color w:val="000000"/>
          <w:spacing w:val="0"/>
          <w:sz w:val="32"/>
          <w:szCs w:val="32"/>
          <w:shd w:val="clear" w:fill="FFFFFF"/>
          <w:lang w:val="en-US" w:eastAsia="zh-CN"/>
        </w:rPr>
        <w:t>（一）</w:t>
      </w:r>
      <w:r>
        <w:rPr>
          <w:rFonts w:hint="eastAsia" w:ascii="仿宋" w:hAnsi="仿宋" w:eastAsia="仿宋" w:cs="仿宋"/>
          <w:b/>
          <w:bCs/>
          <w:i w:val="0"/>
          <w:iCs w:val="0"/>
          <w:caps w:val="0"/>
          <w:color w:val="000000"/>
          <w:spacing w:val="0"/>
          <w:sz w:val="32"/>
          <w:szCs w:val="32"/>
          <w:shd w:val="clear" w:fill="FFFFFF"/>
        </w:rPr>
        <w:t>理论学习转化仍需深入。</w:t>
      </w:r>
      <w:r>
        <w:rPr>
          <w:rFonts w:hint="eastAsia" w:ascii="仿宋" w:hAnsi="仿宋" w:eastAsia="仿宋" w:cs="仿宋"/>
          <w:i w:val="0"/>
          <w:iCs w:val="0"/>
          <w:caps w:val="0"/>
          <w:color w:val="000000"/>
          <w:spacing w:val="0"/>
          <w:sz w:val="32"/>
          <w:szCs w:val="32"/>
          <w:shd w:val="clear" w:fill="FFFFFF"/>
        </w:rPr>
        <w:t>法治政府建设与人社具体业务有机结合的程度以及将理论学习成效转化为工作成果的力度均需加强。</w:t>
      </w:r>
      <w:bookmarkStart w:id="0" w:name="_GoBack"/>
      <w:bookmarkEnd w:id="0"/>
    </w:p>
    <w:p w14:paraId="31CEE5AE">
      <w:pPr>
        <w:numPr>
          <w:ilvl w:val="0"/>
          <w:numId w:val="0"/>
        </w:numPr>
        <w:ind w:firstLine="643" w:firstLineChars="200"/>
        <w:jc w:val="both"/>
        <w:rPr>
          <w:rFonts w:hint="eastAsia"/>
        </w:rPr>
      </w:pPr>
      <w:r>
        <w:rPr>
          <w:rFonts w:hint="eastAsia" w:ascii="仿宋" w:hAnsi="仿宋" w:eastAsia="仿宋" w:cs="仿宋"/>
          <w:b/>
          <w:bCs/>
          <w:i w:val="0"/>
          <w:iCs w:val="0"/>
          <w:caps w:val="0"/>
          <w:color w:val="000000"/>
          <w:spacing w:val="0"/>
          <w:sz w:val="32"/>
          <w:szCs w:val="32"/>
          <w:shd w:val="clear" w:fill="FFFFFF"/>
          <w:lang w:eastAsia="zh-CN"/>
        </w:rPr>
        <w:t>（</w:t>
      </w:r>
      <w:r>
        <w:rPr>
          <w:rFonts w:hint="eastAsia" w:ascii="仿宋" w:hAnsi="仿宋" w:eastAsia="仿宋" w:cs="仿宋"/>
          <w:b/>
          <w:bCs/>
          <w:i w:val="0"/>
          <w:iCs w:val="0"/>
          <w:caps w:val="0"/>
          <w:color w:val="000000"/>
          <w:spacing w:val="0"/>
          <w:sz w:val="32"/>
          <w:szCs w:val="32"/>
          <w:shd w:val="clear" w:fill="FFFFFF"/>
          <w:lang w:val="en-US" w:eastAsia="zh-CN"/>
        </w:rPr>
        <w:t>二）</w:t>
      </w:r>
      <w:r>
        <w:rPr>
          <w:rFonts w:hint="eastAsia" w:ascii="仿宋" w:hAnsi="仿宋" w:eastAsia="仿宋" w:cs="仿宋"/>
          <w:b/>
          <w:bCs/>
          <w:sz w:val="32"/>
          <w:szCs w:val="32"/>
        </w:rPr>
        <w:t>行政执法人员编制不足</w:t>
      </w:r>
      <w:r>
        <w:rPr>
          <w:rFonts w:hint="eastAsia" w:ascii="仿宋" w:hAnsi="仿宋" w:eastAsia="仿宋" w:cs="仿宋"/>
          <w:b w:val="0"/>
          <w:bCs w:val="0"/>
          <w:sz w:val="32"/>
          <w:szCs w:val="32"/>
          <w:lang w:eastAsia="zh-CN"/>
        </w:rPr>
        <w:t>。</w:t>
      </w:r>
      <w:r>
        <w:rPr>
          <w:rFonts w:hint="eastAsia" w:ascii="仿宋" w:hAnsi="仿宋" w:eastAsia="仿宋" w:cs="仿宋"/>
          <w:b w:val="0"/>
          <w:bCs w:val="0"/>
          <w:sz w:val="32"/>
          <w:szCs w:val="32"/>
        </w:rPr>
        <w:t>专业人才短缺，执法能力有待提升。</w:t>
      </w:r>
      <w:r>
        <w:rPr>
          <w:rFonts w:hint="eastAsia" w:ascii="仿宋" w:hAnsi="仿宋" w:eastAsia="仿宋" w:cs="仿宋"/>
          <w:b w:val="0"/>
          <w:bCs w:val="0"/>
          <w:sz w:val="32"/>
          <w:szCs w:val="32"/>
          <w:lang w:val="en-US" w:eastAsia="zh-CN"/>
        </w:rPr>
        <w:t>例如，</w:t>
      </w:r>
      <w:r>
        <w:rPr>
          <w:rFonts w:hint="eastAsia" w:ascii="仿宋" w:hAnsi="仿宋" w:eastAsia="仿宋" w:cs="仿宋"/>
          <w:b w:val="0"/>
          <w:bCs w:val="0"/>
          <w:sz w:val="32"/>
          <w:szCs w:val="32"/>
        </w:rPr>
        <w:t>部分新就业形态、复杂劳动关系和隐蔽性较强的违法行为对监察人员的专业素养、法律知识及调查取证能力等提出了更高的要求</w:t>
      </w:r>
      <w:r>
        <w:rPr>
          <w:rFonts w:hint="eastAsia" w:ascii="仿宋" w:hAnsi="仿宋" w:eastAsia="仿宋" w:cs="仿宋"/>
          <w:b w:val="0"/>
          <w:bCs w:val="0"/>
          <w:sz w:val="32"/>
          <w:szCs w:val="32"/>
          <w:lang w:eastAsia="zh-CN"/>
        </w:rPr>
        <w:t>。</w:t>
      </w:r>
    </w:p>
    <w:p w14:paraId="2DC15FDF">
      <w:pPr>
        <w:numPr>
          <w:ilvl w:val="0"/>
          <w:numId w:val="3"/>
        </w:numPr>
        <w:ind w:firstLine="643" w:firstLineChars="200"/>
        <w:jc w:val="both"/>
        <w:rPr>
          <w:rFonts w:hint="eastAsia"/>
          <w:b/>
          <w:bCs/>
          <w:sz w:val="32"/>
          <w:szCs w:val="32"/>
        </w:rPr>
      </w:pPr>
      <w:r>
        <w:rPr>
          <w:rFonts w:hint="eastAsia"/>
          <w:b/>
          <w:bCs/>
          <w:sz w:val="32"/>
          <w:szCs w:val="32"/>
        </w:rPr>
        <w:t>下步工作建议及打算</w:t>
      </w:r>
    </w:p>
    <w:p w14:paraId="1052BC0A">
      <w:pPr>
        <w:numPr>
          <w:ilvl w:val="0"/>
          <w:numId w:val="4"/>
        </w:numPr>
        <w:ind w:firstLine="643" w:firstLineChars="200"/>
        <w:jc w:val="both"/>
        <w:rPr>
          <w:rFonts w:hint="eastAsia" w:ascii="仿宋" w:hAnsi="仿宋" w:eastAsia="仿宋" w:cs="仿宋"/>
          <w:b w:val="0"/>
          <w:bCs w:val="0"/>
          <w:sz w:val="32"/>
          <w:szCs w:val="32"/>
        </w:rPr>
      </w:pPr>
      <w:r>
        <w:rPr>
          <w:rFonts w:hint="eastAsia" w:ascii="仿宋" w:hAnsi="仿宋" w:eastAsia="仿宋" w:cs="仿宋"/>
          <w:b/>
          <w:bCs/>
          <w:sz w:val="32"/>
          <w:szCs w:val="32"/>
        </w:rPr>
        <w:t>继续深入学习贯彻习近平法治思想</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不断提升领导干部运用法治思维和法治方式推动人社工作的本领。</w:t>
      </w:r>
      <w:r>
        <w:rPr>
          <w:rFonts w:hint="eastAsia" w:ascii="仿宋" w:hAnsi="仿宋" w:eastAsia="仿宋" w:cs="仿宋"/>
          <w:b w:val="0"/>
          <w:bCs w:val="0"/>
          <w:sz w:val="32"/>
          <w:szCs w:val="32"/>
          <w:lang w:val="en-US" w:eastAsia="zh-CN"/>
        </w:rPr>
        <w:t>继续</w:t>
      </w:r>
      <w:r>
        <w:rPr>
          <w:rFonts w:hint="eastAsia" w:ascii="仿宋" w:hAnsi="仿宋" w:eastAsia="仿宋" w:cs="仿宋"/>
          <w:b w:val="0"/>
          <w:bCs w:val="0"/>
          <w:sz w:val="32"/>
          <w:szCs w:val="32"/>
        </w:rPr>
        <w:t>强化法治教育培训，重点加强对领导干部和一线执法人员的培训，增加案例教学、模拟执法等实践性内容，鼓励干部职工参加国家统一法律职业资格考试。围绕人社领域热点难点问题，创新普法形式，充分利用新媒体平台开展精准普法，不断提升普法实效。</w:t>
      </w:r>
    </w:p>
    <w:p w14:paraId="3A58B5A9">
      <w:pPr>
        <w:numPr>
          <w:ilvl w:val="0"/>
          <w:numId w:val="4"/>
        </w:numPr>
        <w:ind w:firstLine="643" w:firstLineChars="200"/>
        <w:jc w:val="both"/>
        <w:rPr>
          <w:rFonts w:hint="eastAsia" w:ascii="仿宋" w:hAnsi="仿宋" w:eastAsia="仿宋" w:cs="仿宋"/>
          <w:b w:val="0"/>
          <w:bCs w:val="0"/>
          <w:sz w:val="32"/>
          <w:szCs w:val="32"/>
        </w:rPr>
      </w:pPr>
      <w:r>
        <w:rPr>
          <w:rFonts w:hint="eastAsia" w:ascii="仿宋" w:hAnsi="仿宋" w:eastAsia="仿宋" w:cs="仿宋"/>
          <w:b/>
          <w:bCs/>
          <w:sz w:val="32"/>
          <w:szCs w:val="32"/>
        </w:rPr>
        <w:t>进一步规范执法行为</w:t>
      </w:r>
      <w:r>
        <w:rPr>
          <w:rFonts w:hint="eastAsia" w:ascii="仿宋" w:hAnsi="仿宋" w:eastAsia="仿宋" w:cs="仿宋"/>
          <w:b/>
          <w:bCs/>
          <w:sz w:val="32"/>
          <w:szCs w:val="32"/>
          <w:lang w:eastAsia="zh-CN"/>
        </w:rPr>
        <w:t>，锻造专业化法治队伍</w:t>
      </w:r>
      <w:r>
        <w:rPr>
          <w:rFonts w:hint="eastAsia" w:ascii="仿宋" w:hAnsi="仿宋" w:eastAsia="仿宋" w:cs="仿宋"/>
          <w:b/>
          <w:bCs/>
          <w:sz w:val="32"/>
          <w:szCs w:val="32"/>
        </w:rPr>
        <w:t>。</w:t>
      </w:r>
      <w:r>
        <w:rPr>
          <w:rFonts w:hint="eastAsia" w:ascii="仿宋" w:hAnsi="仿宋" w:eastAsia="仿宋" w:cs="仿宋"/>
          <w:b w:val="0"/>
          <w:bCs w:val="0"/>
          <w:sz w:val="32"/>
          <w:szCs w:val="32"/>
        </w:rPr>
        <w:t>加强行政执法监督，将规范行政执法作为法治政府建设的重要工作来抓，加大行政执法案卷评查的力度，及时指出和纠正不当行政执法行为。</w:t>
      </w:r>
      <w:r>
        <w:rPr>
          <w:rFonts w:hint="eastAsia" w:ascii="仿宋" w:hAnsi="仿宋" w:eastAsia="仿宋" w:cs="仿宋"/>
          <w:b w:val="0"/>
          <w:bCs w:val="0"/>
          <w:sz w:val="32"/>
          <w:szCs w:val="32"/>
          <w:lang w:val="en-US" w:eastAsia="zh-CN"/>
        </w:rPr>
        <w:t xml:space="preserve">探索建立“理论+案件+实践”三位一体学习机制，开展专题培训，组织案例研讨、模拟法庭等实战化训练。聚焦党风廉政、资金管理等重点内容开展普法培训，全面提升工作人员法治素养与业务能力。  </w:t>
      </w:r>
    </w:p>
    <w:p w14:paraId="39F0E9A2">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textAlignment w:val="baseline"/>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（三）进一步提升普法宣传的成效。</w:t>
      </w:r>
      <w:r>
        <w:rPr>
          <w:rFonts w:hint="eastAsia" w:ascii="仿宋" w:hAnsi="仿宋" w:eastAsia="仿宋" w:cs="仿宋"/>
          <w:b w:val="0"/>
          <w:bCs w:val="0"/>
          <w:kern w:val="2"/>
          <w:sz w:val="32"/>
          <w:szCs w:val="32"/>
          <w:lang w:val="en-US" w:eastAsia="zh-CN" w:bidi="ar-SA"/>
        </w:rPr>
        <w:t>继续推进法治化营商环境建设，落实“谁执法、谁普法”普法责任制，积极开展互动式、精准式普法宣传，推动法治理念入脑入心，进一步增强人社普法宣传的影响力，有效营造尊法学法守法用法良好氛围。充分发挥人社系统各科室的作用，将普法渗透到执法和服务全过程，不断扩大法治宣传教育的深度和广度。</w:t>
      </w:r>
    </w:p>
    <w:p w14:paraId="2CE437A9">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firstLine="643" w:firstLineChars="2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bCs/>
          <w:kern w:val="2"/>
          <w:sz w:val="32"/>
          <w:szCs w:val="32"/>
          <w:lang w:val="en-US" w:eastAsia="zh-CN" w:bidi="ar-SA"/>
        </w:rPr>
        <w:t>（四）在着力化解矛盾纠纷上再见实效。</w:t>
      </w:r>
      <w:r>
        <w:rPr>
          <w:rFonts w:hint="eastAsia" w:ascii="仿宋" w:hAnsi="仿宋" w:eastAsia="仿宋" w:cs="仿宋"/>
          <w:b w:val="0"/>
          <w:bCs w:val="0"/>
          <w:kern w:val="2"/>
          <w:sz w:val="32"/>
          <w:szCs w:val="32"/>
          <w:lang w:val="en-US" w:eastAsia="zh-CN" w:bidi="ar-SA"/>
        </w:rPr>
        <w:t>不断健全劳动人事争议矛盾多元预防、调处、化解综合机制，进一步加强调解组织建设，推动劳动争议调解工作向基层延伸，提升调解专业化水平及调解成功率。不断完善“线上+线下”一体化维权服务体系，提升投诉举报处理的数字化水平和联动处置效率，确保劳动者维权渠道持续畅通、诉求得到及时响应。深化与区法院、公安、建管委等部门的联动协作，健全群体性纠纷预防和快速处置机制。推动建立新就业形态劳动者的常态化协商沟通机制。深化裁审衔接，统一法律适用标准，打好矛盾纠纷源头治理“组合拳”。</w:t>
      </w:r>
    </w:p>
    <w:p w14:paraId="481D3A51">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jc w:val="both"/>
        <w:rPr>
          <w:rFonts w:hint="eastAsia" w:ascii="仿宋" w:hAnsi="仿宋" w:eastAsia="仿宋" w:cs="仿宋"/>
          <w:b w:val="0"/>
          <w:bCs w:val="0"/>
          <w:kern w:val="2"/>
          <w:sz w:val="32"/>
          <w:szCs w:val="32"/>
          <w:lang w:val="en-US" w:eastAsia="zh-CN" w:bidi="ar-SA"/>
        </w:rPr>
      </w:pPr>
    </w:p>
    <w:p w14:paraId="3EBEC75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firstLine="640" w:firstLineChars="200"/>
        <w:jc w:val="both"/>
        <w:rPr>
          <w:rFonts w:hint="eastAsia" w:ascii="仿宋" w:hAnsi="仿宋" w:eastAsia="仿宋" w:cs="仿宋"/>
          <w:b w:val="0"/>
          <w:bCs w:val="0"/>
          <w:kern w:val="2"/>
          <w:sz w:val="32"/>
          <w:szCs w:val="32"/>
          <w:lang w:val="en-US" w:eastAsia="zh-CN" w:bidi="ar-SA"/>
        </w:rPr>
      </w:pPr>
    </w:p>
    <w:p w14:paraId="556C0F6C">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firstLine="640" w:firstLineChars="200"/>
        <w:jc w:val="both"/>
        <w:rPr>
          <w:rFonts w:hint="eastAsia" w:ascii="仿宋" w:hAnsi="仿宋" w:eastAsia="仿宋" w:cs="仿宋"/>
          <w:b w:val="0"/>
          <w:bCs w:val="0"/>
          <w:kern w:val="2"/>
          <w:sz w:val="32"/>
          <w:szCs w:val="32"/>
          <w:lang w:val="en-US" w:eastAsia="zh-CN" w:bidi="ar-SA"/>
        </w:rPr>
      </w:pPr>
    </w:p>
    <w:p w14:paraId="38230BC8">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firstLine="3520" w:firstLineChars="1100"/>
        <w:jc w:val="both"/>
        <w:rPr>
          <w:rFonts w:hint="eastAsia"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桐柏县人力资源和社会保障局</w:t>
      </w:r>
    </w:p>
    <w:p w14:paraId="73475FE7">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04" w:lineRule="atLeast"/>
        <w:ind w:right="0" w:firstLine="4160" w:firstLineChars="1300"/>
        <w:jc w:val="both"/>
        <w:rPr>
          <w:rFonts w:hint="default" w:ascii="仿宋" w:hAnsi="仿宋" w:eastAsia="仿宋" w:cs="仿宋"/>
          <w:b w:val="0"/>
          <w:bCs w:val="0"/>
          <w:kern w:val="2"/>
          <w:sz w:val="32"/>
          <w:szCs w:val="32"/>
          <w:lang w:val="en-US" w:eastAsia="zh-CN" w:bidi="ar-SA"/>
        </w:rPr>
      </w:pPr>
      <w:r>
        <w:rPr>
          <w:rFonts w:hint="eastAsia" w:ascii="仿宋" w:hAnsi="仿宋" w:eastAsia="仿宋" w:cs="仿宋"/>
          <w:b w:val="0"/>
          <w:bCs w:val="0"/>
          <w:kern w:val="2"/>
          <w:sz w:val="32"/>
          <w:szCs w:val="32"/>
          <w:lang w:val="en-US" w:eastAsia="zh-CN" w:bidi="ar-SA"/>
        </w:rPr>
        <w:t>2025年12月3日</w:t>
      </w:r>
    </w:p>
    <w:p w14:paraId="457F1A3F">
      <w:pPr>
        <w:jc w:val="both"/>
        <w:rPr>
          <w:rFonts w:hint="eastAsia" w:ascii="仿宋" w:hAnsi="仿宋" w:eastAsia="仿宋" w:cs="仿宋"/>
          <w:b w:val="0"/>
          <w:bCs w:val="0"/>
          <w:kern w:val="2"/>
          <w:sz w:val="32"/>
          <w:szCs w:val="32"/>
          <w:lang w:val="en-US" w:eastAsia="zh-CN" w:bidi="ar-SA"/>
        </w:rPr>
      </w:pPr>
    </w:p>
    <w:p w14:paraId="1BB2EBD1">
      <w:pPr>
        <w:pStyle w:val="2"/>
        <w:jc w:val="both"/>
        <w:rPr>
          <w:rFonts w:hint="eastAsia" w:ascii="仿宋" w:hAnsi="仿宋" w:eastAsia="仿宋" w:cs="仿宋"/>
          <w:sz w:val="32"/>
          <w:szCs w:val="32"/>
          <w:lang w:val="en-US" w:eastAsia="zh-CN"/>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772AD">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300A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02300A4">
                    <w:pPr>
                      <w:pStyle w:val="4"/>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40AF45"/>
    <w:multiLevelType w:val="singleLevel"/>
    <w:tmpl w:val="8440AF45"/>
    <w:lvl w:ilvl="0" w:tentative="0">
      <w:start w:val="8"/>
      <w:numFmt w:val="chineseCounting"/>
      <w:suff w:val="nothing"/>
      <w:lvlText w:val="（%1）"/>
      <w:lvlJc w:val="left"/>
      <w:rPr>
        <w:rFonts w:hint="eastAsia"/>
      </w:rPr>
    </w:lvl>
  </w:abstractNum>
  <w:abstractNum w:abstractNumId="1">
    <w:nsid w:val="DB5CB0BC"/>
    <w:multiLevelType w:val="singleLevel"/>
    <w:tmpl w:val="DB5CB0BC"/>
    <w:lvl w:ilvl="0" w:tentative="0">
      <w:start w:val="1"/>
      <w:numFmt w:val="chineseCounting"/>
      <w:suff w:val="nothing"/>
      <w:lvlText w:val="（%1）"/>
      <w:lvlJc w:val="left"/>
      <w:rPr>
        <w:rFonts w:hint="eastAsia"/>
      </w:rPr>
    </w:lvl>
  </w:abstractNum>
  <w:abstractNum w:abstractNumId="2">
    <w:nsid w:val="6B42B0A3"/>
    <w:multiLevelType w:val="singleLevel"/>
    <w:tmpl w:val="6B42B0A3"/>
    <w:lvl w:ilvl="0" w:tentative="0">
      <w:start w:val="2"/>
      <w:numFmt w:val="chineseCounting"/>
      <w:suff w:val="nothing"/>
      <w:lvlText w:val="%1、"/>
      <w:lvlJc w:val="left"/>
      <w:rPr>
        <w:rFonts w:hint="eastAsia"/>
      </w:rPr>
    </w:lvl>
  </w:abstractNum>
  <w:abstractNum w:abstractNumId="3">
    <w:nsid w:val="73DBB21F"/>
    <w:multiLevelType w:val="singleLevel"/>
    <w:tmpl w:val="73DBB21F"/>
    <w:lvl w:ilvl="0" w:tentative="0">
      <w:start w:val="3"/>
      <w:numFmt w:val="chineseCounting"/>
      <w:suff w:val="nothing"/>
      <w:lvlText w:val="%1、"/>
      <w:lvlJc w:val="left"/>
      <w:rPr>
        <w:rFonts w:hint="eastAsia"/>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C63378"/>
    <w:rsid w:val="11521663"/>
    <w:rsid w:val="3D86631D"/>
    <w:rsid w:val="3DD60F75"/>
    <w:rsid w:val="4C8B401E"/>
    <w:rsid w:val="7FBD70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4437</Words>
  <Characters>4597</Characters>
  <Lines>0</Lines>
  <Paragraphs>0</Paragraphs>
  <TotalTime>0</TotalTime>
  <ScaleCrop>false</ScaleCrop>
  <LinksUpToDate>false</LinksUpToDate>
  <CharactersWithSpaces>4602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2025-12-05T00:44:00Z</dcterms:created>
  <dc:creator>Administrator</dc:creator>
  <cp:lastModifiedBy>彦羽</cp:lastModifiedBy>
  <cp:lastPrinted>2025-12-05T01:34:00Z</cp:lastPrinted>
  <dcterms:modified xsi:type="dcterms:W3CDTF">2025-12-08T08:46:32Z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eyJoZGlkIjoiYmVjM2NjN2Y4YmRkNzFlOGI4YTJiOWUxOGY2OGJiMDkiLCJ1c2VySWQiOiI5MDExODEyMTAifQ==</vt:lpwstr>
  </property>
  <property fmtid="{D5CDD505-2E9C-101B-9397-08002B2CF9AE}" pid="4" name="ICV">
    <vt:lpwstr>A8E604745F6C4C77A60BF7380A626E65_12</vt:lpwstr>
  </property>
</Properties>
</file>