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87E07">
      <w:pPr>
        <w:rPr>
          <w:rFonts w:hint="eastAsia"/>
          <w:lang w:val="en-US" w:eastAsia="zh-CN"/>
        </w:rPr>
      </w:pPr>
    </w:p>
    <w:p w14:paraId="6645CB89">
      <w:pPr>
        <w:keepNext w:val="0"/>
        <w:keepLines w:val="0"/>
        <w:pageBreakBefore w:val="0"/>
        <w:widowControl w:val="0"/>
        <w:kinsoku/>
        <w:wordWrap/>
        <w:overflowPunct/>
        <w:topLinePunct w:val="0"/>
        <w:autoSpaceDE/>
        <w:autoSpaceDN/>
        <w:bidi w:val="0"/>
        <w:adjustRightInd/>
        <w:snapToGrid/>
        <w:spacing w:before="240"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桐柏县</w:t>
      </w:r>
      <w:r>
        <w:rPr>
          <w:rFonts w:hint="eastAsia" w:ascii="方正小标宋简体" w:hAnsi="方正小标宋简体" w:eastAsia="方正小标宋简体" w:cs="方正小标宋简体"/>
          <w:color w:val="auto"/>
          <w:sz w:val="44"/>
          <w:szCs w:val="44"/>
          <w:lang w:val="en-US" w:eastAsia="zh-CN"/>
        </w:rPr>
        <w:t>工业和信息化</w:t>
      </w:r>
      <w:r>
        <w:rPr>
          <w:rFonts w:hint="eastAsia" w:ascii="方正小标宋简体" w:hAnsi="方正小标宋简体" w:eastAsia="方正小标宋简体" w:cs="方正小标宋简体"/>
          <w:color w:val="auto"/>
          <w:sz w:val="44"/>
          <w:szCs w:val="44"/>
        </w:rPr>
        <w:t>局</w:t>
      </w:r>
    </w:p>
    <w:p w14:paraId="2E7A28DD">
      <w:pPr>
        <w:keepNext w:val="0"/>
        <w:keepLines w:val="0"/>
        <w:pageBreakBefore w:val="0"/>
        <w:widowControl w:val="0"/>
        <w:kinsoku/>
        <w:wordWrap/>
        <w:overflowPunct/>
        <w:topLinePunct w:val="0"/>
        <w:autoSpaceDE/>
        <w:autoSpaceDN/>
        <w:bidi w:val="0"/>
        <w:adjustRightInd/>
        <w:snapToGrid/>
        <w:spacing w:before="240"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年度法治</w:t>
      </w:r>
      <w:r>
        <w:rPr>
          <w:rFonts w:hint="eastAsia" w:ascii="方正小标宋简体" w:hAnsi="方正小标宋简体" w:eastAsia="方正小标宋简体" w:cs="方正小标宋简体"/>
          <w:color w:val="auto"/>
          <w:sz w:val="44"/>
          <w:szCs w:val="44"/>
          <w:lang w:val="en-US" w:eastAsia="zh-CN"/>
        </w:rPr>
        <w:t>执法</w:t>
      </w:r>
      <w:r>
        <w:rPr>
          <w:rFonts w:hint="eastAsia" w:ascii="方正小标宋简体" w:hAnsi="方正小标宋简体" w:eastAsia="方正小标宋简体" w:cs="方正小标宋简体"/>
          <w:color w:val="auto"/>
          <w:sz w:val="44"/>
          <w:szCs w:val="44"/>
        </w:rPr>
        <w:t>建设</w:t>
      </w:r>
      <w:r>
        <w:rPr>
          <w:rFonts w:hint="eastAsia" w:ascii="方正小标宋简体" w:hAnsi="方正小标宋简体" w:eastAsia="方正小标宋简体" w:cs="方正小标宋简体"/>
          <w:color w:val="auto"/>
          <w:sz w:val="44"/>
          <w:szCs w:val="44"/>
          <w:lang w:val="en-US" w:eastAsia="zh-CN"/>
        </w:rPr>
        <w:t>情况</w:t>
      </w:r>
      <w:r>
        <w:rPr>
          <w:rFonts w:hint="eastAsia" w:ascii="方正小标宋简体" w:hAnsi="方正小标宋简体" w:eastAsia="方正小标宋简体" w:cs="方正小标宋简体"/>
          <w:color w:val="auto"/>
          <w:sz w:val="44"/>
          <w:szCs w:val="44"/>
          <w:lang w:eastAsia="zh-CN"/>
        </w:rPr>
        <w:t>的</w:t>
      </w:r>
      <w:r>
        <w:rPr>
          <w:rFonts w:hint="eastAsia" w:ascii="方正小标宋简体" w:hAnsi="方正小标宋简体" w:eastAsia="方正小标宋简体" w:cs="方正小标宋简体"/>
          <w:color w:val="auto"/>
          <w:sz w:val="44"/>
          <w:szCs w:val="44"/>
        </w:rPr>
        <w:t>报告</w:t>
      </w:r>
    </w:p>
    <w:p w14:paraId="158417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p>
    <w:p w14:paraId="170D663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1"/>
          <w:sz w:val="32"/>
          <w:szCs w:val="32"/>
          <w:shd w:val="clear" w:fill="FFFFFF"/>
        </w:rPr>
        <w:t>2025年</w:t>
      </w:r>
      <w:r>
        <w:rPr>
          <w:rFonts w:hint="eastAsia" w:ascii="仿宋_GB2312" w:hAnsi="仿宋_GB2312" w:eastAsia="仿宋_GB2312" w:cs="仿宋_GB2312"/>
          <w:i w:val="0"/>
          <w:iCs w:val="0"/>
          <w:caps w:val="0"/>
          <w:color w:val="auto"/>
          <w:spacing w:val="1"/>
          <w:sz w:val="32"/>
          <w:szCs w:val="32"/>
          <w:shd w:val="clear" w:fill="FFFFFF"/>
          <w:lang w:eastAsia="zh-CN"/>
        </w:rPr>
        <w:t>度</w:t>
      </w:r>
      <w:r>
        <w:rPr>
          <w:rFonts w:hint="eastAsia" w:ascii="仿宋_GB2312" w:hAnsi="仿宋_GB2312" w:eastAsia="仿宋_GB2312" w:cs="仿宋_GB2312"/>
          <w:i w:val="0"/>
          <w:iCs w:val="0"/>
          <w:caps w:val="0"/>
          <w:color w:val="auto"/>
          <w:spacing w:val="1"/>
          <w:sz w:val="32"/>
          <w:szCs w:val="32"/>
          <w:shd w:val="clear" w:fill="FFFFFF"/>
        </w:rPr>
        <w:t>，桐柏县工业和信息化局坚持以习近平新时代中国特色社会主义思想为指导，深入学习贯彻党的二十大</w:t>
      </w:r>
      <w:r>
        <w:rPr>
          <w:rFonts w:hint="eastAsia" w:ascii="仿宋_GB2312" w:hAnsi="仿宋_GB2312" w:eastAsia="仿宋_GB2312" w:cs="仿宋_GB2312"/>
          <w:i w:val="0"/>
          <w:iCs w:val="0"/>
          <w:caps w:val="0"/>
          <w:color w:val="auto"/>
          <w:spacing w:val="1"/>
          <w:sz w:val="32"/>
          <w:szCs w:val="32"/>
          <w:shd w:val="clear" w:fill="FFFFFF"/>
          <w:lang w:eastAsia="zh-CN"/>
        </w:rPr>
        <w:t>四</w:t>
      </w:r>
      <w:r>
        <w:rPr>
          <w:rFonts w:hint="eastAsia" w:ascii="仿宋_GB2312" w:hAnsi="仿宋_GB2312" w:eastAsia="仿宋_GB2312" w:cs="仿宋_GB2312"/>
          <w:i w:val="0"/>
          <w:iCs w:val="0"/>
          <w:caps w:val="0"/>
          <w:color w:val="auto"/>
          <w:spacing w:val="1"/>
          <w:sz w:val="32"/>
          <w:szCs w:val="32"/>
          <w:shd w:val="clear" w:fill="FFFFFF"/>
          <w:lang w:val="en-US" w:eastAsia="zh-CN"/>
        </w:rPr>
        <w:t>中全会</w:t>
      </w:r>
      <w:r>
        <w:rPr>
          <w:rFonts w:hint="eastAsia" w:ascii="仿宋_GB2312" w:hAnsi="仿宋_GB2312" w:eastAsia="仿宋_GB2312" w:cs="仿宋_GB2312"/>
          <w:i w:val="0"/>
          <w:iCs w:val="0"/>
          <w:caps w:val="0"/>
          <w:color w:val="auto"/>
          <w:spacing w:val="1"/>
          <w:sz w:val="32"/>
          <w:szCs w:val="32"/>
          <w:shd w:val="clear" w:fill="FFFFFF"/>
        </w:rPr>
        <w:t>精神和习近平法治思想，全面贯彻落实党中央、国务院关于法治建设的决策部署及省、市、县工作要求，在县委、县政府和县委依法治县委员会的坚强领导下，紧紧围绕工业和信息化中心工作，扎实推进法治建设各项任务落地见效。现将</w:t>
      </w:r>
      <w:r>
        <w:rPr>
          <w:rFonts w:hint="eastAsia" w:ascii="仿宋_GB2312" w:hAnsi="仿宋_GB2312" w:eastAsia="仿宋_GB2312" w:cs="仿宋_GB2312"/>
          <w:i w:val="0"/>
          <w:iCs w:val="0"/>
          <w:caps w:val="0"/>
          <w:color w:val="auto"/>
          <w:spacing w:val="1"/>
          <w:sz w:val="32"/>
          <w:szCs w:val="32"/>
          <w:shd w:val="clear" w:fill="FFFFFF"/>
          <w:lang w:eastAsia="zh-CN"/>
        </w:rPr>
        <w:t>工信</w:t>
      </w:r>
      <w:r>
        <w:rPr>
          <w:rFonts w:hint="eastAsia" w:ascii="仿宋_GB2312" w:hAnsi="仿宋_GB2312" w:eastAsia="仿宋_GB2312" w:cs="仿宋_GB2312"/>
          <w:i w:val="0"/>
          <w:iCs w:val="0"/>
          <w:caps w:val="0"/>
          <w:color w:val="auto"/>
          <w:spacing w:val="1"/>
          <w:sz w:val="32"/>
          <w:szCs w:val="32"/>
          <w:shd w:val="clear" w:fill="FFFFFF"/>
        </w:rPr>
        <w:t>局2025年度法治建设工作总结如下：</w:t>
      </w:r>
    </w:p>
    <w:p w14:paraId="14FB27B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宋体" w:hAnsi="宋体" w:eastAsia="宋体" w:cs="宋体"/>
          <w:b/>
          <w:bCs/>
          <w:color w:val="auto"/>
          <w:sz w:val="32"/>
          <w:szCs w:val="32"/>
        </w:rPr>
        <w:t>主要开展工作及成效</w:t>
      </w:r>
    </w:p>
    <w:p w14:paraId="62A908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（一）压实组织领导，筑牢法治根基</w:t>
      </w:r>
    </w:p>
    <w:p w14:paraId="40CB86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局主要负责人高度重视法治建设工作，认真落实《党政主要负责人履行推进法治建设第一责任人职责规定》，用法治给行政权力定规矩、划界限，列入重要议事日程，同工信工作、党建工作同部署、同推进、同落实、同检查。</w:t>
      </w:r>
      <w:r>
        <w:rPr>
          <w:rFonts w:hint="eastAsia" w:ascii="仿宋_GB2312" w:hAnsi="仿宋_GB2312" w:eastAsia="仿宋_GB2312" w:cs="仿宋_GB2312"/>
          <w:color w:val="auto"/>
          <w:sz w:val="32"/>
          <w:szCs w:val="32"/>
          <w:lang w:val="en-US" w:eastAsia="zh-CN"/>
        </w:rPr>
        <w:t>根据机关人事变动实际，及时调整桐柏县工信局法治建设工作领导小组，构建由“一把手”任组长，履行第一责任人职责，各班子成员为副组长、各科室负责人为成员，全局上下团结协作、齐抓共管的法治建设工作机制。</w:t>
      </w:r>
    </w:p>
    <w:p w14:paraId="62A53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二）深化法治学习，提升思想认识</w:t>
      </w:r>
    </w:p>
    <w:p w14:paraId="79F02C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default" w:ascii="仿宋_GB2312" w:hAnsi="仿宋_GB2312" w:eastAsia="仿宋_GB2312" w:cs="仿宋_GB2312"/>
          <w:b/>
          <w:bCs/>
          <w:i w:val="0"/>
          <w:iCs w:val="0"/>
          <w:caps w:val="0"/>
          <w:color w:val="auto"/>
          <w:spacing w:val="0"/>
          <w:sz w:val="32"/>
          <w:szCs w:val="32"/>
          <w:shd w:val="clear" w:fill="FFFFFF"/>
          <w:lang w:val="en-US" w:eastAsia="zh-CN"/>
        </w:rPr>
        <w:t>一是深化法治思想学习贯彻。</w:t>
      </w:r>
      <w:r>
        <w:rPr>
          <w:rFonts w:hint="eastAsia" w:ascii="仿宋_GB2312" w:hAnsi="仿宋_GB2312" w:eastAsia="仿宋_GB2312" w:cs="仿宋_GB2312"/>
          <w:i w:val="0"/>
          <w:iCs w:val="0"/>
          <w:caps w:val="0"/>
          <w:color w:val="auto"/>
          <w:spacing w:val="0"/>
          <w:sz w:val="32"/>
          <w:szCs w:val="32"/>
          <w:shd w:val="clear" w:fill="FFFFFF"/>
          <w:lang w:val="en-US" w:eastAsia="zh-CN"/>
        </w:rPr>
        <w:t>通过</w:t>
      </w:r>
      <w:r>
        <w:rPr>
          <w:rFonts w:hint="default" w:ascii="仿宋_GB2312" w:hAnsi="仿宋_GB2312" w:eastAsia="仿宋_GB2312" w:cs="仿宋_GB2312"/>
          <w:i w:val="0"/>
          <w:iCs w:val="0"/>
          <w:caps w:val="0"/>
          <w:color w:val="auto"/>
          <w:spacing w:val="0"/>
          <w:sz w:val="32"/>
          <w:szCs w:val="32"/>
          <w:shd w:val="clear" w:fill="FFFFFF"/>
          <w:lang w:val="en-US" w:eastAsia="zh-CN"/>
        </w:rPr>
        <w:t>制定专项学习计划，将习近平法治思想、《中华人民共和国宪法》《</w:t>
      </w:r>
      <w:r>
        <w:rPr>
          <w:rFonts w:hint="eastAsia" w:ascii="仿宋_GB2312" w:hAnsi="仿宋_GB2312" w:eastAsia="仿宋_GB2312" w:cs="仿宋_GB2312"/>
          <w:i w:val="0"/>
          <w:iCs w:val="0"/>
          <w:caps w:val="0"/>
          <w:color w:val="auto"/>
          <w:spacing w:val="0"/>
          <w:sz w:val="32"/>
          <w:szCs w:val="32"/>
          <w:shd w:val="clear" w:fill="FFFFFF"/>
          <w:lang w:val="en-US" w:eastAsia="zh-CN"/>
        </w:rPr>
        <w:t>中华人民共和国法治宣传教育法</w:t>
      </w:r>
      <w:r>
        <w:rPr>
          <w:rFonts w:hint="default" w:ascii="仿宋_GB2312" w:hAnsi="仿宋_GB2312" w:eastAsia="仿宋_GB2312" w:cs="仿宋_GB2312"/>
          <w:i w:val="0"/>
          <w:iCs w:val="0"/>
          <w:caps w:val="0"/>
          <w:color w:val="auto"/>
          <w:spacing w:val="0"/>
          <w:sz w:val="32"/>
          <w:szCs w:val="32"/>
          <w:shd w:val="clear" w:fill="FFFFFF"/>
          <w:lang w:val="en-US" w:eastAsia="zh-CN"/>
        </w:rPr>
        <w:t>》等法律法规纳入局党组理论学习中心组年度学习清单，上半年</w:t>
      </w:r>
      <w:r>
        <w:rPr>
          <w:rFonts w:hint="eastAsia" w:ascii="仿宋_GB2312" w:hAnsi="仿宋_GB2312" w:eastAsia="仿宋_GB2312" w:cs="仿宋_GB2312"/>
          <w:i w:val="0"/>
          <w:iCs w:val="0"/>
          <w:caps w:val="0"/>
          <w:color w:val="auto"/>
          <w:spacing w:val="0"/>
          <w:sz w:val="32"/>
          <w:szCs w:val="32"/>
          <w:shd w:val="clear" w:fill="FFFFFF"/>
          <w:lang w:val="en-US" w:eastAsia="zh-CN"/>
        </w:rPr>
        <w:t>共</w:t>
      </w:r>
      <w:r>
        <w:rPr>
          <w:rFonts w:hint="default" w:ascii="仿宋_GB2312" w:hAnsi="仿宋_GB2312" w:eastAsia="仿宋_GB2312" w:cs="仿宋_GB2312"/>
          <w:i w:val="0"/>
          <w:iCs w:val="0"/>
          <w:caps w:val="0"/>
          <w:color w:val="auto"/>
          <w:spacing w:val="0"/>
          <w:sz w:val="32"/>
          <w:szCs w:val="32"/>
          <w:shd w:val="clear" w:fill="FFFFFF"/>
          <w:lang w:val="en-US" w:eastAsia="zh-CN"/>
        </w:rPr>
        <w:t>开展专题学习</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default" w:ascii="仿宋_GB2312" w:hAnsi="仿宋_GB2312" w:eastAsia="仿宋_GB2312" w:cs="仿宋_GB2312"/>
          <w:i w:val="0"/>
          <w:iCs w:val="0"/>
          <w:caps w:val="0"/>
          <w:color w:val="auto"/>
          <w:spacing w:val="0"/>
          <w:sz w:val="32"/>
          <w:szCs w:val="32"/>
          <w:shd w:val="clear" w:fill="FFFFFF"/>
          <w:lang w:val="en-US" w:eastAsia="zh-CN"/>
        </w:rPr>
        <w:t>次，集中研讨</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default" w:ascii="仿宋_GB2312" w:hAnsi="仿宋_GB2312" w:eastAsia="仿宋_GB2312" w:cs="仿宋_GB2312"/>
          <w:i w:val="0"/>
          <w:iCs w:val="0"/>
          <w:caps w:val="0"/>
          <w:color w:val="auto"/>
          <w:spacing w:val="0"/>
          <w:sz w:val="32"/>
          <w:szCs w:val="32"/>
          <w:shd w:val="clear" w:fill="FFFFFF"/>
          <w:lang w:val="en-US" w:eastAsia="zh-CN"/>
        </w:rPr>
        <w:t>场，局党组书记带头领学</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default" w:ascii="仿宋_GB2312" w:hAnsi="仿宋_GB2312" w:eastAsia="仿宋_GB2312" w:cs="仿宋_GB2312"/>
          <w:i w:val="0"/>
          <w:iCs w:val="0"/>
          <w:caps w:val="0"/>
          <w:color w:val="auto"/>
          <w:spacing w:val="0"/>
          <w:sz w:val="32"/>
          <w:szCs w:val="32"/>
          <w:shd w:val="clear" w:fill="FFFFFF"/>
          <w:lang w:val="en-US" w:eastAsia="zh-CN"/>
        </w:rPr>
        <w:t>次，带动班子成员撰写法治学习心得</w:t>
      </w:r>
      <w:r>
        <w:rPr>
          <w:rFonts w:hint="eastAsia" w:ascii="仿宋_GB2312" w:hAnsi="仿宋_GB2312" w:eastAsia="仿宋_GB2312" w:cs="仿宋_GB2312"/>
          <w:i w:val="0"/>
          <w:iCs w:val="0"/>
          <w:caps w:val="0"/>
          <w:color w:val="auto"/>
          <w:spacing w:val="0"/>
          <w:sz w:val="32"/>
          <w:szCs w:val="32"/>
          <w:shd w:val="clear" w:fill="FFFFFF"/>
          <w:lang w:val="en-US" w:eastAsia="zh-CN"/>
        </w:rPr>
        <w:t>36</w:t>
      </w:r>
      <w:r>
        <w:rPr>
          <w:rFonts w:hint="default" w:ascii="仿宋_GB2312" w:hAnsi="仿宋_GB2312" w:eastAsia="仿宋_GB2312" w:cs="仿宋_GB2312"/>
          <w:i w:val="0"/>
          <w:iCs w:val="0"/>
          <w:caps w:val="0"/>
          <w:color w:val="auto"/>
          <w:spacing w:val="0"/>
          <w:sz w:val="32"/>
          <w:szCs w:val="32"/>
          <w:shd w:val="clear" w:fill="FFFFFF"/>
          <w:lang w:val="en-US" w:eastAsia="zh-CN"/>
        </w:rPr>
        <w:t>篇。</w:t>
      </w:r>
      <w:r>
        <w:rPr>
          <w:rFonts w:hint="default" w:ascii="仿宋_GB2312" w:hAnsi="仿宋_GB2312" w:eastAsia="仿宋_GB2312" w:cs="仿宋_GB2312"/>
          <w:b/>
          <w:bCs/>
          <w:i w:val="0"/>
          <w:iCs w:val="0"/>
          <w:caps w:val="0"/>
          <w:color w:val="auto"/>
          <w:spacing w:val="0"/>
          <w:sz w:val="32"/>
          <w:szCs w:val="32"/>
          <w:shd w:val="clear" w:fill="FFFFFF"/>
          <w:lang w:val="en-US" w:eastAsia="zh-CN"/>
        </w:rPr>
        <w:t>二是贯彻落实上级精神要求。</w:t>
      </w:r>
      <w:r>
        <w:rPr>
          <w:rFonts w:hint="default" w:ascii="仿宋_GB2312" w:hAnsi="仿宋_GB2312" w:eastAsia="仿宋_GB2312" w:cs="仿宋_GB2312"/>
          <w:i w:val="0"/>
          <w:iCs w:val="0"/>
          <w:caps w:val="0"/>
          <w:color w:val="auto"/>
          <w:spacing w:val="0"/>
          <w:sz w:val="32"/>
          <w:szCs w:val="32"/>
          <w:shd w:val="clear" w:fill="FFFFFF"/>
          <w:lang w:val="en-US" w:eastAsia="zh-CN"/>
        </w:rPr>
        <w:t>组织全局</w:t>
      </w:r>
      <w:r>
        <w:rPr>
          <w:rFonts w:hint="eastAsia" w:ascii="仿宋_GB2312" w:hAnsi="仿宋_GB2312" w:eastAsia="仿宋_GB2312" w:cs="仿宋_GB2312"/>
          <w:i w:val="0"/>
          <w:iCs w:val="0"/>
          <w:caps w:val="0"/>
          <w:color w:val="auto"/>
          <w:spacing w:val="0"/>
          <w:sz w:val="32"/>
          <w:szCs w:val="32"/>
          <w:shd w:val="clear" w:fill="FFFFFF"/>
          <w:lang w:val="en-US" w:eastAsia="zh-CN"/>
        </w:rPr>
        <w:t>42</w:t>
      </w:r>
      <w:r>
        <w:rPr>
          <w:rFonts w:hint="default" w:ascii="仿宋_GB2312" w:hAnsi="仿宋_GB2312" w:eastAsia="仿宋_GB2312" w:cs="仿宋_GB2312"/>
          <w:i w:val="0"/>
          <w:iCs w:val="0"/>
          <w:caps w:val="0"/>
          <w:color w:val="auto"/>
          <w:spacing w:val="0"/>
          <w:sz w:val="32"/>
          <w:szCs w:val="32"/>
          <w:shd w:val="clear" w:fill="FFFFFF"/>
          <w:lang w:val="en-US" w:eastAsia="zh-CN"/>
        </w:rPr>
        <w:t>名干部职工系统学习习近平总书记在河南考察时的重要讲话精神，通过集中研学、交流讨论等形式，确保全体干部职工深刻领会讲话核心要义和精神实质，切实把上级部署要求转化为推动工信领域法治建设的具体行动。</w:t>
      </w:r>
    </w:p>
    <w:p w14:paraId="21AADE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（三）聚焦关键节点，抓实法治宣传</w:t>
      </w:r>
    </w:p>
    <w:p w14:paraId="149907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一是</w:t>
      </w:r>
      <w:r>
        <w:rPr>
          <w:rFonts w:hint="default" w:ascii="仿宋_GB2312" w:hAnsi="仿宋_GB2312" w:eastAsia="仿宋_GB2312" w:cs="仿宋_GB2312"/>
          <w:i w:val="0"/>
          <w:iCs w:val="0"/>
          <w:caps w:val="0"/>
          <w:color w:val="auto"/>
          <w:spacing w:val="0"/>
          <w:sz w:val="32"/>
          <w:szCs w:val="32"/>
          <w:shd w:val="clear" w:fill="FFFFFF"/>
          <w:lang w:val="en-US" w:eastAsia="zh-CN"/>
        </w:rPr>
        <w:t>在</w:t>
      </w:r>
      <w:r>
        <w:rPr>
          <w:rFonts w:hint="eastAsia" w:ascii="仿宋_GB2312" w:hAnsi="仿宋_GB2312" w:eastAsia="仿宋_GB2312" w:cs="仿宋_GB2312"/>
          <w:i w:val="0"/>
          <w:iCs w:val="0"/>
          <w:caps w:val="0"/>
          <w:color w:val="auto"/>
          <w:spacing w:val="0"/>
          <w:sz w:val="32"/>
          <w:szCs w:val="32"/>
          <w:shd w:val="clear" w:fill="FFFFFF"/>
          <w:lang w:val="en-US" w:eastAsia="zh-CN"/>
        </w:rPr>
        <w:t>全民国家安全教育日、</w:t>
      </w:r>
      <w:r>
        <w:rPr>
          <w:rFonts w:hint="default" w:ascii="仿宋_GB2312" w:hAnsi="仿宋_GB2312" w:eastAsia="仿宋_GB2312" w:cs="仿宋_GB2312"/>
          <w:i w:val="0"/>
          <w:iCs w:val="0"/>
          <w:caps w:val="0"/>
          <w:color w:val="auto"/>
          <w:spacing w:val="0"/>
          <w:sz w:val="32"/>
          <w:szCs w:val="32"/>
          <w:shd w:val="clear" w:fill="FFFFFF"/>
          <w:lang w:val="en-US" w:eastAsia="zh-CN"/>
        </w:rPr>
        <w:t>全国防范非法集资集中宣传日</w:t>
      </w:r>
      <w:r>
        <w:rPr>
          <w:rFonts w:hint="eastAsia" w:ascii="仿宋_GB2312" w:hAnsi="仿宋_GB2312" w:eastAsia="仿宋_GB2312" w:cs="仿宋_GB2312"/>
          <w:i w:val="0"/>
          <w:iCs w:val="0"/>
          <w:caps w:val="0"/>
          <w:color w:val="auto"/>
          <w:spacing w:val="0"/>
          <w:sz w:val="32"/>
          <w:szCs w:val="32"/>
          <w:shd w:val="clear" w:fill="FFFFFF"/>
          <w:lang w:val="en-US" w:eastAsia="zh-CN"/>
        </w:rPr>
        <w:t>、国家宪法宣传周</w:t>
      </w:r>
      <w:r>
        <w:rPr>
          <w:rFonts w:hint="default" w:ascii="仿宋_GB2312" w:hAnsi="仿宋_GB2312" w:eastAsia="仿宋_GB2312" w:cs="仿宋_GB2312"/>
          <w:i w:val="0"/>
          <w:iCs w:val="0"/>
          <w:caps w:val="0"/>
          <w:color w:val="auto"/>
          <w:spacing w:val="0"/>
          <w:sz w:val="32"/>
          <w:szCs w:val="32"/>
          <w:shd w:val="clear" w:fill="FFFFFF"/>
          <w:lang w:val="en-US" w:eastAsia="zh-CN"/>
        </w:rPr>
        <w:t>等重要时间节点，</w:t>
      </w:r>
      <w:r>
        <w:rPr>
          <w:rFonts w:hint="eastAsia" w:ascii="仿宋_GB2312" w:hAnsi="仿宋_GB2312" w:eastAsia="仿宋_GB2312" w:cs="仿宋_GB2312"/>
          <w:i w:val="0"/>
          <w:iCs w:val="0"/>
          <w:caps w:val="0"/>
          <w:color w:val="auto"/>
          <w:spacing w:val="0"/>
          <w:sz w:val="32"/>
          <w:szCs w:val="32"/>
          <w:shd w:val="clear" w:fill="FFFFFF"/>
          <w:lang w:val="en-US" w:eastAsia="zh-CN"/>
        </w:rPr>
        <w:t>通过举办法律知识宣传讲座、发放宣传资料等形式，广泛宣传《非法集资法》、《反电信网络诈骗法》、《反有组织犯罪法》、《中华人民共和国宪法》等法律法规，共发放宣传页200余份，摆放展板14张、横幅18条。</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w:t>
      </w:r>
      <w:r>
        <w:rPr>
          <w:rFonts w:hint="eastAsia" w:ascii="仿宋_GB2312" w:hAnsi="仿宋_GB2312" w:eastAsia="仿宋_GB2312" w:cs="仿宋_GB2312"/>
          <w:i w:val="0"/>
          <w:iCs w:val="0"/>
          <w:caps w:val="0"/>
          <w:color w:val="auto"/>
          <w:spacing w:val="0"/>
          <w:sz w:val="32"/>
          <w:szCs w:val="32"/>
          <w:shd w:val="clear" w:fill="FFFFFF"/>
          <w:lang w:val="en-US" w:eastAsia="zh-CN"/>
        </w:rPr>
        <w:t>结合民法典宣传月，联合县司法局、律师事务所开展“送法进企业”专项行动，邀请专业律师围绕《中华人民共和国民法典》、《民营经济促进法》等内容，为海晶公司、金牛电器等20家重点企业进行了专题普法宣讲，有效提升了企业管理者和职工的法律意识及风险防范能力。</w:t>
      </w:r>
    </w:p>
    <w:p w14:paraId="36EE6F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（四）立足主责主业，规范依法行政</w:t>
      </w:r>
    </w:p>
    <w:p w14:paraId="40D9B3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一是加强执法队伍建设。</w:t>
      </w:r>
      <w:r>
        <w:rPr>
          <w:rFonts w:hint="eastAsia" w:ascii="仿宋_GB2312" w:hAnsi="仿宋_GB2312" w:eastAsia="仿宋_GB2312" w:cs="仿宋_GB2312"/>
          <w:i w:val="0"/>
          <w:iCs w:val="0"/>
          <w:caps w:val="0"/>
          <w:color w:val="auto"/>
          <w:spacing w:val="0"/>
          <w:sz w:val="32"/>
          <w:szCs w:val="32"/>
          <w:shd w:val="clear" w:fill="FFFFFF"/>
          <w:lang w:val="en-US" w:eastAsia="zh-CN"/>
        </w:rPr>
        <w:t>2025 年，工信局深化执法队伍规范化建设，严格落实持证上岗、亮证执法要求，筛选 7 名政治合格、业务适配人员参加行政执法证件申领考试。经前期系统培训及法规学习，7 人全部通过，通过率 100%，有效充实了持证执法力量。</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w:t>
      </w:r>
      <w:r>
        <w:rPr>
          <w:rFonts w:hint="eastAsia" w:ascii="仿宋_GB2312" w:hAnsi="仿宋_GB2312" w:eastAsia="仿宋_GB2312" w:cs="仿宋_GB2312"/>
          <w:b/>
          <w:bCs/>
          <w:sz w:val="32"/>
          <w:szCs w:val="32"/>
          <w:lang w:val="en-US" w:eastAsia="zh-CN"/>
        </w:rPr>
        <w:t>深入推进治本攻坚三年行动。</w:t>
      </w:r>
      <w:r>
        <w:rPr>
          <w:rFonts w:hint="eastAsia" w:ascii="仿宋_GB2312" w:hAnsi="仿宋_GB2312" w:eastAsia="仿宋_GB2312" w:cs="仿宋_GB2312"/>
          <w:sz w:val="32"/>
          <w:szCs w:val="32"/>
          <w:lang w:val="en-US" w:eastAsia="zh-CN"/>
        </w:rPr>
        <w:t>开展2次联合执法检查，累计检查企业122家次，排查整改隐患18项，全年未发生一起安全生产事故。</w:t>
      </w:r>
      <w:r>
        <w:rPr>
          <w:rFonts w:hint="eastAsia" w:ascii="仿宋_GB2312" w:hAnsi="仿宋_GB2312" w:eastAsia="仿宋_GB2312" w:cs="仿宋_GB2312"/>
          <w:b/>
          <w:bCs/>
          <w:i w:val="0"/>
          <w:iCs w:val="0"/>
          <w:caps w:val="0"/>
          <w:color w:val="auto"/>
          <w:spacing w:val="0"/>
          <w:sz w:val="32"/>
          <w:szCs w:val="32"/>
          <w:shd w:val="clear" w:fill="FFFFFF"/>
          <w:lang w:val="en-US" w:eastAsia="zh-CN"/>
        </w:rPr>
        <w:t>三是深化 “双随机、一公开” 监管机制建设。</w:t>
      </w:r>
      <w:r>
        <w:rPr>
          <w:rFonts w:hint="eastAsia" w:ascii="仿宋_GB2312" w:hAnsi="仿宋_GB2312" w:eastAsia="仿宋_GB2312" w:cs="仿宋_GB2312"/>
          <w:i w:val="0"/>
          <w:iCs w:val="0"/>
          <w:caps w:val="0"/>
          <w:color w:val="auto"/>
          <w:spacing w:val="0"/>
          <w:sz w:val="32"/>
          <w:szCs w:val="32"/>
          <w:shd w:val="clear" w:fill="FFFFFF"/>
          <w:lang w:val="en-US" w:eastAsia="zh-CN"/>
        </w:rPr>
        <w:t>系统完善随机抽查事项清单、监管对象名录库、执法检查人员名录库，配套制定工作细则及操作指引，全面夯实监管工作基础。强化与消防部门联动协作，联合开展跨部门随机抽查4次，在提升综合监管效能的同时，最大限度减少对企业正常生产经营的干扰，实现监管与服务并重、效能与减负双赢。</w:t>
      </w:r>
    </w:p>
    <w:p w14:paraId="25C2771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优化营商环境，增强服务效能</w:t>
      </w:r>
    </w:p>
    <w:p w14:paraId="4543B70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一是深化重点企业包保服务。</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建立桐柏县重点工业企业包保服务专班，积极开展政策宣贯、问题收集、难题化解等精准化服务，同时建立重点企业包保服务台账，制定“一企一策”帮扶措施，高效协调解决企业遇到的急、难、愁、盼问题。</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二是组织开展“三走进三解决”“以企观政大走访”等系列活动。</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累计走访企业5500余家次，覆盖305家重点企业，全面掌握企业生产经营情况，建立问题台账和闭环处理机制，累计解决融资、用工、用地等各类问题214个。</w:t>
      </w:r>
      <w:r>
        <w:rPr>
          <w:rFonts w:hint="eastAsia" w:ascii="仿宋_GB2312" w:hAnsi="仿宋_GB2312" w:eastAsia="仿宋_GB2312" w:cs="仿宋_GB2312"/>
          <w:b/>
          <w:bCs/>
          <w:i w:val="0"/>
          <w:iCs w:val="0"/>
          <w:caps w:val="0"/>
          <w:color w:val="auto"/>
          <w:spacing w:val="0"/>
          <w:sz w:val="32"/>
          <w:szCs w:val="32"/>
          <w:shd w:val="clear" w:fill="FFFFFF"/>
          <w:lang w:val="en-US" w:eastAsia="zh-CN"/>
        </w:rPr>
        <w:t>三是“万人助万企”活动常态化开展到位。</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按照无事不扰有求必应工作原则，及时响应企业的实际需求，截止2025年10月份，收集问题195个，解决问题195个，解决率达100%。同时，通过各种渠道征求企业融资需求，征求到有融资需求的规上工业企业95家，计划为企业融资1.92亿元；组织产销对接4次，参与企业10家达成金额1.8万元；产学研对接活动2次，成功对接10家企业，合同登记额预计达8.41亿元；用工对接活动10次，参与企业数量150家，提供岗位数900余个，达成用工意向380人。</w:t>
      </w:r>
    </w:p>
    <w:p w14:paraId="7FB6C1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（六）健全顾问制度，强化法律支撑</w:t>
      </w:r>
    </w:p>
    <w:p w14:paraId="59A6C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聘请桐大律师事务所律师担任工信局法律顾问，签订法律顾问服务合同，清晰界定服务内容、职责边界及协作机制。同步将该律所及受聘律师相关信息按规定录入法律顾问管理系统，完成备案登记，实现法律顾问规范化管理。法律顾问全面深度参与我局重大行政决策合法性论证、规范性文件审查、各类合同审核、行政复议及诉讼处理等法律事务，为依法行政提供专业法律支撑</w:t>
      </w:r>
    </w:p>
    <w:p w14:paraId="1BD8C4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i w:val="0"/>
          <w:iCs w:val="0"/>
          <w:caps w:val="0"/>
          <w:color w:val="auto"/>
          <w:spacing w:val="0"/>
          <w:sz w:val="32"/>
          <w:szCs w:val="32"/>
          <w:shd w:val="clear" w:fill="FFFFFF"/>
          <w:lang w:val="en-US" w:eastAsia="zh-CN"/>
        </w:rPr>
      </w:pPr>
      <w:r>
        <w:rPr>
          <w:rFonts w:hint="eastAsia" w:ascii="宋体" w:hAnsi="宋体" w:eastAsia="宋体" w:cs="宋体"/>
          <w:b/>
          <w:bCs/>
          <w:i w:val="0"/>
          <w:iCs w:val="0"/>
          <w:caps w:val="0"/>
          <w:color w:val="auto"/>
          <w:spacing w:val="0"/>
          <w:sz w:val="32"/>
          <w:szCs w:val="32"/>
          <w:shd w:val="clear" w:fill="FFFFFF"/>
          <w:lang w:val="en-US" w:eastAsia="zh-CN"/>
        </w:rPr>
        <w:t>二、存在的问题和不足</w:t>
      </w:r>
    </w:p>
    <w:p w14:paraId="3B921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在肯定2025年度法治建设工作成效的同时，我们也清醒认识到，工作中仍存在一些薄弱环节和不足，主要体现在以下几个方面：一是法治学习与业务融合不够深入。虽然开展了系列法治学习活动，但部分干部职工运用法治思维和法治方式解决工信领域实际问题的能力有待提升，尤其是在应对新型工业化进程中出现的新情况、新问题时，法治手段的运用不够灵活高效。二是法治宣传精准度有待加强。宣传活动多集中在重要时间节点和常规法律法规，针对辖区内不同类型企业的行业特点、发展需求开展的定制化普法服务不足，对数字经济、人工智能等新兴领域的相关法律法规宣传覆盖不够全面。</w:t>
      </w:r>
    </w:p>
    <w:p w14:paraId="67FD15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i w:val="0"/>
          <w:iCs w:val="0"/>
          <w:caps w:val="0"/>
          <w:color w:val="auto"/>
          <w:spacing w:val="0"/>
          <w:sz w:val="32"/>
          <w:szCs w:val="32"/>
          <w:shd w:val="clear" w:fill="FFFFFF"/>
          <w:lang w:val="en-US" w:eastAsia="zh-CN"/>
        </w:rPr>
      </w:pPr>
      <w:r>
        <w:rPr>
          <w:rFonts w:hint="eastAsia" w:ascii="宋体" w:hAnsi="宋体" w:eastAsia="宋体" w:cs="宋体"/>
          <w:b/>
          <w:bCs/>
          <w:i w:val="0"/>
          <w:iCs w:val="0"/>
          <w:caps w:val="0"/>
          <w:color w:val="auto"/>
          <w:spacing w:val="0"/>
          <w:sz w:val="32"/>
          <w:szCs w:val="32"/>
          <w:shd w:val="clear" w:fill="FFFFFF"/>
          <w:lang w:val="en-US" w:eastAsia="zh-CN"/>
        </w:rPr>
        <w:t>三、下一步工作打算</w:t>
      </w:r>
    </w:p>
    <w:p w14:paraId="4DB87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针对存在的问题，下一步，工信局将持续以习近平法治思想为指引，聚焦工业和信息化中心工作，补短板、强弱项，推动法治建设工作再上新台阶，具体打算如下：</w:t>
      </w:r>
    </w:p>
    <w:p w14:paraId="0025FA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（一）深化法治学习融合，提升依法履职能力。</w:t>
      </w:r>
      <w:r>
        <w:rPr>
          <w:rFonts w:hint="eastAsia" w:ascii="仿宋_GB2312" w:hAnsi="仿宋_GB2312" w:eastAsia="仿宋_GB2312" w:cs="仿宋_GB2312"/>
          <w:i w:val="0"/>
          <w:iCs w:val="0"/>
          <w:caps w:val="0"/>
          <w:color w:val="auto"/>
          <w:spacing w:val="0"/>
          <w:sz w:val="32"/>
          <w:szCs w:val="32"/>
          <w:shd w:val="clear" w:fill="FFFFFF"/>
          <w:lang w:val="en-US" w:eastAsia="zh-CN"/>
        </w:rPr>
        <w:t>持续完善法治学习计划，将习近平法治思想与工信领域专业法律法规、新兴领域政策法规深度融合，通过案例研讨、模拟执法、专题培训等形式，强化干部职工法治实践能力培养，推动法治思维和法治方式贯穿工信工作全过程。建立健全学法用法考核机制，将考核结果与评优评先、履职尽责挂钩，激发干部职工学法用法积极性。</w:t>
      </w:r>
    </w:p>
    <w:p w14:paraId="75B470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（二）精准开展法治宣传，优化法治营商环境。</w:t>
      </w:r>
      <w:r>
        <w:rPr>
          <w:rFonts w:hint="eastAsia" w:ascii="仿宋_GB2312" w:hAnsi="仿宋_GB2312" w:eastAsia="仿宋_GB2312" w:cs="仿宋_GB2312"/>
          <w:i w:val="0"/>
          <w:iCs w:val="0"/>
          <w:caps w:val="0"/>
          <w:color w:val="auto"/>
          <w:spacing w:val="0"/>
          <w:sz w:val="32"/>
          <w:szCs w:val="32"/>
          <w:shd w:val="clear" w:fill="FFFFFF"/>
          <w:lang w:val="en-US" w:eastAsia="zh-CN"/>
        </w:rPr>
        <w:t>立足辖区企业发展实际，分行业、分类型开展“定制化”普法服务，重点加强对民营经济、数字经济、新能源等领域法律法规的宣传解读。深化“送法进企业”活动，联合律师事务所、行业协会，为企业提供法律风险排查、合同规范、权益保护等精准法律服务，助力企业依法合规经营。</w:t>
      </w:r>
    </w:p>
    <w:p w14:paraId="25D09E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（三）强化法律顾问作用，筑牢法律支撑防线。</w:t>
      </w:r>
      <w:r>
        <w:rPr>
          <w:rFonts w:hint="eastAsia" w:ascii="仿宋_GB2312" w:hAnsi="仿宋_GB2312" w:eastAsia="仿宋_GB2312" w:cs="仿宋_GB2312"/>
          <w:i w:val="0"/>
          <w:iCs w:val="0"/>
          <w:caps w:val="0"/>
          <w:color w:val="auto"/>
          <w:spacing w:val="0"/>
          <w:sz w:val="32"/>
          <w:szCs w:val="32"/>
          <w:shd w:val="clear" w:fill="FFFFFF"/>
          <w:lang w:val="en-US" w:eastAsia="zh-CN"/>
        </w:rPr>
        <w:t>进一步健全法律顾问参与重大决策、重大案件处置的工作机制，拓宽法律顾问服务领域，充分发挥其在新兴领域政策制定、企业纠纷调解等方面的专业优势，为新型工业化发展提供坚实法律保障。同时，加强法律顾问管理，定期评估服务质量，确保法律顾问作用有效发挥。</w:t>
      </w:r>
    </w:p>
    <w:p w14:paraId="099D7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1E822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p>
    <w:p w14:paraId="4D0504D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center"/>
        <w:textAlignment w:val="auto"/>
        <w:rPr>
          <w:rFonts w:hint="default" w:ascii="仿宋" w:hAnsi="仿宋" w:eastAsia="仿宋" w:cs="仿宋"/>
          <w:sz w:val="32"/>
          <w:szCs w:val="40"/>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B92A2EE-56FF-450B-9723-57473097B87A}"/>
  </w:font>
  <w:font w:name="方正小标宋简体">
    <w:panose1 w:val="02000000000000000000"/>
    <w:charset w:val="86"/>
    <w:family w:val="auto"/>
    <w:pitch w:val="default"/>
    <w:sig w:usb0="00000001" w:usb1="08000000" w:usb2="00000000" w:usb3="00000000" w:csb0="00040000" w:csb1="00000000"/>
    <w:embedRegular r:id="rId2" w:fontKey="{C6026867-AA6B-4DEC-B7FC-C655FBEF4900}"/>
  </w:font>
  <w:font w:name="仿宋_GB2312">
    <w:altName w:val="仿宋"/>
    <w:panose1 w:val="02010609030101010101"/>
    <w:charset w:val="86"/>
    <w:family w:val="auto"/>
    <w:pitch w:val="default"/>
    <w:sig w:usb0="00000000" w:usb1="00000000" w:usb2="00000000" w:usb3="00000000" w:csb0="00040000" w:csb1="00000000"/>
    <w:embedRegular r:id="rId3" w:fontKey="{DD491C32-C2C4-4829-8611-2C77DEDA4804}"/>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4AD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92C4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C92C4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ED7E6"/>
    <w:multiLevelType w:val="singleLevel"/>
    <w:tmpl w:val="938ED7E6"/>
    <w:lvl w:ilvl="0" w:tentative="0">
      <w:start w:val="1"/>
      <w:numFmt w:val="chineseCounting"/>
      <w:suff w:val="nothing"/>
      <w:lvlText w:val="%1、"/>
      <w:lvlJc w:val="left"/>
      <w:rPr>
        <w:rFonts w:hint="eastAsia"/>
      </w:rPr>
    </w:lvl>
  </w:abstractNum>
  <w:abstractNum w:abstractNumId="1">
    <w:nsid w:val="FE17D2DB"/>
    <w:multiLevelType w:val="singleLevel"/>
    <w:tmpl w:val="FE17D2D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jYzNTA4YTRiZjAzOTljMjM3ZDk2OTRjM2NhMDEifQ=="/>
  </w:docVars>
  <w:rsids>
    <w:rsidRoot w:val="3BAE5739"/>
    <w:rsid w:val="04663E81"/>
    <w:rsid w:val="0655588F"/>
    <w:rsid w:val="29251903"/>
    <w:rsid w:val="2B21562A"/>
    <w:rsid w:val="2CF6256A"/>
    <w:rsid w:val="356217BF"/>
    <w:rsid w:val="3BAE5739"/>
    <w:rsid w:val="4E935895"/>
    <w:rsid w:val="4F003C01"/>
    <w:rsid w:val="521F1A95"/>
    <w:rsid w:val="56D13F22"/>
    <w:rsid w:val="61B566B6"/>
    <w:rsid w:val="69252C2D"/>
    <w:rsid w:val="75525DF3"/>
    <w:rsid w:val="7AD624C7"/>
    <w:rsid w:val="7EA95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szCs w:val="24"/>
    </w:rPr>
  </w:style>
  <w:style w:type="paragraph" w:styleId="4">
    <w:name w:val="Body Text"/>
    <w:basedOn w:val="1"/>
    <w:next w:val="5"/>
    <w:qFormat/>
    <w:uiPriority w:val="0"/>
    <w:rPr>
      <w:rFonts w:eastAsia="宋体"/>
    </w:rPr>
  </w:style>
  <w:style w:type="paragraph" w:customStyle="1" w:styleId="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2731</Words>
  <Characters>2803</Characters>
  <Lines>0</Lines>
  <Paragraphs>0</Paragraphs>
  <TotalTime>4</TotalTime>
  <ScaleCrop>false</ScaleCrop>
  <LinksUpToDate>false</LinksUpToDate>
  <CharactersWithSpaces>2812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2022-12-27T02:07:00Z</dcterms:created>
  <dc:creator>Shmily.</dc:creator>
  <cp:lastModifiedBy>阿汤哥</cp:lastModifiedBy>
  <cp:lastPrinted>2025-12-08T09:41:00Z</cp:lastPrinted>
  <dcterms:modified xsi:type="dcterms:W3CDTF">2026-02-12T01:29:42Z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823F1D0CE58A48CB95CB1EAF83111241</vt:lpwstr>
  </property>
  <property fmtid="{D5CDD505-2E9C-101B-9397-08002B2CF9AE}" pid="4" name="KSOTemplateDocerSaveRecord">
    <vt:lpwstr>eyJoZGlkIjoiODdhMGZlMmFiYjk4MTBlNzViOGI4NTkwODFlNzYxMTMiLCJ1c2VySWQiOiIyNDk0MDI4OTMifQ==</vt:lpwstr>
  </property>
</Properties>
</file>