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F2AC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2025年桐柏县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经济运行情况</w:t>
      </w:r>
    </w:p>
    <w:p w14:paraId="6FB849BF">
      <w:pPr>
        <w:rPr>
          <w:rFonts w:hint="eastAsia"/>
        </w:rPr>
      </w:pPr>
    </w:p>
    <w:p w14:paraId="3AD9167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年是全面实现“十四五”规划目标的收官之年。面对复杂严峻的外部环境和艰巨繁重的发展任务，全县上下坚持以高质量发展为首要任务，锚定年度经济社会发展目标，攻坚克难、砥砺奋进，推动县域经济发展呈现出稳中有进、质效双升的良好态势。</w:t>
      </w:r>
    </w:p>
    <w:p w14:paraId="49E0591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FF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根据地区生产总值统一核算结果，全县地区生产总值233.7亿元，同比增长6.6%，高于市平均增速0.1个百分点，居全市第8位。三次产业结构比14.3：38.4：47.3。分产业看，第一产业增加值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33.31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亿元，增长3.6%；第二产业增加值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89.77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亿元，增长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%；第三产业增加值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110.62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亿元，增长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%。</w:t>
      </w:r>
    </w:p>
    <w:p w14:paraId="4B3C81C8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农业生产形势稳定。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全县农林牧渔业总产值61.29亿元，同比增长3.7%</w:t>
      </w:r>
      <w:r>
        <w:rPr>
          <w:rFonts w:hint="eastAsia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在畜牧业发展上，部分特色养殖品类增长势头强劲，出栏量大幅提升。羊、禽出栏量分别为</w:t>
      </w:r>
      <w:r>
        <w:rPr>
          <w:rFonts w:hint="eastAsia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9、637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万只。</w:t>
      </w:r>
    </w:p>
    <w:p w14:paraId="711EFAD7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工业生产</w:t>
      </w:r>
      <w:r>
        <w:rPr>
          <w:rFonts w:hint="eastAsia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稳中向好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全县规模以上工业增加值累计增速11.5%。分三大门类看，采矿业增加值占规模以上工业的比重为25%，同比增长9.7%，拉动规模以上工业增加值增长2个百分点；制造业增加值占规模以上工业的比重为72%，同比增长12.1%，拉动规模以上工业增加值增长9.3个百分点；电力、热力、燃气及水生产和供应业增加值占规模以上工业的比重为3%，同比增长8.9%，拉动规模以上工业增加值增长0.3个百分点。三大门类对全县规模以上工业经济的贡献率分别为17.1%、80.5%、2.4%。</w:t>
      </w:r>
    </w:p>
    <w:p w14:paraId="24237975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left="0" w:leftChars="0" w:firstLine="602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强度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加大。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全县固定资产投资同比增长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%，高于市平均增速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个百分点。其中，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基础设施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投资同比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增长72.5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%，高于市平均增速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74.7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个百分点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房地产开发投资同比下降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17.9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%，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于市平均增速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个百分点。</w:t>
      </w:r>
    </w:p>
    <w:p w14:paraId="11BA13C6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消费活力稳步释放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全县社会消费品零售总额93.9亿元，同比增长5.9%，高于市平均增速0.1个百分点。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批发业销售额增速6.0%，高于市平均增速 1.7个百分点；零售业销售额增速7.3%，高于市平均增速 0.4个百分点，居全市第6位；住宿业营业额增速8.1%，高于市平均增速1.6个百分点；餐饮业营业额增速6.1%，低于市平均增速1.1个百分点。</w:t>
      </w:r>
    </w:p>
    <w:p w14:paraId="03B2C7B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服务业发展</w:t>
      </w:r>
      <w:r>
        <w:rPr>
          <w:rFonts w:hint="eastAsia" w:eastAsia="仿宋_GB2312" w:cs="仿宋_GB2312"/>
          <w:b/>
          <w:bC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形势严峻。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租赁和商务服务业、其他运输业增速分别为43.1%、13.9%，高于市平均10.1、8.4个百分点；信息传输、软件和信息技术服务业、房地产业增速分别为8.4%、33.2%，与市增速持平；科学研究和技术服务业，居民服务、修理和其他服务业，水利、环境和公共设施管理业，互联网和相关服务业、软件和信息技术服务业，文化、体育和娱乐业增速分别为39.1%、40.0%、30.7%、46.8%、40.2%，低于市平均2.6、2.5、1、7.1、15.1个百分点。</w:t>
      </w:r>
    </w:p>
    <w:p w14:paraId="57DB1E7E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“</w:t>
      </w:r>
      <w:r>
        <w:rPr>
          <w:rFonts w:hint="eastAsia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双入库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”</w:t>
      </w:r>
      <w:r>
        <w:rPr>
          <w:rFonts w:hint="eastAsia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工作</w:t>
      </w:r>
      <w:r>
        <w:rPr>
          <w:rFonts w:hint="eastAsia" w:eastAsia="仿宋_GB2312" w:cs="仿宋_GB2312"/>
          <w:b/>
          <w:bCs w:val="0"/>
          <w:color w:val="auto"/>
          <w:spacing w:val="0"/>
          <w:sz w:val="28"/>
          <w:szCs w:val="28"/>
          <w:lang w:val="en-US" w:eastAsia="zh-CN"/>
        </w:rPr>
        <w:t>由兴转衰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0"/>
          <w:szCs w:val="3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全县共申报规上企业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家。其中工业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家，商贸业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家，服务业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家，建筑业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家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房地产业2家。全县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申报入库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新开工项目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个；其中5000万以上新开工项目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个</w:t>
      </w:r>
      <w:r>
        <w:rPr>
          <w:rFonts w:hint="eastAsia" w:eastAsia="仿宋_GB2312" w:cs="仿宋_GB2312"/>
          <w:bCs/>
          <w:color w:val="auto"/>
          <w:spacing w:val="0"/>
          <w:sz w:val="30"/>
          <w:szCs w:val="30"/>
          <w:lang w:val="en-US" w:eastAsia="zh-CN"/>
        </w:rPr>
        <w:t>。</w:t>
      </w:r>
    </w:p>
    <w:p w14:paraId="0E4CE557">
      <w:pPr>
        <w:rPr>
          <w:rFonts w:hint="eastAsia" w:eastAsia="仿宋_GB2312" w:cs="仿宋_GB2312"/>
          <w:bCs/>
          <w:color w:val="auto"/>
          <w:spacing w:val="0"/>
          <w:sz w:val="28"/>
          <w:szCs w:val="28"/>
          <w:lang w:val="en-US" w:eastAsia="zh-CN"/>
        </w:rPr>
      </w:pPr>
    </w:p>
    <w:p w14:paraId="64D90C62">
      <w:pPr>
        <w:rPr>
          <w:rFonts w:hint="eastAsia" w:eastAsia="楷体" w:cs="仿宋_GB2312"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8390" w:h="11905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docGrid w:type="lines" w:linePitch="313" w:charSpace="0"/>
        </w:sect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注：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按照我国地区生产总值统一核算和数据发布制度规定，地区生产总值核算包括初步核算和最终核实两个步骤。经最终核实，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2024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桐柏县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地区生产总值现价总量为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220.95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亿元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 w14:paraId="531AAD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89ABD2-D259-47E3-8326-3667B23777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02DF4A6-E958-4CF3-AE5E-971DCF4C52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F11844-5D25-4D23-ACDF-56411842C6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6FF5FC-802B-4E00-B6C2-4C9967B1023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642B2">
    <w:pPr>
      <w:pStyle w:val="4"/>
    </w:pPr>
  </w:p>
  <w:p w14:paraId="3ABF65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B3B2E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B3B2E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C250B"/>
    <w:rsid w:val="0B4D2798"/>
    <w:rsid w:val="147F1C1A"/>
    <w:rsid w:val="271909D4"/>
    <w:rsid w:val="30CC6AB7"/>
    <w:rsid w:val="602D281F"/>
    <w:rsid w:val="710E3FA6"/>
    <w:rsid w:val="7AD149C3"/>
    <w:rsid w:val="7C2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1"/>
    <w:qFormat/>
    <w:uiPriority w:val="0"/>
    <w:pPr>
      <w:spacing w:line="600" w:lineRule="exact"/>
      <w:ind w:firstLine="724" w:firstLineChars="200"/>
    </w:pPr>
    <w:rPr>
      <w:rFonts w:ascii="仿宋_GB2312" w:hAns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1121</Words>
  <Characters>1326</Characters>
  <Lines>0</Lines>
  <Paragraphs>0</Paragraphs>
  <TotalTime>6</TotalTime>
  <ScaleCrop>false</ScaleCrop>
  <LinksUpToDate>false</LinksUpToDate>
  <CharactersWithSpaces>1332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2026-02-06T03:39:00Z</dcterms:created>
  <dc:creator>哈哈哈哈哈哈</dc:creator>
  <cp:lastModifiedBy>哈哈哈哈哈哈</cp:lastModifiedBy>
  <dcterms:modified xsi:type="dcterms:W3CDTF">2026-02-06T07:46:52Z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8C3A727F861848698F30E70BC84E7D0F_11</vt:lpwstr>
  </property>
  <property fmtid="{D5CDD505-2E9C-101B-9397-08002B2CF9AE}" pid="4" name="KSOTemplateDocerSaveRecord">
    <vt:lpwstr>eyJoZGlkIjoiODE4YjdmOGNjY2E1YWRkYzAwMmIwMzgyOTY5MTI4NzUiLCJ1c2VySWQiOiIzMzAxNjY3NDYifQ==</vt:lpwstr>
  </property>
</Properties>
</file>