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2AF6" w14:textId="6A38CF7F" w:rsidR="005B4369" w:rsidRDefault="00000000">
      <w:pPr>
        <w:spacing w:line="360" w:lineRule="auto"/>
        <w:jc w:val="center"/>
        <w:rPr>
          <w:rFonts w:ascii="黑体" w:eastAsia="黑体" w:hAnsi="黑体" w:cs="黑体" w:hint="eastAsia"/>
          <w:sz w:val="44"/>
          <w:szCs w:val="44"/>
        </w:rPr>
      </w:pPr>
      <w:r>
        <w:rPr>
          <w:rFonts w:ascii="黑体" w:eastAsia="黑体" w:hAnsi="黑体" w:cs="黑体" w:hint="eastAsia"/>
          <w:sz w:val="44"/>
          <w:szCs w:val="44"/>
        </w:rPr>
        <w:t>桐柏县永久基本农田年度评估调整优化布局</w:t>
      </w:r>
      <w:r w:rsidR="00AD30C5">
        <w:rPr>
          <w:rFonts w:ascii="黑体" w:eastAsia="黑体" w:hAnsi="黑体" w:cs="黑体" w:hint="eastAsia"/>
          <w:sz w:val="44"/>
          <w:szCs w:val="44"/>
        </w:rPr>
        <w:t>项目采购需求</w:t>
      </w:r>
    </w:p>
    <w:p w14:paraId="78095CE6" w14:textId="77777777" w:rsidR="005B4369" w:rsidRDefault="005B4369">
      <w:pPr>
        <w:spacing w:line="588" w:lineRule="exact"/>
        <w:ind w:firstLineChars="200" w:firstLine="640"/>
        <w:jc w:val="left"/>
        <w:rPr>
          <w:rFonts w:ascii="Times New Roman" w:eastAsia="仿宋_GB2312" w:hAnsi="Times New Roman" w:cs="Times New Roman"/>
          <w:sz w:val="32"/>
          <w:szCs w:val="32"/>
        </w:rPr>
      </w:pPr>
    </w:p>
    <w:p w14:paraId="3CC2700C" w14:textId="77777777" w:rsidR="005B4369" w:rsidRPr="004E2665" w:rsidRDefault="00000000">
      <w:pPr>
        <w:spacing w:line="588" w:lineRule="exact"/>
        <w:ind w:firstLineChars="200" w:firstLine="640"/>
        <w:rPr>
          <w:rFonts w:ascii="仿宋" w:eastAsia="仿宋" w:hAnsi="仿宋" w:cs="宋体" w:hint="eastAsia"/>
          <w:sz w:val="32"/>
          <w:szCs w:val="32"/>
        </w:rPr>
      </w:pPr>
      <w:r w:rsidRPr="004E2665">
        <w:rPr>
          <w:rFonts w:ascii="仿宋" w:eastAsia="仿宋" w:hAnsi="仿宋" w:cs="宋体" w:hint="eastAsia"/>
          <w:sz w:val="32"/>
          <w:szCs w:val="32"/>
        </w:rPr>
        <w:t>为贯彻落实《永久基本农田保护红线管理办法》（自然资源部农业农村部令第17号）、《中共中央办公厅、国务院办公厅关于印发〈逐步把永久基本农田建成高标准农田实施方案〉的通知》（中办发〔2025〕13号）精神和永久基本农田特殊保护制度，严格规范永久基本农田调整管理，河南省自然资源厅、河南省农业农村厅出台了《河南省自然资源厅 河南省农业农村厅关于严格规范永久基本农田保护红线优化调整工作的通知》（</w:t>
      </w:r>
      <w:proofErr w:type="gramStart"/>
      <w:r w:rsidRPr="004E2665">
        <w:rPr>
          <w:rFonts w:ascii="仿宋" w:eastAsia="仿宋" w:hAnsi="仿宋" w:cs="宋体" w:hint="eastAsia"/>
          <w:sz w:val="32"/>
          <w:szCs w:val="32"/>
        </w:rPr>
        <w:t>豫自然资发</w:t>
      </w:r>
      <w:proofErr w:type="gramEnd"/>
      <w:r w:rsidRPr="004E2665">
        <w:rPr>
          <w:rFonts w:ascii="仿宋" w:eastAsia="仿宋" w:hAnsi="仿宋" w:cs="宋体" w:hint="eastAsia"/>
          <w:sz w:val="32"/>
          <w:szCs w:val="32"/>
        </w:rPr>
        <w:t>〔2025〕53号）进一步强调，要坚持从严保护、先补后调、</w:t>
      </w:r>
      <w:proofErr w:type="gramStart"/>
      <w:r w:rsidRPr="004E2665">
        <w:rPr>
          <w:rFonts w:ascii="仿宋" w:eastAsia="仿宋" w:hAnsi="仿宋" w:cs="宋体" w:hint="eastAsia"/>
          <w:sz w:val="32"/>
          <w:szCs w:val="32"/>
        </w:rPr>
        <w:t>优进劣</w:t>
      </w:r>
      <w:proofErr w:type="gramEnd"/>
      <w:r w:rsidRPr="004E2665">
        <w:rPr>
          <w:rFonts w:ascii="仿宋" w:eastAsia="仿宋" w:hAnsi="仿宋" w:cs="宋体" w:hint="eastAsia"/>
          <w:sz w:val="32"/>
          <w:szCs w:val="32"/>
        </w:rPr>
        <w:t>出，按照“数量不减、质量不降、布局优化、生态改善”的原则调整并补划。</w:t>
      </w:r>
    </w:p>
    <w:p w14:paraId="3599FC83" w14:textId="37B819D9" w:rsidR="005B4369" w:rsidRPr="004E2665" w:rsidRDefault="00000000">
      <w:pPr>
        <w:pStyle w:val="a0"/>
        <w:ind w:firstLineChars="200" w:firstLine="640"/>
        <w:rPr>
          <w:rFonts w:ascii="仿宋" w:eastAsia="仿宋" w:hAnsi="仿宋" w:cs="Times New Roman"/>
          <w:sz w:val="32"/>
          <w:szCs w:val="32"/>
        </w:rPr>
      </w:pPr>
      <w:r w:rsidRPr="004E2665">
        <w:rPr>
          <w:rFonts w:ascii="仿宋" w:eastAsia="仿宋" w:hAnsi="仿宋" w:cs="宋体" w:hint="eastAsia"/>
          <w:sz w:val="32"/>
          <w:szCs w:val="32"/>
        </w:rPr>
        <w:t>按照《河南省自然资源厅 河南省农业农村厅关于印发河南省永久基本农田布局优化调整工作方案的通知》</w:t>
      </w:r>
      <w:r w:rsidRPr="004E2665">
        <w:rPr>
          <w:rFonts w:ascii="仿宋" w:eastAsia="仿宋" w:hAnsi="仿宋" w:cs="宋体" w:hint="eastAsia"/>
          <w:color w:val="000000"/>
          <w:kern w:val="0"/>
          <w:sz w:val="32"/>
          <w:szCs w:val="32"/>
          <w:lang w:bidi="ar"/>
        </w:rPr>
        <w:t>(</w:t>
      </w:r>
      <w:proofErr w:type="gramStart"/>
      <w:r w:rsidRPr="004E2665">
        <w:rPr>
          <w:rFonts w:ascii="仿宋" w:eastAsia="仿宋" w:hAnsi="仿宋" w:cs="宋体" w:hint="eastAsia"/>
          <w:color w:val="000000"/>
          <w:kern w:val="0"/>
          <w:sz w:val="32"/>
          <w:szCs w:val="32"/>
          <w:lang w:bidi="ar"/>
        </w:rPr>
        <w:t>豫自然资发</w:t>
      </w:r>
      <w:proofErr w:type="gramEnd"/>
      <w:r w:rsidRPr="004E2665">
        <w:rPr>
          <w:rFonts w:ascii="仿宋" w:eastAsia="仿宋" w:hAnsi="仿宋" w:cs="宋体" w:hint="eastAsia"/>
          <w:color w:val="000000"/>
          <w:kern w:val="0"/>
          <w:sz w:val="32"/>
          <w:szCs w:val="32"/>
          <w:lang w:bidi="ar"/>
        </w:rPr>
        <w:t>〔</w:t>
      </w:r>
      <w:r w:rsidRPr="004E2665">
        <w:rPr>
          <w:rFonts w:ascii="仿宋" w:eastAsia="仿宋" w:hAnsi="仿宋" w:cs="宋体" w:hint="eastAsia"/>
          <w:sz w:val="32"/>
          <w:szCs w:val="32"/>
        </w:rPr>
        <w:t>2025</w:t>
      </w:r>
      <w:r w:rsidRPr="004E2665">
        <w:rPr>
          <w:rFonts w:ascii="仿宋" w:eastAsia="仿宋" w:hAnsi="仿宋" w:cs="宋体" w:hint="eastAsia"/>
          <w:color w:val="000000"/>
          <w:kern w:val="0"/>
          <w:sz w:val="32"/>
          <w:szCs w:val="32"/>
          <w:lang w:bidi="ar"/>
        </w:rPr>
        <w:t>〕</w:t>
      </w:r>
      <w:r w:rsidRPr="004E2665">
        <w:rPr>
          <w:rFonts w:ascii="仿宋" w:eastAsia="仿宋" w:hAnsi="仿宋" w:cs="宋体" w:hint="eastAsia"/>
          <w:sz w:val="32"/>
          <w:szCs w:val="32"/>
        </w:rPr>
        <w:t>54号）的通知，县级自然资源主管部门会同农业农村等部门结合国土空间规划实施年度体检，对辖区内永久基本农田保护、利用、质量等情况进行年度评估，根据评估结果确需对少量永久基本农田布局进行优化调整，按有关要求进行调整补划工作。因该项工作技术含量和要求高，需完成数据分析处理、挑选并核实补划地块、按要求制作举证材料及数据，编制补划方案等工作。为确保桐柏县永久基本农田年度评估调整优化布局工作的顺利</w:t>
      </w:r>
      <w:r w:rsidRPr="004E2665">
        <w:rPr>
          <w:rFonts w:ascii="仿宋" w:eastAsia="仿宋" w:hAnsi="仿宋" w:cs="宋体" w:hint="eastAsia"/>
          <w:sz w:val="32"/>
          <w:szCs w:val="32"/>
        </w:rPr>
        <w:lastRenderedPageBreak/>
        <w:t>开展，本着节约、合理的原则，我局编制了“桐柏县永久基本农田年度评估调整优化布局工作经费预算”，</w:t>
      </w:r>
      <w:r w:rsidR="00AD30C5" w:rsidRPr="004E2665">
        <w:rPr>
          <w:rFonts w:ascii="仿宋" w:eastAsia="仿宋" w:hAnsi="仿宋" w:cs="宋体" w:hint="eastAsia"/>
          <w:sz w:val="32"/>
          <w:szCs w:val="32"/>
        </w:rPr>
        <w:t>预算金额</w:t>
      </w:r>
      <w:r w:rsidRPr="004E2665">
        <w:rPr>
          <w:rFonts w:ascii="仿宋" w:eastAsia="仿宋" w:hAnsi="仿宋" w:cs="宋体" w:hint="eastAsia"/>
          <w:sz w:val="32"/>
          <w:szCs w:val="32"/>
        </w:rPr>
        <w:t>25.00万元。</w:t>
      </w:r>
    </w:p>
    <w:p w14:paraId="3221A688" w14:textId="77777777" w:rsidR="005B4369" w:rsidRPr="004E2665" w:rsidRDefault="00000000">
      <w:pPr>
        <w:keepNext/>
        <w:keepLines/>
        <w:spacing w:before="120" w:after="120" w:line="588" w:lineRule="exact"/>
        <w:ind w:firstLineChars="200" w:firstLine="640"/>
        <w:outlineLvl w:val="0"/>
        <w:rPr>
          <w:rFonts w:ascii="仿宋" w:eastAsia="仿宋" w:hAnsi="仿宋" w:cs="Times New Roman"/>
          <w:bCs/>
          <w:kern w:val="44"/>
          <w:sz w:val="32"/>
          <w:szCs w:val="32"/>
        </w:rPr>
      </w:pPr>
      <w:r w:rsidRPr="004E2665">
        <w:rPr>
          <w:rFonts w:ascii="仿宋" w:eastAsia="仿宋" w:hAnsi="仿宋" w:cs="Times New Roman" w:hint="eastAsia"/>
          <w:bCs/>
          <w:kern w:val="44"/>
          <w:sz w:val="32"/>
          <w:szCs w:val="32"/>
        </w:rPr>
        <w:t>一</w:t>
      </w:r>
      <w:r w:rsidRPr="004E2665">
        <w:rPr>
          <w:rFonts w:ascii="仿宋" w:eastAsia="仿宋" w:hAnsi="仿宋" w:cs="Times New Roman"/>
          <w:bCs/>
          <w:kern w:val="44"/>
          <w:sz w:val="32"/>
          <w:szCs w:val="32"/>
        </w:rPr>
        <w:t>、</w:t>
      </w:r>
      <w:r w:rsidRPr="004E2665">
        <w:rPr>
          <w:rFonts w:ascii="仿宋" w:eastAsia="仿宋" w:hAnsi="仿宋" w:cs="Times New Roman" w:hint="eastAsia"/>
          <w:bCs/>
          <w:kern w:val="44"/>
          <w:sz w:val="32"/>
          <w:szCs w:val="32"/>
        </w:rPr>
        <w:t>预算</w:t>
      </w:r>
      <w:r w:rsidRPr="004E2665">
        <w:rPr>
          <w:rFonts w:ascii="仿宋" w:eastAsia="仿宋" w:hAnsi="仿宋" w:cs="Times New Roman"/>
          <w:bCs/>
          <w:kern w:val="44"/>
          <w:sz w:val="32"/>
          <w:szCs w:val="32"/>
        </w:rPr>
        <w:t>依据</w:t>
      </w:r>
    </w:p>
    <w:p w14:paraId="5468D241" w14:textId="77777777" w:rsidR="005B4369" w:rsidRPr="004E2665" w:rsidRDefault="00000000">
      <w:pPr>
        <w:pStyle w:val="a0"/>
        <w:ind w:firstLineChars="200" w:firstLine="640"/>
        <w:rPr>
          <w:rFonts w:ascii="仿宋" w:eastAsia="仿宋" w:hAnsi="仿宋" w:cs="宋体" w:hint="eastAsia"/>
          <w:color w:val="000000"/>
          <w:kern w:val="0"/>
          <w:sz w:val="32"/>
          <w:szCs w:val="32"/>
          <w:lang w:bidi="ar"/>
        </w:rPr>
      </w:pPr>
      <w:r w:rsidRPr="004E2665">
        <w:rPr>
          <w:rFonts w:ascii="仿宋" w:eastAsia="仿宋" w:hAnsi="仿宋" w:cs="宋体" w:hint="eastAsia"/>
          <w:color w:val="000000"/>
          <w:kern w:val="0"/>
          <w:sz w:val="32"/>
          <w:szCs w:val="32"/>
          <w:lang w:bidi="ar"/>
        </w:rPr>
        <w:t>1、《县级国土调查生产成本定额》（TD/T1056-2019）；</w:t>
      </w:r>
    </w:p>
    <w:p w14:paraId="36EA1279" w14:textId="77777777" w:rsidR="005B4369" w:rsidRPr="004E2665" w:rsidRDefault="00000000">
      <w:pPr>
        <w:pStyle w:val="a0"/>
        <w:ind w:firstLineChars="200" w:firstLine="640"/>
        <w:rPr>
          <w:rFonts w:ascii="仿宋" w:eastAsia="仿宋" w:hAnsi="仿宋" w:cs="宋体" w:hint="eastAsia"/>
          <w:color w:val="000000"/>
          <w:kern w:val="0"/>
          <w:sz w:val="32"/>
          <w:szCs w:val="32"/>
          <w:lang w:bidi="ar"/>
        </w:rPr>
      </w:pPr>
      <w:r w:rsidRPr="004E2665">
        <w:rPr>
          <w:rFonts w:ascii="仿宋" w:eastAsia="仿宋" w:hAnsi="仿宋" w:cs="宋体" w:hint="eastAsia"/>
          <w:color w:val="000000"/>
          <w:kern w:val="0"/>
          <w:sz w:val="32"/>
          <w:szCs w:val="32"/>
          <w:lang w:bidi="ar"/>
        </w:rPr>
        <w:t>2、自然资源部办公厅关于印发《国土调查类项目支出标准（2023）》的通知（自然资办函〔2023〕1289号）；</w:t>
      </w:r>
    </w:p>
    <w:p w14:paraId="770B08EE" w14:textId="77777777" w:rsidR="005B4369" w:rsidRPr="004E2665" w:rsidRDefault="00000000">
      <w:pPr>
        <w:pStyle w:val="a0"/>
        <w:ind w:firstLineChars="200" w:firstLine="640"/>
        <w:rPr>
          <w:rFonts w:ascii="仿宋" w:eastAsia="仿宋" w:hAnsi="仿宋" w:cs="Times New Roman"/>
          <w:color w:val="000000"/>
          <w:kern w:val="0"/>
          <w:sz w:val="32"/>
          <w:szCs w:val="32"/>
          <w:lang w:bidi="ar"/>
        </w:rPr>
      </w:pPr>
      <w:r w:rsidRPr="004E2665">
        <w:rPr>
          <w:rFonts w:ascii="仿宋" w:eastAsia="仿宋" w:hAnsi="仿宋" w:cs="宋体" w:hint="eastAsia"/>
          <w:color w:val="000000"/>
          <w:kern w:val="0"/>
          <w:sz w:val="32"/>
          <w:szCs w:val="32"/>
          <w:lang w:bidi="ar"/>
        </w:rPr>
        <w:t>3、部分参考了近年来经济社会市场价格进行测算。</w:t>
      </w:r>
    </w:p>
    <w:p w14:paraId="292AE5C3" w14:textId="77777777" w:rsidR="005B4369" w:rsidRPr="004E2665" w:rsidRDefault="00000000">
      <w:pPr>
        <w:keepNext/>
        <w:keepLines/>
        <w:spacing w:before="120" w:after="120" w:line="588" w:lineRule="exact"/>
        <w:ind w:firstLineChars="200" w:firstLine="640"/>
        <w:outlineLvl w:val="0"/>
        <w:rPr>
          <w:rFonts w:ascii="仿宋" w:eastAsia="仿宋" w:hAnsi="仿宋" w:cs="Times New Roman"/>
          <w:bCs/>
          <w:kern w:val="44"/>
          <w:sz w:val="32"/>
          <w:szCs w:val="32"/>
        </w:rPr>
      </w:pPr>
      <w:r w:rsidRPr="004E2665">
        <w:rPr>
          <w:rFonts w:ascii="仿宋" w:eastAsia="仿宋" w:hAnsi="仿宋" w:cs="Times New Roman" w:hint="eastAsia"/>
          <w:bCs/>
          <w:kern w:val="44"/>
          <w:sz w:val="32"/>
          <w:szCs w:val="32"/>
        </w:rPr>
        <w:t>二</w:t>
      </w:r>
      <w:r w:rsidRPr="004E2665">
        <w:rPr>
          <w:rFonts w:ascii="仿宋" w:eastAsia="仿宋" w:hAnsi="仿宋" w:cs="Times New Roman"/>
          <w:bCs/>
          <w:kern w:val="44"/>
          <w:sz w:val="32"/>
          <w:szCs w:val="32"/>
        </w:rPr>
        <w:t>、工作内容</w:t>
      </w:r>
    </w:p>
    <w:p w14:paraId="08BFBB3C"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（一）收集数据</w:t>
      </w:r>
    </w:p>
    <w:p w14:paraId="1729608E" w14:textId="77777777" w:rsidR="005B4369" w:rsidRPr="004E2665" w:rsidRDefault="00000000">
      <w:pPr>
        <w:spacing w:line="588" w:lineRule="exact"/>
        <w:ind w:firstLineChars="200" w:firstLine="640"/>
        <w:jc w:val="left"/>
        <w:rPr>
          <w:rFonts w:ascii="仿宋" w:eastAsia="仿宋" w:hAnsi="仿宋" w:cs="Times New Roman"/>
          <w:sz w:val="32"/>
          <w:szCs w:val="32"/>
        </w:rPr>
      </w:pPr>
      <w:r w:rsidRPr="004E2665">
        <w:rPr>
          <w:rFonts w:ascii="仿宋" w:eastAsia="仿宋" w:hAnsi="仿宋" w:cs="宋体" w:hint="eastAsia"/>
          <w:sz w:val="32"/>
          <w:szCs w:val="32"/>
        </w:rPr>
        <w:t>收集省厅下发调整图斑范围、自然保护地范围、永久基本农田数据库、永久基本农田储备区范围、耕地过渡期调出范围、最高水位线、各乡镇上报调整图斑范围、2024年度变更调查成果等相关数据。</w:t>
      </w:r>
    </w:p>
    <w:p w14:paraId="14301AD7"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（二）整合分析</w:t>
      </w:r>
    </w:p>
    <w:p w14:paraId="6F501541" w14:textId="77777777" w:rsidR="005B4369" w:rsidRPr="004E2665" w:rsidRDefault="00000000">
      <w:pPr>
        <w:spacing w:line="588" w:lineRule="exact"/>
        <w:ind w:firstLineChars="200" w:firstLine="640"/>
        <w:jc w:val="left"/>
        <w:rPr>
          <w:rFonts w:ascii="仿宋" w:eastAsia="仿宋" w:hAnsi="仿宋" w:cs="宋体" w:hint="eastAsia"/>
          <w:sz w:val="32"/>
          <w:szCs w:val="32"/>
        </w:rPr>
      </w:pPr>
      <w:r w:rsidRPr="004E2665">
        <w:rPr>
          <w:rFonts w:ascii="仿宋" w:eastAsia="仿宋" w:hAnsi="仿宋" w:cs="宋体" w:hint="eastAsia"/>
          <w:sz w:val="32"/>
          <w:szCs w:val="32"/>
        </w:rPr>
        <w:t>依据收集数据进行叠加分析处理，筛选、归类其调整类型。</w:t>
      </w:r>
    </w:p>
    <w:p w14:paraId="0AA11998"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（三）外业核实</w:t>
      </w:r>
    </w:p>
    <w:p w14:paraId="3195E061" w14:textId="77777777" w:rsidR="005B4369" w:rsidRPr="004E2665" w:rsidRDefault="00000000">
      <w:pPr>
        <w:spacing w:line="588" w:lineRule="exact"/>
        <w:ind w:firstLineChars="200" w:firstLine="640"/>
        <w:jc w:val="left"/>
        <w:rPr>
          <w:rFonts w:ascii="仿宋" w:eastAsia="仿宋" w:hAnsi="仿宋" w:cs="宋体" w:hint="eastAsia"/>
          <w:sz w:val="32"/>
          <w:szCs w:val="32"/>
        </w:rPr>
      </w:pPr>
      <w:r w:rsidRPr="004E2665">
        <w:rPr>
          <w:rFonts w:ascii="仿宋" w:eastAsia="仿宋" w:hAnsi="仿宋" w:cs="宋体"/>
          <w:sz w:val="32"/>
          <w:szCs w:val="32"/>
        </w:rPr>
        <w:t>针对疑问图</w:t>
      </w:r>
      <w:proofErr w:type="gramStart"/>
      <w:r w:rsidRPr="004E2665">
        <w:rPr>
          <w:rFonts w:ascii="仿宋" w:eastAsia="仿宋" w:hAnsi="仿宋" w:cs="宋体"/>
          <w:sz w:val="32"/>
          <w:szCs w:val="32"/>
        </w:rPr>
        <w:t>斑制定</w:t>
      </w:r>
      <w:proofErr w:type="gramEnd"/>
      <w:r w:rsidRPr="004E2665">
        <w:rPr>
          <w:rFonts w:ascii="仿宋" w:eastAsia="仿宋" w:hAnsi="仿宋" w:cs="宋体"/>
          <w:sz w:val="32"/>
          <w:szCs w:val="32"/>
        </w:rPr>
        <w:t>核查方案，采用“内业预判+外业踏勘”模式，实地核实地块利用</w:t>
      </w:r>
      <w:r w:rsidRPr="004E2665">
        <w:rPr>
          <w:rFonts w:ascii="仿宋" w:eastAsia="仿宋" w:hAnsi="仿宋" w:cs="宋体" w:hint="eastAsia"/>
          <w:sz w:val="32"/>
          <w:szCs w:val="32"/>
        </w:rPr>
        <w:t>现状</w:t>
      </w:r>
      <w:r w:rsidRPr="004E2665">
        <w:rPr>
          <w:rFonts w:ascii="仿宋" w:eastAsia="仿宋" w:hAnsi="仿宋" w:cs="宋体"/>
          <w:sz w:val="32"/>
          <w:szCs w:val="32"/>
        </w:rPr>
        <w:t>、</w:t>
      </w:r>
      <w:r w:rsidRPr="004E2665">
        <w:rPr>
          <w:rFonts w:ascii="仿宋" w:eastAsia="仿宋" w:hAnsi="仿宋" w:cs="宋体" w:hint="eastAsia"/>
          <w:sz w:val="32"/>
          <w:szCs w:val="32"/>
        </w:rPr>
        <w:t>质量、生态状况等</w:t>
      </w:r>
      <w:r w:rsidRPr="004E2665">
        <w:rPr>
          <w:rFonts w:ascii="仿宋" w:eastAsia="仿宋" w:hAnsi="仿宋" w:cs="宋体"/>
          <w:sz w:val="32"/>
          <w:szCs w:val="32"/>
        </w:rPr>
        <w:t>，</w:t>
      </w:r>
      <w:r w:rsidRPr="004E2665">
        <w:rPr>
          <w:rFonts w:ascii="仿宋" w:eastAsia="仿宋" w:hAnsi="仿宋" w:cs="宋体" w:hint="eastAsia"/>
          <w:sz w:val="32"/>
          <w:szCs w:val="32"/>
        </w:rPr>
        <w:t>确定</w:t>
      </w:r>
      <w:r w:rsidRPr="004E2665">
        <w:rPr>
          <w:rFonts w:ascii="仿宋" w:eastAsia="仿宋" w:hAnsi="仿宋" w:cs="宋体"/>
          <w:sz w:val="32"/>
          <w:szCs w:val="32"/>
        </w:rPr>
        <w:t>零星破碎、坡度大于15度、</w:t>
      </w:r>
      <w:proofErr w:type="gramStart"/>
      <w:r w:rsidRPr="004E2665">
        <w:rPr>
          <w:rFonts w:ascii="仿宋" w:eastAsia="仿宋" w:hAnsi="仿宋" w:cs="宋体"/>
          <w:sz w:val="32"/>
          <w:szCs w:val="32"/>
        </w:rPr>
        <w:t>灾毁未修复</w:t>
      </w:r>
      <w:proofErr w:type="gramEnd"/>
      <w:r w:rsidRPr="004E2665">
        <w:rPr>
          <w:rFonts w:ascii="仿宋" w:eastAsia="仿宋" w:hAnsi="仿宋" w:cs="宋体"/>
          <w:sz w:val="32"/>
          <w:szCs w:val="32"/>
        </w:rPr>
        <w:t>、生态脆弱区等需调出的地块</w:t>
      </w:r>
      <w:r w:rsidRPr="004E2665">
        <w:rPr>
          <w:rFonts w:ascii="仿宋" w:eastAsia="仿宋" w:hAnsi="仿宋" w:cs="宋体" w:hint="eastAsia"/>
          <w:sz w:val="32"/>
          <w:szCs w:val="32"/>
        </w:rPr>
        <w:t>范围，摸清年度调整总量，</w:t>
      </w:r>
      <w:proofErr w:type="gramStart"/>
      <w:r w:rsidRPr="004E2665">
        <w:rPr>
          <w:rFonts w:ascii="仿宋" w:eastAsia="仿宋" w:hAnsi="仿宋" w:cs="宋体" w:hint="eastAsia"/>
          <w:sz w:val="32"/>
          <w:szCs w:val="32"/>
        </w:rPr>
        <w:t>逐图斑</w:t>
      </w:r>
      <w:proofErr w:type="gramEnd"/>
      <w:r w:rsidRPr="004E2665">
        <w:rPr>
          <w:rFonts w:ascii="仿宋" w:eastAsia="仿宋" w:hAnsi="仿宋" w:cs="宋体" w:hint="eastAsia"/>
          <w:sz w:val="32"/>
          <w:szCs w:val="32"/>
        </w:rPr>
        <w:t>标注调出类型</w:t>
      </w:r>
      <w:r w:rsidRPr="004E2665">
        <w:rPr>
          <w:rFonts w:ascii="仿宋" w:eastAsia="仿宋" w:hAnsi="仿宋" w:cs="宋体"/>
          <w:sz w:val="32"/>
          <w:szCs w:val="32"/>
        </w:rPr>
        <w:t>。</w:t>
      </w:r>
    </w:p>
    <w:p w14:paraId="36B89D73"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lastRenderedPageBreak/>
        <w:t>（</w:t>
      </w:r>
      <w:r w:rsidRPr="004E2665">
        <w:rPr>
          <w:rFonts w:ascii="仿宋" w:eastAsia="仿宋" w:hAnsi="仿宋" w:cs="Times New Roman" w:hint="eastAsia"/>
          <w:b w:val="0"/>
          <w:bCs w:val="0"/>
        </w:rPr>
        <w:t>四</w:t>
      </w:r>
      <w:r w:rsidRPr="004E2665">
        <w:rPr>
          <w:rFonts w:ascii="仿宋" w:eastAsia="仿宋" w:hAnsi="仿宋" w:cs="Times New Roman"/>
          <w:b w:val="0"/>
          <w:bCs w:val="0"/>
        </w:rPr>
        <w:t>）</w:t>
      </w:r>
      <w:r w:rsidRPr="004E2665">
        <w:rPr>
          <w:rFonts w:ascii="仿宋" w:eastAsia="仿宋" w:hAnsi="仿宋" w:cs="Times New Roman" w:hint="eastAsia"/>
          <w:b w:val="0"/>
          <w:bCs w:val="0"/>
        </w:rPr>
        <w:t>核实</w:t>
      </w:r>
      <w:r w:rsidRPr="004E2665">
        <w:rPr>
          <w:rFonts w:ascii="仿宋" w:eastAsia="仿宋" w:hAnsi="仿宋" w:cs="Times New Roman"/>
          <w:b w:val="0"/>
          <w:bCs w:val="0"/>
        </w:rPr>
        <w:t>补划地块</w:t>
      </w:r>
      <w:r w:rsidRPr="004E2665">
        <w:rPr>
          <w:rFonts w:ascii="仿宋" w:eastAsia="仿宋" w:hAnsi="仿宋" w:cs="Times New Roman" w:hint="eastAsia"/>
          <w:b w:val="0"/>
          <w:bCs w:val="0"/>
        </w:rPr>
        <w:t>，编制补划方案，踏勘论证</w:t>
      </w:r>
    </w:p>
    <w:p w14:paraId="27BEFE8A" w14:textId="77777777" w:rsidR="005B4369" w:rsidRPr="004E2665" w:rsidRDefault="00000000">
      <w:pPr>
        <w:spacing w:line="588" w:lineRule="exact"/>
        <w:ind w:firstLineChars="200" w:firstLine="640"/>
        <w:jc w:val="left"/>
        <w:rPr>
          <w:rFonts w:ascii="仿宋" w:eastAsia="仿宋" w:hAnsi="仿宋" w:cs="宋体" w:hint="eastAsia"/>
          <w:sz w:val="32"/>
          <w:szCs w:val="32"/>
        </w:rPr>
      </w:pPr>
      <w:r w:rsidRPr="004E2665">
        <w:rPr>
          <w:rFonts w:ascii="仿宋" w:eastAsia="仿宋" w:hAnsi="仿宋" w:cs="宋体" w:hint="eastAsia"/>
          <w:sz w:val="32"/>
          <w:szCs w:val="32"/>
        </w:rPr>
        <w:t>结合永久基本农田储备成果进行补划，逐地块进行外业核实拍照，按要求编报永久基本农田调整补划方案，严格论证调整永久基本农田的必要性、合理性和补划方案的可行性，组织对永久基本农田调整补划方案开展实地踏勘，并出具明确论证意见。</w:t>
      </w:r>
    </w:p>
    <w:p w14:paraId="3CB4E5D6"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w:t>
      </w:r>
      <w:r w:rsidRPr="004E2665">
        <w:rPr>
          <w:rFonts w:ascii="仿宋" w:eastAsia="仿宋" w:hAnsi="仿宋" w:cs="Times New Roman" w:hint="eastAsia"/>
          <w:b w:val="0"/>
          <w:bCs w:val="0"/>
        </w:rPr>
        <w:t>五</w:t>
      </w:r>
      <w:r w:rsidRPr="004E2665">
        <w:rPr>
          <w:rFonts w:ascii="仿宋" w:eastAsia="仿宋" w:hAnsi="仿宋" w:cs="Times New Roman"/>
          <w:b w:val="0"/>
          <w:bCs w:val="0"/>
        </w:rPr>
        <w:t>）举证材料</w:t>
      </w:r>
      <w:r w:rsidRPr="004E2665">
        <w:rPr>
          <w:rFonts w:ascii="仿宋" w:eastAsia="仿宋" w:hAnsi="仿宋" w:cs="Times New Roman" w:hint="eastAsia"/>
          <w:b w:val="0"/>
          <w:bCs w:val="0"/>
        </w:rPr>
        <w:t>制作</w:t>
      </w:r>
    </w:p>
    <w:p w14:paraId="1851C851" w14:textId="77777777" w:rsidR="005B4369" w:rsidRPr="004E2665" w:rsidRDefault="00000000">
      <w:pPr>
        <w:spacing w:line="588" w:lineRule="exact"/>
        <w:ind w:firstLineChars="200" w:firstLine="640"/>
        <w:jc w:val="left"/>
        <w:rPr>
          <w:rFonts w:ascii="仿宋" w:eastAsia="仿宋" w:hAnsi="仿宋" w:cs="宋体" w:hint="eastAsia"/>
          <w:sz w:val="32"/>
          <w:szCs w:val="32"/>
        </w:rPr>
      </w:pPr>
      <w:r w:rsidRPr="004E2665">
        <w:rPr>
          <w:rFonts w:ascii="仿宋" w:eastAsia="仿宋" w:hAnsi="仿宋" w:cs="宋体"/>
          <w:sz w:val="32"/>
          <w:szCs w:val="32"/>
        </w:rPr>
        <w:t>对于除省厅制作排查核</w:t>
      </w:r>
      <w:proofErr w:type="gramStart"/>
      <w:r w:rsidRPr="004E2665">
        <w:rPr>
          <w:rFonts w:ascii="仿宋" w:eastAsia="仿宋" w:hAnsi="仿宋" w:cs="宋体"/>
          <w:sz w:val="32"/>
          <w:szCs w:val="32"/>
        </w:rPr>
        <w:t>实工作</w:t>
      </w:r>
      <w:proofErr w:type="gramEnd"/>
      <w:r w:rsidRPr="004E2665">
        <w:rPr>
          <w:rFonts w:ascii="仿宋" w:eastAsia="仿宋" w:hAnsi="仿宋" w:cs="宋体"/>
          <w:sz w:val="32"/>
          <w:szCs w:val="32"/>
        </w:rPr>
        <w:t>底图外，需</w:t>
      </w:r>
      <w:proofErr w:type="gramStart"/>
      <w:r w:rsidRPr="004E2665">
        <w:rPr>
          <w:rFonts w:ascii="仿宋" w:eastAsia="仿宋" w:hAnsi="仿宋" w:cs="宋体"/>
          <w:sz w:val="32"/>
          <w:szCs w:val="32"/>
        </w:rPr>
        <w:t>逐图斑</w:t>
      </w:r>
      <w:proofErr w:type="gramEnd"/>
      <w:r w:rsidRPr="004E2665">
        <w:rPr>
          <w:rFonts w:ascii="仿宋" w:eastAsia="仿宋" w:hAnsi="仿宋" w:cs="宋体"/>
          <w:sz w:val="32"/>
          <w:szCs w:val="32"/>
        </w:rPr>
        <w:t>核实确认，</w:t>
      </w:r>
      <w:r w:rsidRPr="004E2665">
        <w:rPr>
          <w:rFonts w:ascii="仿宋" w:eastAsia="仿宋" w:hAnsi="仿宋" w:cs="宋体" w:hint="eastAsia"/>
          <w:sz w:val="32"/>
          <w:szCs w:val="32"/>
        </w:rPr>
        <w:t>按要求收集</w:t>
      </w:r>
      <w:r w:rsidRPr="004E2665">
        <w:rPr>
          <w:rFonts w:ascii="仿宋" w:eastAsia="仿宋" w:hAnsi="仿宋" w:cs="宋体"/>
          <w:sz w:val="32"/>
          <w:szCs w:val="32"/>
        </w:rPr>
        <w:t>制作影像</w:t>
      </w:r>
      <w:r w:rsidRPr="004E2665">
        <w:rPr>
          <w:rFonts w:ascii="仿宋" w:eastAsia="仿宋" w:hAnsi="仿宋" w:cs="宋体" w:hint="eastAsia"/>
          <w:sz w:val="32"/>
          <w:szCs w:val="32"/>
        </w:rPr>
        <w:t>等</w:t>
      </w:r>
      <w:r w:rsidRPr="004E2665">
        <w:rPr>
          <w:rFonts w:ascii="仿宋" w:eastAsia="仿宋" w:hAnsi="仿宋" w:cs="宋体"/>
          <w:sz w:val="32"/>
          <w:szCs w:val="32"/>
        </w:rPr>
        <w:t>举证材料。</w:t>
      </w:r>
    </w:p>
    <w:p w14:paraId="7433DC90"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w:t>
      </w:r>
      <w:r w:rsidRPr="004E2665">
        <w:rPr>
          <w:rFonts w:ascii="仿宋" w:eastAsia="仿宋" w:hAnsi="仿宋" w:cs="Times New Roman" w:hint="eastAsia"/>
          <w:b w:val="0"/>
          <w:bCs w:val="0"/>
        </w:rPr>
        <w:t>六</w:t>
      </w:r>
      <w:r w:rsidRPr="004E2665">
        <w:rPr>
          <w:rFonts w:ascii="仿宋" w:eastAsia="仿宋" w:hAnsi="仿宋" w:cs="Times New Roman"/>
          <w:b w:val="0"/>
          <w:bCs w:val="0"/>
        </w:rPr>
        <w:t>）数据库建设</w:t>
      </w:r>
    </w:p>
    <w:p w14:paraId="5D259BE3" w14:textId="77777777" w:rsidR="005B4369" w:rsidRPr="004E2665" w:rsidRDefault="00000000">
      <w:pPr>
        <w:spacing w:line="588" w:lineRule="exact"/>
        <w:ind w:firstLineChars="200" w:firstLine="640"/>
        <w:rPr>
          <w:rFonts w:ascii="仿宋" w:eastAsia="仿宋" w:hAnsi="仿宋" w:cs="宋体" w:hint="eastAsia"/>
          <w:sz w:val="32"/>
          <w:szCs w:val="32"/>
        </w:rPr>
      </w:pPr>
      <w:r w:rsidRPr="004E2665">
        <w:rPr>
          <w:rFonts w:ascii="仿宋" w:eastAsia="仿宋" w:hAnsi="仿宋" w:cs="宋体" w:hint="eastAsia"/>
          <w:sz w:val="32"/>
          <w:szCs w:val="32"/>
        </w:rPr>
        <w:t>以永久基本农田数据库、永久基本农田储备区数据库为基础，矢量数据坐标采用“2000国家大地坐标系（CGCS2000）”，1985国家高程基准，高斯-克吕格投影，按要求制作永久基本农田调整补划数据库。</w:t>
      </w:r>
    </w:p>
    <w:p w14:paraId="4684CA5A"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w:t>
      </w:r>
      <w:r w:rsidRPr="004E2665">
        <w:rPr>
          <w:rFonts w:ascii="仿宋" w:eastAsia="仿宋" w:hAnsi="仿宋" w:cs="Times New Roman" w:hint="eastAsia"/>
          <w:b w:val="0"/>
          <w:bCs w:val="0"/>
        </w:rPr>
        <w:t>七</w:t>
      </w:r>
      <w:r w:rsidRPr="004E2665">
        <w:rPr>
          <w:rFonts w:ascii="仿宋" w:eastAsia="仿宋" w:hAnsi="仿宋" w:cs="Times New Roman"/>
          <w:b w:val="0"/>
          <w:bCs w:val="0"/>
        </w:rPr>
        <w:t>）成果质量检查</w:t>
      </w:r>
    </w:p>
    <w:p w14:paraId="0DDAFF6D" w14:textId="77777777" w:rsidR="005B4369" w:rsidRPr="004E2665" w:rsidRDefault="00000000">
      <w:pPr>
        <w:spacing w:line="588" w:lineRule="exact"/>
        <w:ind w:firstLineChars="200" w:firstLine="640"/>
        <w:rPr>
          <w:rFonts w:ascii="仿宋" w:eastAsia="仿宋" w:hAnsi="仿宋" w:cs="宋体" w:hint="eastAsia"/>
          <w:sz w:val="32"/>
          <w:szCs w:val="32"/>
        </w:rPr>
      </w:pPr>
      <w:r w:rsidRPr="004E2665">
        <w:rPr>
          <w:rFonts w:ascii="仿宋" w:eastAsia="仿宋" w:hAnsi="仿宋" w:cs="宋体"/>
          <w:sz w:val="32"/>
          <w:szCs w:val="32"/>
        </w:rPr>
        <w:t>从空间精度（图</w:t>
      </w:r>
      <w:proofErr w:type="gramStart"/>
      <w:r w:rsidRPr="004E2665">
        <w:rPr>
          <w:rFonts w:ascii="仿宋" w:eastAsia="仿宋" w:hAnsi="仿宋" w:cs="宋体"/>
          <w:sz w:val="32"/>
          <w:szCs w:val="32"/>
        </w:rPr>
        <w:t>斑位置</w:t>
      </w:r>
      <w:proofErr w:type="gramEnd"/>
      <w:r w:rsidRPr="004E2665">
        <w:rPr>
          <w:rFonts w:ascii="仿宋" w:eastAsia="仿宋" w:hAnsi="仿宋" w:cs="宋体"/>
          <w:sz w:val="32"/>
          <w:szCs w:val="32"/>
        </w:rPr>
        <w:t>与边界）、属性准确性（字段完整性）、逻辑一致性（数据层关联）检查成果。</w:t>
      </w:r>
    </w:p>
    <w:p w14:paraId="32C7C8AB" w14:textId="77777777" w:rsidR="005B4369" w:rsidRPr="004E2665" w:rsidRDefault="00000000">
      <w:pPr>
        <w:pStyle w:val="2"/>
        <w:adjustRightInd w:val="0"/>
        <w:snapToGrid w:val="0"/>
        <w:spacing w:before="0" w:after="0" w:line="588" w:lineRule="exact"/>
        <w:ind w:firstLineChars="200" w:firstLine="640"/>
        <w:rPr>
          <w:rFonts w:ascii="仿宋" w:eastAsia="仿宋" w:hAnsi="仿宋" w:cs="Times New Roman"/>
          <w:b w:val="0"/>
          <w:bCs w:val="0"/>
        </w:rPr>
      </w:pPr>
      <w:r w:rsidRPr="004E2665">
        <w:rPr>
          <w:rFonts w:ascii="仿宋" w:eastAsia="仿宋" w:hAnsi="仿宋" w:cs="Times New Roman"/>
          <w:b w:val="0"/>
          <w:bCs w:val="0"/>
        </w:rPr>
        <w:t>（</w:t>
      </w:r>
      <w:r w:rsidRPr="004E2665">
        <w:rPr>
          <w:rFonts w:ascii="仿宋" w:eastAsia="仿宋" w:hAnsi="仿宋" w:cs="Times New Roman" w:hint="eastAsia"/>
          <w:b w:val="0"/>
          <w:bCs w:val="0"/>
        </w:rPr>
        <w:t>八</w:t>
      </w:r>
      <w:r w:rsidRPr="004E2665">
        <w:rPr>
          <w:rFonts w:ascii="仿宋" w:eastAsia="仿宋" w:hAnsi="仿宋" w:cs="Times New Roman"/>
          <w:b w:val="0"/>
          <w:bCs w:val="0"/>
        </w:rPr>
        <w:t>）成果汇交</w:t>
      </w:r>
    </w:p>
    <w:p w14:paraId="3EB26594" w14:textId="77777777" w:rsidR="005B4369" w:rsidRPr="004E2665" w:rsidRDefault="00000000">
      <w:pPr>
        <w:spacing w:line="588" w:lineRule="exact"/>
        <w:ind w:firstLineChars="200" w:firstLine="640"/>
        <w:rPr>
          <w:rFonts w:ascii="仿宋" w:eastAsia="仿宋" w:hAnsi="仿宋" w:cs="宋体" w:hint="eastAsia"/>
          <w:sz w:val="32"/>
          <w:szCs w:val="32"/>
        </w:rPr>
      </w:pPr>
      <w:r w:rsidRPr="004E2665">
        <w:rPr>
          <w:rFonts w:ascii="仿宋" w:eastAsia="仿宋" w:hAnsi="仿宋" w:cs="宋体" w:hint="eastAsia"/>
          <w:sz w:val="32"/>
          <w:szCs w:val="32"/>
        </w:rPr>
        <w:t>电子数据按规范统一整理并检查合格后，按程序汇交到省级，确保永久基本农田调入地块与已划定生态保护红线、城镇开发边界不交叉不重叠，与辖区内重要发展范围、正在审批、在建项目等不存在冲突，图形数据与统计表、方案中的数据一致，确保“数、线、图”一致</w:t>
      </w:r>
      <w:r w:rsidRPr="004E2665">
        <w:rPr>
          <w:rFonts w:ascii="仿宋" w:eastAsia="仿宋" w:hAnsi="仿宋" w:cs="宋体"/>
          <w:sz w:val="32"/>
          <w:szCs w:val="32"/>
        </w:rPr>
        <w:t>。</w:t>
      </w:r>
    </w:p>
    <w:p w14:paraId="12871A18" w14:textId="77777777" w:rsidR="005B4369" w:rsidRPr="004E2665" w:rsidRDefault="005B4369">
      <w:pPr>
        <w:spacing w:line="588" w:lineRule="exact"/>
        <w:ind w:firstLineChars="200" w:firstLine="640"/>
        <w:jc w:val="left"/>
        <w:rPr>
          <w:rFonts w:ascii="仿宋" w:eastAsia="仿宋" w:hAnsi="仿宋" w:cs="Times New Roman"/>
          <w:sz w:val="32"/>
          <w:szCs w:val="32"/>
        </w:rPr>
      </w:pPr>
    </w:p>
    <w:p w14:paraId="22DDAB9C" w14:textId="77777777" w:rsidR="005B4369" w:rsidRPr="004E2665" w:rsidRDefault="00000000">
      <w:pPr>
        <w:spacing w:line="588" w:lineRule="exact"/>
        <w:ind w:firstLineChars="200" w:firstLine="640"/>
        <w:jc w:val="left"/>
        <w:rPr>
          <w:rFonts w:ascii="仿宋" w:eastAsia="仿宋" w:hAnsi="仿宋" w:cs="Times New Roman"/>
          <w:bCs/>
          <w:kern w:val="44"/>
          <w:sz w:val="32"/>
          <w:szCs w:val="32"/>
        </w:rPr>
      </w:pPr>
      <w:r w:rsidRPr="004E2665">
        <w:rPr>
          <w:rFonts w:ascii="仿宋" w:eastAsia="仿宋" w:hAnsi="仿宋" w:cs="Times New Roman" w:hint="eastAsia"/>
          <w:bCs/>
          <w:kern w:val="44"/>
          <w:sz w:val="32"/>
          <w:szCs w:val="32"/>
        </w:rPr>
        <w:t>三</w:t>
      </w:r>
      <w:r w:rsidRPr="004E2665">
        <w:rPr>
          <w:rFonts w:ascii="仿宋" w:eastAsia="仿宋" w:hAnsi="仿宋" w:cs="Times New Roman"/>
          <w:bCs/>
          <w:kern w:val="44"/>
          <w:sz w:val="32"/>
          <w:szCs w:val="32"/>
        </w:rPr>
        <w:t>、经费预算</w:t>
      </w:r>
    </w:p>
    <w:p w14:paraId="04987D95" w14:textId="554338D7" w:rsidR="005B4369" w:rsidRPr="004E2665" w:rsidRDefault="00000000" w:rsidP="002D09E4">
      <w:pPr>
        <w:spacing w:line="588" w:lineRule="exact"/>
        <w:ind w:firstLineChars="200" w:firstLine="640"/>
        <w:rPr>
          <w:rFonts w:ascii="仿宋" w:eastAsia="仿宋" w:hAnsi="仿宋" w:cs="宋体"/>
          <w:sz w:val="32"/>
          <w:szCs w:val="32"/>
        </w:rPr>
      </w:pPr>
      <w:r w:rsidRPr="004E2665">
        <w:rPr>
          <w:rFonts w:ascii="仿宋" w:eastAsia="仿宋" w:hAnsi="仿宋" w:cs="宋体"/>
          <w:sz w:val="32"/>
          <w:szCs w:val="32"/>
        </w:rPr>
        <w:t>本项目属于国土调查评估类项目，结合项目实际工作内容和需求，总预算约为2</w:t>
      </w:r>
      <w:r w:rsidRPr="004E2665">
        <w:rPr>
          <w:rFonts w:ascii="仿宋" w:eastAsia="仿宋" w:hAnsi="仿宋" w:cs="宋体" w:hint="eastAsia"/>
          <w:sz w:val="32"/>
          <w:szCs w:val="32"/>
        </w:rPr>
        <w:t>5</w:t>
      </w:r>
      <w:r w:rsidRPr="004E2665">
        <w:rPr>
          <w:rFonts w:ascii="仿宋" w:eastAsia="仿宋" w:hAnsi="仿宋" w:cs="宋体"/>
          <w:sz w:val="32"/>
          <w:szCs w:val="32"/>
        </w:rPr>
        <w:t>.00万元。</w:t>
      </w:r>
    </w:p>
    <w:p w14:paraId="6B172FC7" w14:textId="77777777" w:rsidR="002D09E4" w:rsidRPr="004E2665" w:rsidRDefault="002D09E4" w:rsidP="002D09E4">
      <w:pPr>
        <w:pStyle w:val="a0"/>
        <w:rPr>
          <w:rFonts w:ascii="仿宋" w:eastAsia="仿宋" w:hAnsi="仿宋"/>
        </w:rPr>
      </w:pPr>
    </w:p>
    <w:p w14:paraId="18C10AE3" w14:textId="77777777" w:rsidR="002D09E4" w:rsidRPr="004E2665" w:rsidRDefault="002D09E4" w:rsidP="002D09E4">
      <w:pPr>
        <w:pStyle w:val="a0"/>
        <w:rPr>
          <w:rFonts w:ascii="仿宋" w:eastAsia="仿宋" w:hAnsi="仿宋" w:hint="eastAsia"/>
        </w:rPr>
      </w:pPr>
    </w:p>
    <w:p w14:paraId="2A1FB3E3" w14:textId="23FD2BDC" w:rsidR="00AD30C5" w:rsidRPr="004E2665" w:rsidRDefault="00AD30C5">
      <w:pPr>
        <w:spacing w:line="588" w:lineRule="exact"/>
        <w:jc w:val="right"/>
        <w:rPr>
          <w:rFonts w:ascii="仿宋" w:eastAsia="仿宋" w:hAnsi="仿宋" w:cs="Times New Roman" w:hint="eastAsia"/>
          <w:sz w:val="32"/>
          <w:szCs w:val="32"/>
        </w:rPr>
      </w:pPr>
      <w:r w:rsidRPr="004E2665">
        <w:rPr>
          <w:rFonts w:ascii="仿宋" w:eastAsia="仿宋" w:hAnsi="仿宋" w:cs="Times New Roman" w:hint="eastAsia"/>
          <w:sz w:val="32"/>
          <w:szCs w:val="32"/>
        </w:rPr>
        <w:t>桐柏县自然资源局</w:t>
      </w:r>
    </w:p>
    <w:p w14:paraId="75E1603D" w14:textId="0D85E34E" w:rsidR="002D09E4" w:rsidRPr="004E2665" w:rsidRDefault="00000000" w:rsidP="002D09E4">
      <w:pPr>
        <w:spacing w:line="588" w:lineRule="exact"/>
        <w:jc w:val="right"/>
        <w:rPr>
          <w:rFonts w:ascii="仿宋" w:eastAsia="仿宋" w:hAnsi="仿宋" w:cs="Times New Roman" w:hint="eastAsia"/>
          <w:sz w:val="32"/>
          <w:szCs w:val="32"/>
        </w:rPr>
        <w:sectPr w:rsidR="002D09E4" w:rsidRPr="004E2665">
          <w:pgSz w:w="11906" w:h="16838"/>
          <w:pgMar w:top="1701" w:right="1474" w:bottom="1418" w:left="1474" w:header="851" w:footer="992" w:gutter="0"/>
          <w:cols w:space="0"/>
          <w:docGrid w:type="lines" w:linePitch="312"/>
        </w:sectPr>
      </w:pPr>
      <w:r w:rsidRPr="004E2665">
        <w:rPr>
          <w:rFonts w:ascii="仿宋" w:eastAsia="仿宋" w:hAnsi="仿宋" w:cs="Times New Roman" w:hint="eastAsia"/>
          <w:sz w:val="32"/>
          <w:szCs w:val="32"/>
        </w:rPr>
        <w:t>2026年</w:t>
      </w:r>
      <w:r w:rsidR="00AD30C5" w:rsidRPr="004E2665">
        <w:rPr>
          <w:rFonts w:ascii="仿宋" w:eastAsia="仿宋" w:hAnsi="仿宋" w:cs="Times New Roman" w:hint="eastAsia"/>
          <w:sz w:val="32"/>
          <w:szCs w:val="32"/>
        </w:rPr>
        <w:t>2</w:t>
      </w:r>
      <w:r w:rsidRPr="004E2665">
        <w:rPr>
          <w:rFonts w:ascii="仿宋" w:eastAsia="仿宋" w:hAnsi="仿宋" w:cs="Times New Roman" w:hint="eastAsia"/>
          <w:sz w:val="32"/>
          <w:szCs w:val="32"/>
        </w:rPr>
        <w:t>月</w:t>
      </w:r>
      <w:r w:rsidR="00AD30C5" w:rsidRPr="004E2665">
        <w:rPr>
          <w:rFonts w:ascii="仿宋" w:eastAsia="仿宋" w:hAnsi="仿宋" w:cs="Times New Roman" w:hint="eastAsia"/>
          <w:sz w:val="32"/>
          <w:szCs w:val="32"/>
        </w:rPr>
        <w:t>2</w:t>
      </w:r>
      <w:r w:rsidRPr="004E2665">
        <w:rPr>
          <w:rFonts w:ascii="仿宋" w:eastAsia="仿宋" w:hAnsi="仿宋" w:cs="Times New Roman" w:hint="eastAsia"/>
          <w:sz w:val="32"/>
          <w:szCs w:val="32"/>
        </w:rPr>
        <w:t>日</w:t>
      </w:r>
    </w:p>
    <w:p w14:paraId="26D20E83" w14:textId="4455F559" w:rsidR="005B4369" w:rsidRPr="002D09E4" w:rsidRDefault="005B4369" w:rsidP="002D09E4">
      <w:pPr>
        <w:widowControl/>
        <w:jc w:val="left"/>
        <w:rPr>
          <w:rFonts w:hint="eastAsia"/>
        </w:rPr>
      </w:pPr>
    </w:p>
    <w:sectPr w:rsidR="005B4369" w:rsidRPr="002D09E4" w:rsidSect="0023191E">
      <w:pgSz w:w="11906" w:h="16838"/>
      <w:pgMar w:top="1701" w:right="1077" w:bottom="1418" w:left="1077"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A4E3E31F-559D-4DB3-9266-2B8ADD627291}"/>
  </w:font>
  <w:font w:name="仿宋">
    <w:panose1 w:val="02010609060101010101"/>
    <w:charset w:val="86"/>
    <w:family w:val="modern"/>
    <w:pitch w:val="fixed"/>
    <w:sig w:usb0="800002BF" w:usb1="38CF7CFA" w:usb2="00000016" w:usb3="00000000" w:csb0="00040001" w:csb1="00000000"/>
    <w:embedRegular r:id="rId2" w:subsetted="1" w:fontKey="{BB5C2668-0328-45C8-A09B-4B8225F744F1}"/>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mFlYzJlMzM5YTk0ODYxOTFhYzg1ZTRhYTExNTc3NjMifQ=="/>
  </w:docVars>
  <w:rsids>
    <w:rsidRoot w:val="00925BD4"/>
    <w:rsid w:val="00001248"/>
    <w:rsid w:val="0002202A"/>
    <w:rsid w:val="000244EC"/>
    <w:rsid w:val="000261D3"/>
    <w:rsid w:val="00031C9D"/>
    <w:rsid w:val="000502CD"/>
    <w:rsid w:val="00052502"/>
    <w:rsid w:val="0005453A"/>
    <w:rsid w:val="00055CAD"/>
    <w:rsid w:val="00064ECA"/>
    <w:rsid w:val="00065F1E"/>
    <w:rsid w:val="00087AB1"/>
    <w:rsid w:val="00091773"/>
    <w:rsid w:val="000A323D"/>
    <w:rsid w:val="000B5BFA"/>
    <w:rsid w:val="000D5EBA"/>
    <w:rsid w:val="000F248F"/>
    <w:rsid w:val="00103CEB"/>
    <w:rsid w:val="00104143"/>
    <w:rsid w:val="00105889"/>
    <w:rsid w:val="00106374"/>
    <w:rsid w:val="00111803"/>
    <w:rsid w:val="001178A2"/>
    <w:rsid w:val="00121B22"/>
    <w:rsid w:val="001450AD"/>
    <w:rsid w:val="00154144"/>
    <w:rsid w:val="00162E7D"/>
    <w:rsid w:val="00177B0B"/>
    <w:rsid w:val="00191978"/>
    <w:rsid w:val="00196065"/>
    <w:rsid w:val="001A4705"/>
    <w:rsid w:val="001A530E"/>
    <w:rsid w:val="001A5388"/>
    <w:rsid w:val="001C2BB0"/>
    <w:rsid w:val="001D1B29"/>
    <w:rsid w:val="001D3AAC"/>
    <w:rsid w:val="001F6CDC"/>
    <w:rsid w:val="00213342"/>
    <w:rsid w:val="0021423A"/>
    <w:rsid w:val="00216981"/>
    <w:rsid w:val="002229F1"/>
    <w:rsid w:val="0023191E"/>
    <w:rsid w:val="002425D7"/>
    <w:rsid w:val="00244C17"/>
    <w:rsid w:val="002505E9"/>
    <w:rsid w:val="002513F3"/>
    <w:rsid w:val="002642E4"/>
    <w:rsid w:val="00284BD8"/>
    <w:rsid w:val="00287F5D"/>
    <w:rsid w:val="00296ADB"/>
    <w:rsid w:val="0029798C"/>
    <w:rsid w:val="002A52EF"/>
    <w:rsid w:val="002C4F7B"/>
    <w:rsid w:val="002C59F3"/>
    <w:rsid w:val="002C68B7"/>
    <w:rsid w:val="002D09E4"/>
    <w:rsid w:val="002D33AB"/>
    <w:rsid w:val="002D5B14"/>
    <w:rsid w:val="002E3B7F"/>
    <w:rsid w:val="002E49F0"/>
    <w:rsid w:val="002F27E9"/>
    <w:rsid w:val="002F51CD"/>
    <w:rsid w:val="00301577"/>
    <w:rsid w:val="003067E2"/>
    <w:rsid w:val="00314078"/>
    <w:rsid w:val="0031702A"/>
    <w:rsid w:val="0033013B"/>
    <w:rsid w:val="00332EEB"/>
    <w:rsid w:val="0033549D"/>
    <w:rsid w:val="0033637F"/>
    <w:rsid w:val="003423E0"/>
    <w:rsid w:val="00351B6A"/>
    <w:rsid w:val="0035618B"/>
    <w:rsid w:val="00356C6F"/>
    <w:rsid w:val="00364EF3"/>
    <w:rsid w:val="00371679"/>
    <w:rsid w:val="00381644"/>
    <w:rsid w:val="00383124"/>
    <w:rsid w:val="00386FFA"/>
    <w:rsid w:val="00390D4A"/>
    <w:rsid w:val="003D3665"/>
    <w:rsid w:val="003D42E8"/>
    <w:rsid w:val="003E3AB4"/>
    <w:rsid w:val="003E4B1F"/>
    <w:rsid w:val="00403466"/>
    <w:rsid w:val="00414A13"/>
    <w:rsid w:val="00440111"/>
    <w:rsid w:val="004507A7"/>
    <w:rsid w:val="00451991"/>
    <w:rsid w:val="00451E3C"/>
    <w:rsid w:val="00455D07"/>
    <w:rsid w:val="00460E09"/>
    <w:rsid w:val="00461505"/>
    <w:rsid w:val="00462BBC"/>
    <w:rsid w:val="00493D18"/>
    <w:rsid w:val="00497F9F"/>
    <w:rsid w:val="004A4C0B"/>
    <w:rsid w:val="004C613C"/>
    <w:rsid w:val="004E2665"/>
    <w:rsid w:val="004E6399"/>
    <w:rsid w:val="004E71F7"/>
    <w:rsid w:val="004F03A3"/>
    <w:rsid w:val="004F3C32"/>
    <w:rsid w:val="00530032"/>
    <w:rsid w:val="00541895"/>
    <w:rsid w:val="00552C77"/>
    <w:rsid w:val="00556BCD"/>
    <w:rsid w:val="00566940"/>
    <w:rsid w:val="005728DE"/>
    <w:rsid w:val="00577171"/>
    <w:rsid w:val="0059065C"/>
    <w:rsid w:val="0059258A"/>
    <w:rsid w:val="0059590D"/>
    <w:rsid w:val="005B4369"/>
    <w:rsid w:val="005E1901"/>
    <w:rsid w:val="005E3220"/>
    <w:rsid w:val="005F5B73"/>
    <w:rsid w:val="00602F7B"/>
    <w:rsid w:val="006109DE"/>
    <w:rsid w:val="00617255"/>
    <w:rsid w:val="006219A6"/>
    <w:rsid w:val="0062371C"/>
    <w:rsid w:val="00625B10"/>
    <w:rsid w:val="006367E6"/>
    <w:rsid w:val="00646227"/>
    <w:rsid w:val="00646C81"/>
    <w:rsid w:val="00670D7B"/>
    <w:rsid w:val="00684777"/>
    <w:rsid w:val="006A0BD4"/>
    <w:rsid w:val="006B242D"/>
    <w:rsid w:val="006B63CC"/>
    <w:rsid w:val="006C35AD"/>
    <w:rsid w:val="006D3BFD"/>
    <w:rsid w:val="006F3E86"/>
    <w:rsid w:val="00701D37"/>
    <w:rsid w:val="00703CC3"/>
    <w:rsid w:val="00721A06"/>
    <w:rsid w:val="007371EA"/>
    <w:rsid w:val="00750CE0"/>
    <w:rsid w:val="00764EF0"/>
    <w:rsid w:val="00767268"/>
    <w:rsid w:val="00784E9E"/>
    <w:rsid w:val="00786AFD"/>
    <w:rsid w:val="00787E68"/>
    <w:rsid w:val="007905F4"/>
    <w:rsid w:val="00792CC5"/>
    <w:rsid w:val="00795322"/>
    <w:rsid w:val="007959B8"/>
    <w:rsid w:val="007A0A5F"/>
    <w:rsid w:val="007A58D7"/>
    <w:rsid w:val="007B2C78"/>
    <w:rsid w:val="007B6D18"/>
    <w:rsid w:val="007D1BA7"/>
    <w:rsid w:val="007D3223"/>
    <w:rsid w:val="0081416B"/>
    <w:rsid w:val="00816F8F"/>
    <w:rsid w:val="008223E8"/>
    <w:rsid w:val="0082618D"/>
    <w:rsid w:val="0082720A"/>
    <w:rsid w:val="00827B1F"/>
    <w:rsid w:val="00853199"/>
    <w:rsid w:val="00857718"/>
    <w:rsid w:val="008712F2"/>
    <w:rsid w:val="00885715"/>
    <w:rsid w:val="00891715"/>
    <w:rsid w:val="008928A6"/>
    <w:rsid w:val="0089756F"/>
    <w:rsid w:val="008B4DFF"/>
    <w:rsid w:val="008B662A"/>
    <w:rsid w:val="008B73C2"/>
    <w:rsid w:val="008D0966"/>
    <w:rsid w:val="008D6F9F"/>
    <w:rsid w:val="008E038F"/>
    <w:rsid w:val="008E4868"/>
    <w:rsid w:val="00913B9C"/>
    <w:rsid w:val="00924DDD"/>
    <w:rsid w:val="00925BD4"/>
    <w:rsid w:val="0094714C"/>
    <w:rsid w:val="00947835"/>
    <w:rsid w:val="00957CC9"/>
    <w:rsid w:val="009A708D"/>
    <w:rsid w:val="009C1143"/>
    <w:rsid w:val="009C6670"/>
    <w:rsid w:val="009D36D3"/>
    <w:rsid w:val="009D4791"/>
    <w:rsid w:val="009D7177"/>
    <w:rsid w:val="009D75B0"/>
    <w:rsid w:val="009E19BE"/>
    <w:rsid w:val="009F3B47"/>
    <w:rsid w:val="009F5793"/>
    <w:rsid w:val="00A1359D"/>
    <w:rsid w:val="00A33A21"/>
    <w:rsid w:val="00A73FCA"/>
    <w:rsid w:val="00A838FF"/>
    <w:rsid w:val="00AA1483"/>
    <w:rsid w:val="00AA5106"/>
    <w:rsid w:val="00AC3030"/>
    <w:rsid w:val="00AD30C5"/>
    <w:rsid w:val="00AD3D5D"/>
    <w:rsid w:val="00AD638A"/>
    <w:rsid w:val="00B01F2D"/>
    <w:rsid w:val="00B034C9"/>
    <w:rsid w:val="00B117D3"/>
    <w:rsid w:val="00B47E73"/>
    <w:rsid w:val="00B60483"/>
    <w:rsid w:val="00B62976"/>
    <w:rsid w:val="00B656BE"/>
    <w:rsid w:val="00B77C01"/>
    <w:rsid w:val="00B840C6"/>
    <w:rsid w:val="00B90BA1"/>
    <w:rsid w:val="00B96E96"/>
    <w:rsid w:val="00BA4923"/>
    <w:rsid w:val="00BB1B43"/>
    <w:rsid w:val="00BC3A1F"/>
    <w:rsid w:val="00BC758F"/>
    <w:rsid w:val="00BE17E3"/>
    <w:rsid w:val="00BE24D1"/>
    <w:rsid w:val="00BE4517"/>
    <w:rsid w:val="00BE4C80"/>
    <w:rsid w:val="00C135F5"/>
    <w:rsid w:val="00C14663"/>
    <w:rsid w:val="00C168DC"/>
    <w:rsid w:val="00C33AF7"/>
    <w:rsid w:val="00C37008"/>
    <w:rsid w:val="00C4485C"/>
    <w:rsid w:val="00C51AB2"/>
    <w:rsid w:val="00C62678"/>
    <w:rsid w:val="00C731ED"/>
    <w:rsid w:val="00C86BC2"/>
    <w:rsid w:val="00C91DB6"/>
    <w:rsid w:val="00CA2453"/>
    <w:rsid w:val="00CB0467"/>
    <w:rsid w:val="00CB5F32"/>
    <w:rsid w:val="00CC675D"/>
    <w:rsid w:val="00CD7F71"/>
    <w:rsid w:val="00CF0B64"/>
    <w:rsid w:val="00D071C1"/>
    <w:rsid w:val="00D22413"/>
    <w:rsid w:val="00D42F65"/>
    <w:rsid w:val="00D466E3"/>
    <w:rsid w:val="00D5088F"/>
    <w:rsid w:val="00D5185C"/>
    <w:rsid w:val="00D76E14"/>
    <w:rsid w:val="00DA24FC"/>
    <w:rsid w:val="00DB7B59"/>
    <w:rsid w:val="00DC19E4"/>
    <w:rsid w:val="00DC4CF4"/>
    <w:rsid w:val="00DC4FAA"/>
    <w:rsid w:val="00DC5280"/>
    <w:rsid w:val="00DC798D"/>
    <w:rsid w:val="00DE1AE4"/>
    <w:rsid w:val="00E03110"/>
    <w:rsid w:val="00E06A76"/>
    <w:rsid w:val="00E07267"/>
    <w:rsid w:val="00E2175A"/>
    <w:rsid w:val="00E21B0C"/>
    <w:rsid w:val="00E22B52"/>
    <w:rsid w:val="00E326F5"/>
    <w:rsid w:val="00E32862"/>
    <w:rsid w:val="00E36CEE"/>
    <w:rsid w:val="00E43B0F"/>
    <w:rsid w:val="00E54704"/>
    <w:rsid w:val="00E61965"/>
    <w:rsid w:val="00E727B4"/>
    <w:rsid w:val="00E746CA"/>
    <w:rsid w:val="00E77E0F"/>
    <w:rsid w:val="00E9455A"/>
    <w:rsid w:val="00E94B5C"/>
    <w:rsid w:val="00EA6387"/>
    <w:rsid w:val="00EB504D"/>
    <w:rsid w:val="00EB7D94"/>
    <w:rsid w:val="00ED2F2D"/>
    <w:rsid w:val="00EF3E29"/>
    <w:rsid w:val="00F26EC8"/>
    <w:rsid w:val="00F368C3"/>
    <w:rsid w:val="00F62DD7"/>
    <w:rsid w:val="00F734B6"/>
    <w:rsid w:val="00F83925"/>
    <w:rsid w:val="00F83C34"/>
    <w:rsid w:val="00F84727"/>
    <w:rsid w:val="00F93CEE"/>
    <w:rsid w:val="00FA33C0"/>
    <w:rsid w:val="00FB2047"/>
    <w:rsid w:val="00FB2834"/>
    <w:rsid w:val="00FB480B"/>
    <w:rsid w:val="00FC3B15"/>
    <w:rsid w:val="00FC4D80"/>
    <w:rsid w:val="00FE00D5"/>
    <w:rsid w:val="00FE7A1C"/>
    <w:rsid w:val="00FF66C1"/>
    <w:rsid w:val="017B01AA"/>
    <w:rsid w:val="01E555B3"/>
    <w:rsid w:val="03393105"/>
    <w:rsid w:val="047C599F"/>
    <w:rsid w:val="04827D0C"/>
    <w:rsid w:val="04A67520"/>
    <w:rsid w:val="04BD38C2"/>
    <w:rsid w:val="04D8694E"/>
    <w:rsid w:val="05145D9F"/>
    <w:rsid w:val="05852631"/>
    <w:rsid w:val="06F061D0"/>
    <w:rsid w:val="0746163F"/>
    <w:rsid w:val="074E2EF7"/>
    <w:rsid w:val="07592B75"/>
    <w:rsid w:val="0847540B"/>
    <w:rsid w:val="08E83D84"/>
    <w:rsid w:val="09036D1D"/>
    <w:rsid w:val="09212671"/>
    <w:rsid w:val="09E776E0"/>
    <w:rsid w:val="0BB84038"/>
    <w:rsid w:val="0BBE064B"/>
    <w:rsid w:val="0C9C471D"/>
    <w:rsid w:val="0CC04897"/>
    <w:rsid w:val="0E060087"/>
    <w:rsid w:val="0E736CD5"/>
    <w:rsid w:val="0F360E40"/>
    <w:rsid w:val="0F4C5F6E"/>
    <w:rsid w:val="106B1EF6"/>
    <w:rsid w:val="10741C20"/>
    <w:rsid w:val="10E54B9E"/>
    <w:rsid w:val="11252F1A"/>
    <w:rsid w:val="11785740"/>
    <w:rsid w:val="11A025A1"/>
    <w:rsid w:val="11A37A98"/>
    <w:rsid w:val="11BF511D"/>
    <w:rsid w:val="11F87223"/>
    <w:rsid w:val="1210339B"/>
    <w:rsid w:val="12217B86"/>
    <w:rsid w:val="127F4B96"/>
    <w:rsid w:val="12E27315"/>
    <w:rsid w:val="13234B6C"/>
    <w:rsid w:val="138E4DA7"/>
    <w:rsid w:val="13DA7FEC"/>
    <w:rsid w:val="14294AD0"/>
    <w:rsid w:val="142A5125"/>
    <w:rsid w:val="14341022"/>
    <w:rsid w:val="144638D4"/>
    <w:rsid w:val="14CA6C4B"/>
    <w:rsid w:val="150443FD"/>
    <w:rsid w:val="15543DCE"/>
    <w:rsid w:val="16266269"/>
    <w:rsid w:val="16EC079E"/>
    <w:rsid w:val="16FA2753"/>
    <w:rsid w:val="17305017"/>
    <w:rsid w:val="17CA392B"/>
    <w:rsid w:val="17CE7E68"/>
    <w:rsid w:val="17F83137"/>
    <w:rsid w:val="181F6915"/>
    <w:rsid w:val="189F7A56"/>
    <w:rsid w:val="18A961DF"/>
    <w:rsid w:val="18C56EDC"/>
    <w:rsid w:val="195332E5"/>
    <w:rsid w:val="195E6FCA"/>
    <w:rsid w:val="198033E4"/>
    <w:rsid w:val="1AD87250"/>
    <w:rsid w:val="1B047A75"/>
    <w:rsid w:val="1B6D1746"/>
    <w:rsid w:val="1BD73063"/>
    <w:rsid w:val="1BE65CB8"/>
    <w:rsid w:val="1C5D7A0C"/>
    <w:rsid w:val="1C7E6E86"/>
    <w:rsid w:val="1CE67A02"/>
    <w:rsid w:val="1CFF3E98"/>
    <w:rsid w:val="1DF60118"/>
    <w:rsid w:val="1E002731"/>
    <w:rsid w:val="1E336A21"/>
    <w:rsid w:val="1F784B5D"/>
    <w:rsid w:val="1FA64E8C"/>
    <w:rsid w:val="1FE43FA1"/>
    <w:rsid w:val="206A6B9C"/>
    <w:rsid w:val="20944682"/>
    <w:rsid w:val="20B61DE1"/>
    <w:rsid w:val="21647076"/>
    <w:rsid w:val="21952657"/>
    <w:rsid w:val="221E19EC"/>
    <w:rsid w:val="22723AE6"/>
    <w:rsid w:val="229D2D44"/>
    <w:rsid w:val="22D004AE"/>
    <w:rsid w:val="22DE117B"/>
    <w:rsid w:val="23886EED"/>
    <w:rsid w:val="23BA1BE8"/>
    <w:rsid w:val="23F24EDE"/>
    <w:rsid w:val="244A2F6C"/>
    <w:rsid w:val="24AB3ECC"/>
    <w:rsid w:val="25257535"/>
    <w:rsid w:val="253A6D5A"/>
    <w:rsid w:val="259F1096"/>
    <w:rsid w:val="261A5A10"/>
    <w:rsid w:val="268B161A"/>
    <w:rsid w:val="269E30FB"/>
    <w:rsid w:val="270903CF"/>
    <w:rsid w:val="273852FE"/>
    <w:rsid w:val="276A122F"/>
    <w:rsid w:val="27871DE1"/>
    <w:rsid w:val="2A063491"/>
    <w:rsid w:val="2A0B6CFA"/>
    <w:rsid w:val="2AB71419"/>
    <w:rsid w:val="2BF043F9"/>
    <w:rsid w:val="2C932FD6"/>
    <w:rsid w:val="2D1F486A"/>
    <w:rsid w:val="2D6230D5"/>
    <w:rsid w:val="2D8D3ECA"/>
    <w:rsid w:val="2EAB2859"/>
    <w:rsid w:val="2EE45D6B"/>
    <w:rsid w:val="2EF064BE"/>
    <w:rsid w:val="2F081A5A"/>
    <w:rsid w:val="2FCC22EE"/>
    <w:rsid w:val="302E54F0"/>
    <w:rsid w:val="30D140CD"/>
    <w:rsid w:val="30E0226A"/>
    <w:rsid w:val="310F3573"/>
    <w:rsid w:val="31532D34"/>
    <w:rsid w:val="32180206"/>
    <w:rsid w:val="32277409"/>
    <w:rsid w:val="326A2A2B"/>
    <w:rsid w:val="334B63B9"/>
    <w:rsid w:val="33C2686F"/>
    <w:rsid w:val="342235BE"/>
    <w:rsid w:val="35867B7C"/>
    <w:rsid w:val="359027A9"/>
    <w:rsid w:val="35A16764"/>
    <w:rsid w:val="35C80195"/>
    <w:rsid w:val="36590DED"/>
    <w:rsid w:val="365B4B65"/>
    <w:rsid w:val="36723C5D"/>
    <w:rsid w:val="36B85B13"/>
    <w:rsid w:val="36F06638"/>
    <w:rsid w:val="37CC4D44"/>
    <w:rsid w:val="385E26EA"/>
    <w:rsid w:val="387C7014"/>
    <w:rsid w:val="3992180D"/>
    <w:rsid w:val="3A683CF4"/>
    <w:rsid w:val="3A8A3C6B"/>
    <w:rsid w:val="3A976388"/>
    <w:rsid w:val="3AF410E4"/>
    <w:rsid w:val="3B2B41F0"/>
    <w:rsid w:val="3B7566C9"/>
    <w:rsid w:val="3B9308FD"/>
    <w:rsid w:val="3B972321"/>
    <w:rsid w:val="3BBA6478"/>
    <w:rsid w:val="3C7E15AD"/>
    <w:rsid w:val="3C9708C1"/>
    <w:rsid w:val="3CB11983"/>
    <w:rsid w:val="3D67429F"/>
    <w:rsid w:val="3D7604D6"/>
    <w:rsid w:val="3DDD2303"/>
    <w:rsid w:val="3DEE4511"/>
    <w:rsid w:val="3E0B0C1F"/>
    <w:rsid w:val="3E774A02"/>
    <w:rsid w:val="3E88226F"/>
    <w:rsid w:val="3ECD4126"/>
    <w:rsid w:val="3EF22B18"/>
    <w:rsid w:val="3FDB0AC5"/>
    <w:rsid w:val="40492776"/>
    <w:rsid w:val="41103E11"/>
    <w:rsid w:val="412101D3"/>
    <w:rsid w:val="41686388"/>
    <w:rsid w:val="42E93AB6"/>
    <w:rsid w:val="432D7889"/>
    <w:rsid w:val="43D37D68"/>
    <w:rsid w:val="444B446B"/>
    <w:rsid w:val="44AB6CB7"/>
    <w:rsid w:val="45DB537A"/>
    <w:rsid w:val="46B8390E"/>
    <w:rsid w:val="47786385"/>
    <w:rsid w:val="47857C94"/>
    <w:rsid w:val="4851401A"/>
    <w:rsid w:val="48643D4D"/>
    <w:rsid w:val="48DF1625"/>
    <w:rsid w:val="493F715F"/>
    <w:rsid w:val="494C2188"/>
    <w:rsid w:val="49AE72AE"/>
    <w:rsid w:val="4A4E6A63"/>
    <w:rsid w:val="4A8B6AF7"/>
    <w:rsid w:val="4A9973CA"/>
    <w:rsid w:val="4AF313B8"/>
    <w:rsid w:val="4B111850"/>
    <w:rsid w:val="4BD25472"/>
    <w:rsid w:val="4C347834"/>
    <w:rsid w:val="4C4C6FD2"/>
    <w:rsid w:val="4CD314A1"/>
    <w:rsid w:val="4CD82614"/>
    <w:rsid w:val="4D1473C4"/>
    <w:rsid w:val="4D1D7F60"/>
    <w:rsid w:val="4D3F2693"/>
    <w:rsid w:val="4DF55447"/>
    <w:rsid w:val="4E7E543D"/>
    <w:rsid w:val="4EDD7EAF"/>
    <w:rsid w:val="4F155DA1"/>
    <w:rsid w:val="4FC545DE"/>
    <w:rsid w:val="5023629C"/>
    <w:rsid w:val="50327120"/>
    <w:rsid w:val="50371D47"/>
    <w:rsid w:val="503C0801"/>
    <w:rsid w:val="503E52B1"/>
    <w:rsid w:val="506F1372"/>
    <w:rsid w:val="50A3011C"/>
    <w:rsid w:val="50ED1D19"/>
    <w:rsid w:val="51DF4640"/>
    <w:rsid w:val="528B68A5"/>
    <w:rsid w:val="52D17123"/>
    <w:rsid w:val="5302488E"/>
    <w:rsid w:val="532760A3"/>
    <w:rsid w:val="53544755"/>
    <w:rsid w:val="53EB70D0"/>
    <w:rsid w:val="548D462B"/>
    <w:rsid w:val="55F620AC"/>
    <w:rsid w:val="561641AD"/>
    <w:rsid w:val="56BF0570"/>
    <w:rsid w:val="56F24C1A"/>
    <w:rsid w:val="570B44CB"/>
    <w:rsid w:val="574923CC"/>
    <w:rsid w:val="57E36310"/>
    <w:rsid w:val="57EC78BB"/>
    <w:rsid w:val="58527040"/>
    <w:rsid w:val="587D6765"/>
    <w:rsid w:val="58D5034F"/>
    <w:rsid w:val="59592D2E"/>
    <w:rsid w:val="59E92304"/>
    <w:rsid w:val="5A7D2A4C"/>
    <w:rsid w:val="5B773940"/>
    <w:rsid w:val="5C190553"/>
    <w:rsid w:val="5C9D2F32"/>
    <w:rsid w:val="5D2378DB"/>
    <w:rsid w:val="5D30024A"/>
    <w:rsid w:val="5D72616D"/>
    <w:rsid w:val="5DF306A7"/>
    <w:rsid w:val="5E3B2A02"/>
    <w:rsid w:val="5EB629D1"/>
    <w:rsid w:val="5F0D4001"/>
    <w:rsid w:val="5F6B7317"/>
    <w:rsid w:val="603940F8"/>
    <w:rsid w:val="60762418"/>
    <w:rsid w:val="61C471B3"/>
    <w:rsid w:val="61CB22EF"/>
    <w:rsid w:val="61EB0BE3"/>
    <w:rsid w:val="62D6719E"/>
    <w:rsid w:val="62E53885"/>
    <w:rsid w:val="634C3904"/>
    <w:rsid w:val="63640C4D"/>
    <w:rsid w:val="63716EC6"/>
    <w:rsid w:val="639E415F"/>
    <w:rsid w:val="646B6BB1"/>
    <w:rsid w:val="64D4595F"/>
    <w:rsid w:val="667E5B82"/>
    <w:rsid w:val="671604B0"/>
    <w:rsid w:val="673900CC"/>
    <w:rsid w:val="6A3F387A"/>
    <w:rsid w:val="6B064398"/>
    <w:rsid w:val="6B985938"/>
    <w:rsid w:val="6BF34321"/>
    <w:rsid w:val="6C423AF6"/>
    <w:rsid w:val="6C580C23"/>
    <w:rsid w:val="6CA420BB"/>
    <w:rsid w:val="6CAB51F7"/>
    <w:rsid w:val="6DB30807"/>
    <w:rsid w:val="6DC76061"/>
    <w:rsid w:val="6E1A6AD8"/>
    <w:rsid w:val="6E82467D"/>
    <w:rsid w:val="6EA445F4"/>
    <w:rsid w:val="6FA67EF8"/>
    <w:rsid w:val="6FAD1EDF"/>
    <w:rsid w:val="6FD64C81"/>
    <w:rsid w:val="704B561C"/>
    <w:rsid w:val="706933FF"/>
    <w:rsid w:val="712330CA"/>
    <w:rsid w:val="71940950"/>
    <w:rsid w:val="72BF37AA"/>
    <w:rsid w:val="73102258"/>
    <w:rsid w:val="746C1AB6"/>
    <w:rsid w:val="74E90FB2"/>
    <w:rsid w:val="74E92D60"/>
    <w:rsid w:val="750202C6"/>
    <w:rsid w:val="757F1917"/>
    <w:rsid w:val="75D7705D"/>
    <w:rsid w:val="769D3E02"/>
    <w:rsid w:val="76C92E49"/>
    <w:rsid w:val="77F959B0"/>
    <w:rsid w:val="78D11D28"/>
    <w:rsid w:val="7A0423EA"/>
    <w:rsid w:val="7A1A1C0E"/>
    <w:rsid w:val="7A7C4A60"/>
    <w:rsid w:val="7B0A57DF"/>
    <w:rsid w:val="7B256ABC"/>
    <w:rsid w:val="7C0E7550"/>
    <w:rsid w:val="7DFF7557"/>
    <w:rsid w:val="7E3239CA"/>
    <w:rsid w:val="7F141322"/>
    <w:rsid w:val="7F196938"/>
    <w:rsid w:val="7F3B5138"/>
    <w:rsid w:val="7F4A1A3A"/>
    <w:rsid w:val="7F6D27E0"/>
    <w:rsid w:val="7F7501A0"/>
    <w:rsid w:val="7FCB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BB533"/>
  <w15:docId w15:val="{9312C402-F239-466E-B817-5F0FB4C8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qFormat/>
    <w:pPr>
      <w:keepNext/>
      <w:keepLines/>
      <w:spacing w:before="260" w:after="260" w:line="413" w:lineRule="auto"/>
      <w:outlineLvl w:val="1"/>
    </w:pPr>
    <w:rPr>
      <w:rFonts w:ascii="Arial" w:eastAsia="楷体_GB2312"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_GB2312" w:eastAsia="仿宋_GB2312" w:hAnsi="仿宋_GB2312" w:cs="仿宋_GB2312"/>
      <w:sz w:val="31"/>
      <w:szCs w:val="31"/>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rFonts w:cs="Times New Roman"/>
      <w:kern w:val="0"/>
      <w:sz w:val="24"/>
    </w:rPr>
  </w:style>
  <w:style w:type="table" w:styleId="ab">
    <w:name w:val="Table Grid"/>
    <w:basedOn w:val="a2"/>
    <w:uiPriority w:val="39"/>
    <w:qFormat/>
    <w:rPr>
      <w:rFonts w:asciiTheme="minorHAnsi"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qFormat/>
    <w:rPr>
      <w:b/>
    </w:rPr>
  </w:style>
  <w:style w:type="character" w:customStyle="1" w:styleId="a5">
    <w:name w:val="批注框文本 字符"/>
    <w:basedOn w:val="a1"/>
    <w:link w:val="a4"/>
    <w:qFormat/>
    <w:rPr>
      <w:rFonts w:asciiTheme="minorHAnsi" w:eastAsiaTheme="minorEastAsia" w:hAnsiTheme="minorHAnsi" w:cstheme="minorBidi"/>
      <w:kern w:val="2"/>
      <w:sz w:val="18"/>
      <w:szCs w:val="18"/>
    </w:rPr>
  </w:style>
  <w:style w:type="character" w:customStyle="1" w:styleId="a9">
    <w:name w:val="页眉 字符"/>
    <w:basedOn w:val="a1"/>
    <w:link w:val="a8"/>
    <w:qFormat/>
    <w:rPr>
      <w:rFonts w:asciiTheme="minorHAnsi" w:eastAsiaTheme="minorEastAsia" w:hAnsiTheme="minorHAnsi" w:cstheme="minorBidi"/>
      <w:kern w:val="2"/>
      <w:sz w:val="18"/>
      <w:szCs w:val="18"/>
    </w:rPr>
  </w:style>
  <w:style w:type="character" w:customStyle="1" w:styleId="a7">
    <w:name w:val="页脚 字符"/>
    <w:basedOn w:val="a1"/>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749</Words>
  <Characters>780</Characters>
  <Application>Microsoft Office Word</Application>
  <DocSecurity>0</DocSecurity>
  <Lines>41</Lines>
  <Paragraphs>28</Paragraphs>
  <ScaleCrop>false</ScaleCrop>
  <Company>P R C</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建 魏</cp:lastModifiedBy>
  <cp:revision>5</cp:revision>
  <cp:lastPrinted>2026-01-28T07:42:00Z</cp:lastPrinted>
  <dcterms:created xsi:type="dcterms:W3CDTF">2026-02-02T06:37:00Z</dcterms:created>
  <dcterms:modified xsi:type="dcterms:W3CDTF">2026-02-03T02:28:00Z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3E27A8A9660947AF99DEB0D10F433481_13</vt:lpwstr>
  </property>
  <property fmtid="{D5CDD505-2E9C-101B-9397-08002B2CF9AE}" pid="4" name="KSOTemplateDocerSaveRecord">
    <vt:lpwstr>eyJoZGlkIjoiODYyOTVkYmIzZDM5YTMxNWFlZDcwMjI0Yjk5ZGRlNmYiLCJ1c2VySWQiOiI2MzY0MjY3NjIifQ==</vt:lpwstr>
  </property>
</Properties>
</file>