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62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桐柏县财政局</w:t>
      </w:r>
    </w:p>
    <w:p w14:paraId="7F3190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关于2025年法治政府建设情况的报告</w:t>
      </w:r>
    </w:p>
    <w:p w14:paraId="48B81D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0EE0ED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仿宋_GB2312" w:hAnsi="仿宋_GB2312" w:eastAsia="仿宋_GB2312" w:cs="仿宋_GB2312"/>
          <w:sz w:val="32"/>
          <w:szCs w:val="32"/>
          <w:highlight w:val="none"/>
        </w:rPr>
        <w:t>2025年，桐柏县财政局深入学习贯彻习近平法治思想，全面落实省、市、县法治建设工作部署，以党政主要负责人履行推进法治建设第一责任人职责为抓手，将法治要求贯穿财政改革发展全过程，依法行政、依法理财能力显著提升，为全县经济社会高质量发展提供了坚实法治保障。现将有关情况报告如下：</w:t>
      </w:r>
    </w:p>
    <w:p w14:paraId="7DDCD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一、主要开展工作及成效</w:t>
      </w:r>
    </w:p>
    <w:p w14:paraId="020A03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（一）深化思想武装，夯实法治财政基础</w:t>
      </w:r>
    </w:p>
    <w:p w14:paraId="7D754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严格落实《党政主要负责人履行推进法治建设第一责任人职责规定》，打造三类学法模式，</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党组理论学习中心组聚焦习近平法治思想、新出台法律法规开展专题学习。2025年度组织领导班子专题学习5次，开展研讨交流2次，切实把握相关法律法规核心要义、精神实质和实践要求。</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业务股室围绕预算管理、政府采购、资金监管等核心业务开展法治培训。2025年度针对政府采购、政府投资项目资金管理、国资国企监管、财会监督等领域开展政策法规的解读与培训，提高桐柏县域企事业单位人员的法纪意识和业务能力，推动全县财政工作高质量发展。</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局全体干部职工通过每周例行全体会议对《宪法》《中华人民共和国行政处罚法》《中华人民共和国法治宣传教育法》等法律法规进行常态化学习，2025年度组织各类学法活动19场，参与干部职工达2000余人次。通过领导领学、专家授课、以案释法、以案促改等方式加强学习成效，干部职工法治素养和依法履职能力显著提升。</w:t>
      </w:r>
    </w:p>
    <w:p w14:paraId="3FB657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2"/>
          <w:sz w:val="21"/>
          <w:szCs w:val="24"/>
          <w:highlight w:val="none"/>
          <w:lang w:val="en-US" w:eastAsia="zh-CN" w:bidi="ar-SA"/>
        </w:rPr>
      </w:pPr>
      <w:r>
        <w:rPr>
          <w:rFonts w:hint="eastAsia" w:ascii="楷体_GB2312" w:hAnsi="楷体_GB2312" w:eastAsia="楷体_GB2312" w:cs="楷体_GB2312"/>
          <w:b/>
          <w:bCs/>
          <w:sz w:val="32"/>
          <w:szCs w:val="32"/>
          <w:highlight w:val="none"/>
          <w:lang w:val="en-US" w:eastAsia="zh-CN"/>
        </w:rPr>
        <w:t>（二）完善制度机制，压实法治财政责任</w:t>
      </w:r>
    </w:p>
    <w:p w14:paraId="12E565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一是落实专班职责，统筹法治实务。</w:t>
      </w:r>
      <w:r>
        <w:rPr>
          <w:rFonts w:hint="default" w:ascii="仿宋_GB2312" w:hAnsi="仿宋_GB2312" w:eastAsia="仿宋_GB2312" w:cs="仿宋_GB2312"/>
          <w:sz w:val="32"/>
          <w:szCs w:val="32"/>
          <w:highlight w:val="none"/>
          <w:lang w:val="en-US" w:eastAsia="zh-CN"/>
        </w:rPr>
        <w:t>为强化法治建设统筹协调力度，</w:t>
      </w:r>
      <w:r>
        <w:rPr>
          <w:rFonts w:hint="eastAsia" w:ascii="仿宋_GB2312" w:hAnsi="仿宋_GB2312" w:eastAsia="仿宋_GB2312" w:cs="仿宋_GB2312"/>
          <w:sz w:val="32"/>
          <w:szCs w:val="32"/>
          <w:highlight w:val="none"/>
          <w:lang w:val="en-US" w:eastAsia="zh-CN"/>
        </w:rPr>
        <w:t>桐柏</w:t>
      </w:r>
      <w:r>
        <w:rPr>
          <w:rFonts w:hint="default" w:ascii="仿宋_GB2312" w:hAnsi="仿宋_GB2312" w:eastAsia="仿宋_GB2312" w:cs="仿宋_GB2312"/>
          <w:sz w:val="32"/>
          <w:szCs w:val="32"/>
          <w:highlight w:val="none"/>
          <w:lang w:val="en-US" w:eastAsia="zh-CN"/>
        </w:rPr>
        <w:t>县财政局立足财政职能特点，成立由局党组书记、局长任组长，分管副局长任副组长，各业务股室</w:t>
      </w:r>
      <w:r>
        <w:rPr>
          <w:rFonts w:hint="eastAsia" w:ascii="仿宋_GB2312" w:hAnsi="仿宋_GB2312" w:eastAsia="仿宋_GB2312" w:cs="仿宋_GB2312"/>
          <w:sz w:val="32"/>
          <w:szCs w:val="32"/>
          <w:highlight w:val="none"/>
          <w:lang w:val="en-US" w:eastAsia="zh-CN"/>
        </w:rPr>
        <w:t>主要负责人及</w:t>
      </w:r>
      <w:r>
        <w:rPr>
          <w:rFonts w:hint="default" w:ascii="仿宋_GB2312" w:hAnsi="仿宋_GB2312" w:eastAsia="仿宋_GB2312" w:cs="仿宋_GB2312"/>
          <w:sz w:val="32"/>
          <w:szCs w:val="32"/>
          <w:highlight w:val="none"/>
          <w:lang w:val="en-US" w:eastAsia="zh-CN"/>
        </w:rPr>
        <w:t>骨干为成员的法治工作专班</w:t>
      </w:r>
      <w:r>
        <w:rPr>
          <w:rFonts w:hint="eastAsia" w:ascii="仿宋_GB2312" w:hAnsi="仿宋_GB2312" w:eastAsia="仿宋_GB2312" w:cs="仿宋_GB2312"/>
          <w:sz w:val="32"/>
          <w:szCs w:val="32"/>
          <w:highlight w:val="none"/>
          <w:lang w:val="en-US" w:eastAsia="zh-CN"/>
        </w:rPr>
        <w:t>，并根据队伍建设需求，及时调整法治专班成员</w:t>
      </w:r>
      <w:r>
        <w:rPr>
          <w:rFonts w:hint="default" w:ascii="仿宋_GB2312" w:hAnsi="仿宋_GB2312" w:eastAsia="仿宋_GB2312" w:cs="仿宋_GB2312"/>
          <w:sz w:val="32"/>
          <w:szCs w:val="32"/>
          <w:highlight w:val="none"/>
          <w:lang w:val="en-US" w:eastAsia="zh-CN"/>
        </w:rPr>
        <w:t>，构建“主要领导牵头抓、专班统筹推、股室协同办”的工作格局，</w:t>
      </w:r>
      <w:r>
        <w:rPr>
          <w:rFonts w:hint="eastAsia" w:ascii="仿宋_GB2312" w:hAnsi="仿宋_GB2312" w:eastAsia="仿宋_GB2312" w:cs="仿宋_GB2312"/>
          <w:sz w:val="32"/>
          <w:szCs w:val="32"/>
          <w:highlight w:val="none"/>
          <w:lang w:val="en-US" w:eastAsia="zh-CN"/>
        </w:rPr>
        <w:t>进一步</w:t>
      </w:r>
      <w:r>
        <w:rPr>
          <w:rFonts w:hint="default" w:ascii="仿宋_GB2312" w:hAnsi="仿宋_GB2312" w:eastAsia="仿宋_GB2312" w:cs="仿宋_GB2312"/>
          <w:sz w:val="32"/>
          <w:szCs w:val="32"/>
          <w:highlight w:val="none"/>
          <w:lang w:val="en-US" w:eastAsia="zh-CN"/>
        </w:rPr>
        <w:t>明确专班在制度建设、执法规范、普法宣传、风险防控等领域的核心职责，实现法治工作与财政业务深度融合。定期组织法治培训与</w:t>
      </w:r>
      <w:r>
        <w:rPr>
          <w:rFonts w:hint="eastAsia" w:ascii="仿宋_GB2312" w:hAnsi="仿宋_GB2312" w:eastAsia="仿宋_GB2312" w:cs="仿宋_GB2312"/>
          <w:sz w:val="32"/>
          <w:szCs w:val="32"/>
          <w:highlight w:val="none"/>
          <w:lang w:val="en-US" w:eastAsia="zh-CN"/>
        </w:rPr>
        <w:t>法制宣传</w:t>
      </w:r>
      <w:r>
        <w:rPr>
          <w:rFonts w:hint="default" w:ascii="仿宋_GB2312" w:hAnsi="仿宋_GB2312" w:eastAsia="仿宋_GB2312" w:cs="仿宋_GB2312"/>
          <w:sz w:val="32"/>
          <w:szCs w:val="32"/>
          <w:highlight w:val="none"/>
          <w:lang w:val="en-US" w:eastAsia="zh-CN"/>
        </w:rPr>
        <w:t>，推动干部队伍法治素养与业务能力双提升。法治专班的设立有效破解了以往法治工作分散化、碎片化问题，全年统筹完成规范性文件清理、执法流程优化、重点普法活动等关键任务，为财政工作法治化、规范化发展提供了坚实组织保障。</w:t>
      </w:r>
      <w:r>
        <w:rPr>
          <w:rFonts w:hint="eastAsia" w:ascii="仿宋_GB2312" w:hAnsi="仿宋_GB2312" w:eastAsia="仿宋_GB2312" w:cs="仿宋_GB2312"/>
          <w:b/>
          <w:bCs/>
          <w:sz w:val="32"/>
          <w:szCs w:val="32"/>
          <w:highlight w:val="none"/>
          <w:lang w:val="en-US" w:eastAsia="zh-CN"/>
        </w:rPr>
        <w:t>二是聘请法律顾问，筑牢风控防线。</w:t>
      </w:r>
      <w:r>
        <w:rPr>
          <w:rFonts w:hint="eastAsia" w:ascii="仿宋_GB2312" w:hAnsi="仿宋_GB2312" w:eastAsia="仿宋_GB2312" w:cs="仿宋_GB2312"/>
          <w:sz w:val="32"/>
          <w:szCs w:val="32"/>
          <w:highlight w:val="none"/>
          <w:lang w:val="en-US" w:eastAsia="zh-CN"/>
        </w:rPr>
        <w:t>桐柏县财政局立足依法理财核心要求，建立“法制机构+法律顾问” 双审机制，聘请专业执业律师担任常年法律顾问，通过列席专题会议、出具法律意见书等方式，确保决策程序合规、内容合法，参与规范性文件起草与清理，对涉政策条款进行法律论证，防范政策与上位法冲突风险等方式构建起“事前防范、事中把控、事后化解”的全链条法律风险防控体系，为财政工作筑牢风控防线。</w:t>
      </w:r>
      <w:r>
        <w:rPr>
          <w:rFonts w:hint="eastAsia" w:ascii="仿宋_GB2312" w:hAnsi="仿宋_GB2312" w:eastAsia="仿宋_GB2312" w:cs="仿宋_GB2312"/>
          <w:b/>
          <w:bCs/>
          <w:sz w:val="32"/>
          <w:szCs w:val="32"/>
          <w:highlight w:val="none"/>
          <w:lang w:val="en-US" w:eastAsia="zh-CN"/>
        </w:rPr>
        <w:t>三是落实资格考核，规范执法准入。</w:t>
      </w:r>
      <w:r>
        <w:rPr>
          <w:rFonts w:hint="eastAsia" w:ascii="仿宋_GB2312" w:hAnsi="仿宋_GB2312" w:eastAsia="仿宋_GB2312" w:cs="仿宋_GB2312"/>
          <w:sz w:val="32"/>
          <w:szCs w:val="32"/>
          <w:highlight w:val="none"/>
          <w:lang w:val="en-US" w:eastAsia="zh-CN"/>
        </w:rPr>
        <w:t>将行政执法证资格管理作为强化法治队伍建设、提升执法规范化水平的重要任务。依据行政执法人员资格管理相关规定，针对拟从事执法工作的新进人员、岗位调整人员及证件到期人员，系统组织行政执法资格专项培训与考核，确保执法人员全部持证上岗，提升执法人员规范执法能力。</w:t>
      </w:r>
    </w:p>
    <w:p w14:paraId="2B5CD5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（三）规范财政权力，提升依法理财水平</w:t>
      </w:r>
    </w:p>
    <w:p w14:paraId="5BEC30DB">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hAnsi="仿宋_GB2312" w:eastAsia="仿宋_GB2312" w:cs="仿宋_GB2312"/>
          <w:sz w:val="32"/>
          <w:szCs w:val="32"/>
          <w:highlight w:val="none"/>
          <w:lang w:val="en-US" w:eastAsia="zh-CN"/>
        </w:rPr>
      </w:pPr>
      <w:r>
        <w:rPr>
          <w:rFonts w:hint="eastAsia" w:ascii="仿宋_GB2312" w:hAnsi="Calibri" w:eastAsia="仿宋_GB2312" w:cs="仿宋_GB2312"/>
          <w:b/>
          <w:bCs/>
          <w:kern w:val="2"/>
          <w:sz w:val="32"/>
          <w:szCs w:val="32"/>
          <w:highlight w:val="none"/>
          <w:lang w:val="en-US" w:eastAsia="zh-CN" w:bidi="ar"/>
        </w:rPr>
        <w:t>一是完善权责清单动态管理。</w:t>
      </w:r>
      <w:r>
        <w:rPr>
          <w:rFonts w:hint="eastAsia" w:ascii="仿宋_GB2312" w:hAnsi="Calibri" w:eastAsia="仿宋_GB2312" w:cs="仿宋_GB2312"/>
          <w:kern w:val="2"/>
          <w:sz w:val="32"/>
          <w:szCs w:val="32"/>
          <w:highlight w:val="none"/>
          <w:lang w:val="en-US" w:eastAsia="zh-CN" w:bidi="ar"/>
        </w:rPr>
        <w:t>严格按照“职权法定、权责一致”原则，对现有权责清单进行全面梳理、动态调整，通过县政府门户网站向社会公开权责清单及办事流程，明确权力边界、责任主体和办理时限，实现“清单之外无权力”。建立权责清单动态调整机制，每年对权责事项运行情况进行评估，根据法律法规修订、职能调整等情况及时更新，确保权责清单与实际工作精准衔接，让权力在阳光下运行。</w:t>
      </w:r>
      <w:r>
        <w:rPr>
          <w:rFonts w:hint="eastAsia" w:ascii="仿宋_GB2312" w:hAnsi="Calibri" w:eastAsia="仿宋_GB2312" w:cs="仿宋_GB2312"/>
          <w:b/>
          <w:bCs/>
          <w:kern w:val="2"/>
          <w:sz w:val="32"/>
          <w:szCs w:val="32"/>
          <w:highlight w:val="none"/>
          <w:lang w:val="en-US" w:eastAsia="zh-CN" w:bidi="ar"/>
        </w:rPr>
        <w:t>二是规范重大行政决策程序</w:t>
      </w:r>
      <w:r>
        <w:rPr>
          <w:rFonts w:hint="eastAsia" w:ascii="仿宋_GB2312" w:hAnsi="Calibri" w:eastAsia="仿宋_GB2312" w:cs="仿宋_GB2312"/>
          <w:kern w:val="2"/>
          <w:sz w:val="32"/>
          <w:szCs w:val="32"/>
          <w:highlight w:val="none"/>
          <w:lang w:val="en-US" w:eastAsia="zh-CN" w:bidi="ar"/>
        </w:rPr>
        <w:t>。明确重大行政决策事项的决策范围、程序和要求，将合法性审查、集体讨论决定作为必经程序，确保决策符合法律法规规定和公共利益。根据《河南省重大行政决策程序规定》《河南省规范行政决策办法》《南阳市重大行政决策目录管理办法》等有关文件规定，通过政府官网公布财政预算的调整方案等重大行政决策事项。</w:t>
      </w:r>
      <w:r>
        <w:rPr>
          <w:rFonts w:hint="eastAsia" w:ascii="仿宋_GB2312" w:hAnsi="Calibri" w:eastAsia="仿宋_GB2312" w:cs="仿宋_GB2312"/>
          <w:b/>
          <w:bCs/>
          <w:kern w:val="2"/>
          <w:sz w:val="32"/>
          <w:szCs w:val="32"/>
          <w:highlight w:val="none"/>
          <w:lang w:val="en-US" w:eastAsia="zh-CN" w:bidi="ar"/>
        </w:rPr>
        <w:t>三是强化规范性文件合法性审查。</w:t>
      </w:r>
      <w:r>
        <w:rPr>
          <w:rFonts w:hint="eastAsia" w:ascii="仿宋_GB2312" w:hAnsi="Calibri" w:eastAsia="仿宋_GB2312" w:cs="仿宋_GB2312"/>
          <w:kern w:val="2"/>
          <w:sz w:val="32"/>
          <w:szCs w:val="32"/>
          <w:highlight w:val="none"/>
          <w:lang w:val="en-US" w:eastAsia="zh-CN" w:bidi="ar"/>
        </w:rPr>
        <w:t>健全规范性文件全流程管理机制，明确规范性文件起草、合法性审查、备案机构的职责分工，确保程序规范、内容合法。严格落实合法性审查和公平竞争审查“双审查”制度，确保文件内容符合宪法法律法规规定，无违法增设行政权力、减损公民合法权益等情形。建立规范性文件动态清理机制，开展年度规范性文件清理工作，维护财政法制统一。2025年度通过政府官网公开发布《桐柏县国有企业薪酬管理办法》《桐柏县EPC项目投资控制管理暂行规定》《桐柏县财政监督办法》等多个政策文件。</w:t>
      </w:r>
      <w:r>
        <w:rPr>
          <w:rFonts w:hint="eastAsia" w:ascii="仿宋_GB2312" w:hAnsi="Calibri" w:eastAsia="仿宋_GB2312" w:cs="仿宋_GB2312"/>
          <w:b/>
          <w:bCs/>
          <w:kern w:val="2"/>
          <w:sz w:val="32"/>
          <w:szCs w:val="32"/>
          <w:highlight w:val="none"/>
          <w:lang w:val="en-US" w:eastAsia="zh-CN" w:bidi="ar"/>
        </w:rPr>
        <w:t>四是加强内部控制建设。</w:t>
      </w:r>
      <w:r>
        <w:rPr>
          <w:rFonts w:hint="eastAsia" w:ascii="仿宋_GB2312" w:hAnsi="Calibri" w:eastAsia="仿宋_GB2312" w:cs="仿宋_GB2312"/>
          <w:kern w:val="2"/>
          <w:sz w:val="32"/>
          <w:szCs w:val="32"/>
          <w:highlight w:val="none"/>
          <w:lang w:val="en-US" w:eastAsia="zh-CN" w:bidi="ar"/>
        </w:rPr>
        <w:t>以内部控制建设为抓手，加强事前、事中、事后全过程财会监督。通过明确职责、优化流程、强化监管等控制措施，推动形成不敢腐、不能腐、不想腐的有效机制，2025年度完成全县166个行政事业单位年度内控报告编制工作，内部控制建设水平逐年提升。</w:t>
      </w:r>
      <w:r>
        <w:rPr>
          <w:rFonts w:hint="eastAsia" w:ascii="仿宋_GB2312" w:hAnsi="仿宋_GB2312" w:eastAsia="仿宋_GB2312" w:cs="仿宋_GB2312"/>
          <w:b/>
          <w:bCs/>
          <w:sz w:val="32"/>
          <w:szCs w:val="32"/>
          <w:highlight w:val="none"/>
          <w:lang w:val="en-US" w:eastAsia="zh-CN"/>
        </w:rPr>
        <w:t>五</w:t>
      </w:r>
      <w:r>
        <w:rPr>
          <w:rFonts w:hint="default" w:ascii="仿宋_GB2312" w:hAnsi="仿宋_GB2312" w:eastAsia="仿宋_GB2312" w:cs="仿宋_GB2312"/>
          <w:b/>
          <w:bCs/>
          <w:sz w:val="32"/>
          <w:szCs w:val="32"/>
          <w:highlight w:val="none"/>
          <w:lang w:val="en-US" w:eastAsia="zh-CN"/>
        </w:rPr>
        <w:t>是依法组织财政收入。</w:t>
      </w:r>
      <w:r>
        <w:rPr>
          <w:rFonts w:hint="default" w:ascii="仿宋_GB2312" w:hAnsi="仿宋_GB2312" w:eastAsia="仿宋_GB2312" w:cs="仿宋_GB2312"/>
          <w:sz w:val="32"/>
          <w:szCs w:val="32"/>
          <w:highlight w:val="none"/>
          <w:lang w:val="en-US" w:eastAsia="zh-CN"/>
        </w:rPr>
        <w:t>严格按照法律法规和政策规定，依法依规组织财政收入，做到应收尽收，确保财政收入稳定增长。加强税收征管，强化非税收入管理，规范收入秩序，防止乱收费、乱罚款等行为。</w:t>
      </w:r>
      <w:r>
        <w:rPr>
          <w:rFonts w:hint="eastAsia" w:ascii="仿宋_GB2312" w:hAnsi="仿宋_GB2312" w:eastAsia="仿宋_GB2312" w:cs="仿宋_GB2312"/>
          <w:b/>
          <w:bCs/>
          <w:sz w:val="32"/>
          <w:szCs w:val="32"/>
          <w:highlight w:val="none"/>
          <w:lang w:val="en-US" w:eastAsia="zh-CN"/>
        </w:rPr>
        <w:t>六</w:t>
      </w:r>
      <w:r>
        <w:rPr>
          <w:rFonts w:hint="default" w:ascii="仿宋_GB2312" w:hAnsi="仿宋_GB2312" w:eastAsia="仿宋_GB2312" w:cs="仿宋_GB2312"/>
          <w:b/>
          <w:bCs/>
          <w:sz w:val="32"/>
          <w:szCs w:val="32"/>
          <w:highlight w:val="none"/>
          <w:lang w:val="en-US" w:eastAsia="zh-CN"/>
        </w:rPr>
        <w:t>是严格预算管理</w:t>
      </w:r>
      <w:r>
        <w:rPr>
          <w:rFonts w:hint="default" w:ascii="仿宋_GB2312" w:hAnsi="仿宋_GB2312" w:eastAsia="仿宋_GB2312" w:cs="仿宋_GB2312"/>
          <w:sz w:val="32"/>
          <w:szCs w:val="32"/>
          <w:highlight w:val="none"/>
          <w:lang w:val="en-US" w:eastAsia="zh-CN"/>
        </w:rPr>
        <w:t>。完成年度预算编制与批复，严格遵循“量入为出、收支平衡”原则，细化预算编制到具体项目，按时向各预算单位批复年度预算。强化预算执行管理，结合系统“三保”限额、单位需求、库款余额等因素提出资金安排建议。推进预算公开工作，组织各预算单位按规定公开年度预算信息，接受社会监督等，将法治理念贯穿预算编制、执行、监督全过程，提高财政资金使用效益。</w:t>
      </w:r>
      <w:r>
        <w:rPr>
          <w:rFonts w:hint="eastAsia" w:ascii="仿宋_GB2312" w:hAnsi="仿宋_GB2312" w:eastAsia="仿宋_GB2312" w:cs="仿宋_GB2312"/>
          <w:b/>
          <w:bCs/>
          <w:sz w:val="32"/>
          <w:szCs w:val="32"/>
          <w:highlight w:val="none"/>
          <w:lang w:val="en-US" w:eastAsia="zh-CN"/>
        </w:rPr>
        <w:t>七是</w:t>
      </w:r>
      <w:r>
        <w:rPr>
          <w:rFonts w:hint="default" w:ascii="仿宋_GB2312" w:hAnsi="仿宋_GB2312" w:eastAsia="仿宋_GB2312" w:cs="仿宋_GB2312"/>
          <w:b/>
          <w:bCs/>
          <w:sz w:val="32"/>
          <w:szCs w:val="32"/>
          <w:highlight w:val="none"/>
          <w:lang w:val="en-US" w:eastAsia="zh-CN"/>
        </w:rPr>
        <w:t>加强政府采购管理。</w:t>
      </w:r>
      <w:r>
        <w:rPr>
          <w:rFonts w:hint="default" w:ascii="仿宋_GB2312" w:hAnsi="仿宋_GB2312" w:eastAsia="仿宋_GB2312" w:cs="仿宋_GB2312"/>
          <w:sz w:val="32"/>
          <w:szCs w:val="32"/>
          <w:highlight w:val="none"/>
          <w:lang w:val="en-US" w:eastAsia="zh-CN"/>
        </w:rPr>
        <w:t>坚持完善政府采购各项制度，制定印发《关于进一步优化政府采购意向公开工作编制政府采购领域采购机会清单的通知》《关于建立政府采购跨部门联合约谈预警机制的通知》《桐柏县财政局关于推行政府采购项目“双盲”+席位制分散评审的通知》等多个文件。开展政府采购领域“四类”违法违规行为专项整治、政府采购货物和服务招标项目突出问题系统整治及打击工程项目招投标领域腐败和违法犯罪专项整治等工作。完善政府采购制度体系，规范政府采购行为，维护政府采购市场秩序。</w:t>
      </w:r>
      <w:r>
        <w:rPr>
          <w:rFonts w:hint="eastAsia" w:ascii="仿宋_GB2312" w:hAnsi="仿宋_GB2312" w:eastAsia="仿宋_GB2312" w:cs="仿宋_GB2312"/>
          <w:b/>
          <w:bCs/>
          <w:sz w:val="32"/>
          <w:szCs w:val="32"/>
          <w:highlight w:val="none"/>
          <w:lang w:val="en-US" w:eastAsia="zh-CN"/>
        </w:rPr>
        <w:t>八是</w:t>
      </w:r>
      <w:r>
        <w:rPr>
          <w:rFonts w:hint="default" w:ascii="仿宋_GB2312" w:hAnsi="仿宋_GB2312" w:eastAsia="仿宋_GB2312" w:cs="仿宋_GB2312"/>
          <w:b/>
          <w:bCs/>
          <w:sz w:val="32"/>
          <w:szCs w:val="32"/>
          <w:highlight w:val="none"/>
          <w:lang w:val="en-US" w:eastAsia="zh-CN"/>
        </w:rPr>
        <w:t>强化财政监督检查。</w:t>
      </w:r>
      <w:r>
        <w:rPr>
          <w:rFonts w:hint="default" w:ascii="仿宋_GB2312" w:hAnsi="仿宋_GB2312" w:eastAsia="仿宋_GB2312" w:cs="仿宋_GB2312"/>
          <w:sz w:val="32"/>
          <w:szCs w:val="32"/>
          <w:highlight w:val="none"/>
          <w:lang w:val="en-US" w:eastAsia="zh-CN"/>
        </w:rPr>
        <w:t>牵头制定《桐柏县财会监督专项行动工作方案》，围绕财经领域重大案件查处、严肃财经纪律专项整治、会计评估领域、预算执行常态化监督以及局自主开展的监督5大领域主要矛盾和突出问题进行自查和重点检查。开展会计信息质量和“三公”经费检查、“一卡通</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发放管理、修订完善了《桐柏县财政监督办法》等多项重要工作。严肃查处违反财经纪律的行为，保障财政资金安全规范有效使用。</w:t>
      </w:r>
    </w:p>
    <w:p w14:paraId="77BDB0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（四）深化普法宣传，营造良好法治氛围</w:t>
      </w:r>
    </w:p>
    <w:p w14:paraId="209C47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ab/>
      </w:r>
      <w:r>
        <w:rPr>
          <w:rFonts w:hint="default" w:ascii="仿宋_GB2312" w:hAnsi="仿宋_GB2312" w:eastAsia="仿宋_GB2312" w:cs="仿宋_GB2312"/>
          <w:b/>
          <w:bCs/>
          <w:sz w:val="32"/>
          <w:szCs w:val="32"/>
          <w:highlight w:val="none"/>
          <w:lang w:val="en-US" w:eastAsia="zh-CN"/>
        </w:rPr>
        <w:t>一是扎实推进“八五”普法总结验收。</w:t>
      </w:r>
      <w:r>
        <w:rPr>
          <w:rFonts w:hint="default" w:ascii="仿宋_GB2312" w:hAnsi="仿宋_GB2312" w:eastAsia="仿宋_GB2312" w:cs="仿宋_GB2312"/>
          <w:sz w:val="32"/>
          <w:szCs w:val="32"/>
          <w:highlight w:val="none"/>
          <w:lang w:val="en-US" w:eastAsia="zh-CN"/>
        </w:rPr>
        <w:t>2025年是“八五”普法规划收官之年，桐柏县财政局高度重视总结验收工作，成立“八五”普法工作专班，制定详细工作方案，全面梳理“八五”普法以来的工作成效、经验做法和存在问题。对照“八五”普法规划确定的目标任务，逐项开展自查自评，补齐工作短板，完善工作档案，形成高质量总结报告和佐证材料。积极配合普法主管部门的检查验收，获得验收组充分肯定。通过总结验收，系统梳理了“八五”普法工作成果，为后续普法工作积累了宝贵经验，推动财政普法工作常态化、制度化发展。</w:t>
      </w:r>
      <w:r>
        <w:rPr>
          <w:rFonts w:hint="default" w:ascii="仿宋_GB2312" w:hAnsi="仿宋_GB2312" w:eastAsia="仿宋_GB2312" w:cs="仿宋_GB2312"/>
          <w:b/>
          <w:bCs/>
          <w:sz w:val="32"/>
          <w:szCs w:val="32"/>
          <w:highlight w:val="none"/>
          <w:lang w:val="en-US" w:eastAsia="zh-CN"/>
        </w:rPr>
        <w:t>二是严格落实“谁执法谁普法”责任制。</w:t>
      </w:r>
      <w:r>
        <w:rPr>
          <w:rFonts w:hint="default" w:ascii="仿宋_GB2312" w:hAnsi="仿宋_GB2312" w:eastAsia="仿宋_GB2312" w:cs="仿宋_GB2312"/>
          <w:sz w:val="32"/>
          <w:szCs w:val="32"/>
          <w:highlight w:val="none"/>
          <w:lang w:val="en-US" w:eastAsia="zh-CN"/>
        </w:rPr>
        <w:t>“谁执法谁普法、谁主管谁普法”，成立以党政负责人为第一责任人的普法专项工作小组，充分发挥“一把手”总揽全局的领导核心作用、分管负责人主抓、业务股室配合的工作机制，持续落实领导干部年度学法述法制度，定期召开党组会、专题会等方式研究布署普法工作并将普法纳入年度工作计划，与重点工作同部署、同安排、同推进，在预算编制、资金拨付、监督检查等工作中，向预算单位、企业和群众宣传《预算法》《会计法》《政府采购法》等法律法规，积极组织执法人员参加法律知识培训，落实公务员“学法用法”培训，强化普法工作队伍建设，提升干部职工法治素养和普法能力。</w:t>
      </w:r>
      <w:r>
        <w:rPr>
          <w:rFonts w:hint="eastAsia" w:ascii="仿宋_GB2312" w:hAnsi="仿宋_GB2312" w:eastAsia="仿宋_GB2312" w:cs="仿宋_GB2312"/>
          <w:b/>
          <w:bCs/>
          <w:sz w:val="32"/>
          <w:szCs w:val="32"/>
          <w:highlight w:val="none"/>
          <w:lang w:val="en-US" w:eastAsia="zh-CN"/>
        </w:rPr>
        <w:t>三是学习贯彻《中华人民共和国法治宣传教育法》。</w:t>
      </w:r>
      <w:r>
        <w:rPr>
          <w:rFonts w:hint="eastAsia" w:ascii="仿宋_GB2312" w:hAnsi="仿宋_GB2312" w:eastAsia="仿宋_GB2312" w:cs="仿宋_GB2312"/>
          <w:sz w:val="32"/>
          <w:szCs w:val="32"/>
          <w:highlight w:val="none"/>
          <w:lang w:val="en-US" w:eastAsia="zh-CN"/>
        </w:rPr>
        <w:t>紧扣“以人民为中心、服务大局、守正创新”的立法原则，构建“全员学习、制度落实、实践融合”的贯彻落实体系。局党组率先垂范，将该法纳入理论学习中心组专题学习内容，重点围绕“谁执法谁普法”责任制、国家工作人员终身法治教育等关键条款开展研讨，推动领导干部深刻把握法律赋予的普法职责。同时，将该法学习纳入全体会议学习内容，充分调动全体干部职工的学习积极性与主动性，推动法律要求内化为思想自觉、外化为行动自觉，切实提升全员法治宣传教育履职能力。</w:t>
      </w:r>
      <w:r>
        <w:rPr>
          <w:rFonts w:hint="eastAsia" w:ascii="仿宋_GB2312" w:hAnsi="仿宋_GB2312" w:eastAsia="仿宋_GB2312" w:cs="仿宋_GB2312"/>
          <w:b/>
          <w:bCs/>
          <w:sz w:val="32"/>
          <w:szCs w:val="32"/>
          <w:highlight w:val="none"/>
          <w:lang w:val="en-US" w:eastAsia="zh-CN"/>
        </w:rPr>
        <w:t>四是加强宣传教育力度。</w:t>
      </w:r>
      <w:r>
        <w:rPr>
          <w:rFonts w:hint="eastAsia" w:ascii="仿宋_GB2312" w:hAnsi="仿宋_GB2312" w:eastAsia="仿宋_GB2312" w:cs="仿宋_GB2312"/>
          <w:sz w:val="32"/>
          <w:szCs w:val="32"/>
          <w:highlight w:val="none"/>
          <w:lang w:val="en-US" w:eastAsia="zh-CN"/>
        </w:rPr>
        <w:t>充分利用4.15国家安全教育日、5月民法典宣传月、6月安全生产月、6.27中小企业日、9月国家网络安全周、12.4国家宪法日等普法节点，利用单位门头电子屏幕、法治宣传栏等反复播放和展出法律法规相关内容，通过“五进”，进企业、进社区、进学校、进单位、进机关开展普法宣传，成为推动法治宣传与财政业务深度融合的重要实践路径，营造了良好的法治环境。</w:t>
      </w:r>
      <w:r>
        <w:rPr>
          <w:rFonts w:hint="eastAsia" w:ascii="仿宋_GB2312" w:hAnsi="仿宋_GB2312" w:eastAsia="仿宋_GB2312" w:cs="仿宋_GB2312"/>
          <w:b/>
          <w:bCs/>
          <w:sz w:val="32"/>
          <w:szCs w:val="32"/>
          <w:highlight w:val="none"/>
          <w:lang w:val="en-US" w:eastAsia="zh-CN"/>
        </w:rPr>
        <w:t>五是落实反电信网络诈骗宣传防范工作。</w:t>
      </w:r>
      <w:r>
        <w:rPr>
          <w:rFonts w:hint="eastAsia" w:ascii="仿宋_GB2312" w:hAnsi="仿宋_GB2312" w:eastAsia="仿宋_GB2312" w:cs="仿宋_GB2312"/>
          <w:sz w:val="32"/>
          <w:szCs w:val="32"/>
          <w:highlight w:val="none"/>
          <w:lang w:val="en-US" w:eastAsia="zh-CN"/>
        </w:rPr>
        <w:t>桐柏县财政局立足财政职能与资金安全管理核心，将反电信网络诈骗宣传防范工作纳入法治建设重点任务，构建“精准施策、长效防控”的工作体系，切实筑牢财政安全“防火墙”。成立专项工作专班，将《中华人民共和国反电信网络诈骗法》纳入全员学法计划，每季度开展专题培训；推动全局干部职工全员安装“国家反诈中心”</w:t>
      </w:r>
      <w:bookmarkStart w:id="0" w:name="_GoBack"/>
      <w:bookmarkEnd w:id="0"/>
      <w:r>
        <w:rPr>
          <w:rFonts w:hint="eastAsia" w:ascii="仿宋_GB2312" w:hAnsi="仿宋_GB2312" w:eastAsia="仿宋_GB2312" w:cs="仿宋_GB2312"/>
          <w:sz w:val="32"/>
          <w:szCs w:val="32"/>
          <w:highlight w:val="none"/>
          <w:lang w:val="en-US" w:eastAsia="zh-CN"/>
        </w:rPr>
        <w:t>APP，强化风险预警意识。</w:t>
      </w:r>
    </w:p>
    <w:p w14:paraId="418686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二、存在的不足、原因和问题整改情况</w:t>
      </w:r>
    </w:p>
    <w:p w14:paraId="237DAC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（一）存在的不足。</w:t>
      </w:r>
      <w:r>
        <w:rPr>
          <w:rFonts w:hint="eastAsia" w:ascii="仿宋_GB2312" w:hAnsi="仿宋_GB2312" w:eastAsia="仿宋_GB2312" w:cs="仿宋_GB2312"/>
          <w:b w:val="0"/>
          <w:bCs w:val="0"/>
          <w:sz w:val="32"/>
          <w:szCs w:val="32"/>
          <w:highlight w:val="none"/>
          <w:lang w:val="en-US" w:eastAsia="zh-CN"/>
        </w:rPr>
        <w:t>1.缺乏创新机制。</w:t>
      </w:r>
      <w:r>
        <w:rPr>
          <w:rFonts w:hint="default" w:ascii="仿宋_GB2312" w:hAnsi="仿宋_GB2312" w:eastAsia="仿宋_GB2312" w:cs="仿宋_GB2312"/>
          <w:sz w:val="32"/>
          <w:szCs w:val="32"/>
          <w:highlight w:val="none"/>
          <w:lang w:val="en-US" w:eastAsia="zh-CN"/>
        </w:rPr>
        <w:t>偏重于财政业务，法治宣传教育形式还不够丰富，普法形式较为传统，新媒体运用不够深入，对不同群体的精准普法针对性不足，吸引力有待进一步提高；</w:t>
      </w:r>
      <w:r>
        <w:rPr>
          <w:rFonts w:hint="eastAsia" w:ascii="仿宋_GB2312" w:hAnsi="仿宋_GB2312" w:eastAsia="仿宋_GB2312" w:cs="仿宋_GB2312"/>
          <w:b w:val="0"/>
          <w:bCs w:val="0"/>
          <w:sz w:val="32"/>
          <w:szCs w:val="32"/>
          <w:highlight w:val="none"/>
          <w:lang w:val="en-US" w:eastAsia="zh-CN"/>
        </w:rPr>
        <w:t>2.培训范围不广。</w:t>
      </w:r>
      <w:r>
        <w:rPr>
          <w:rFonts w:hint="default" w:ascii="仿宋_GB2312" w:hAnsi="仿宋_GB2312" w:eastAsia="仿宋_GB2312" w:cs="仿宋_GB2312"/>
          <w:sz w:val="32"/>
          <w:szCs w:val="32"/>
          <w:highlight w:val="none"/>
          <w:lang w:val="en-US" w:eastAsia="zh-CN"/>
        </w:rPr>
        <w:t>侧重对财经法律、法规的学习掌握与实际应用方面的培训力度较大，但对其他</w:t>
      </w:r>
      <w:r>
        <w:rPr>
          <w:rFonts w:hint="eastAsia" w:ascii="仿宋_GB2312" w:hAnsi="仿宋_GB2312" w:eastAsia="仿宋_GB2312" w:cs="仿宋_GB2312"/>
          <w:sz w:val="32"/>
          <w:szCs w:val="32"/>
          <w:highlight w:val="none"/>
          <w:lang w:val="en-US" w:eastAsia="zh-CN"/>
        </w:rPr>
        <w:t>领域</w:t>
      </w:r>
      <w:r>
        <w:rPr>
          <w:rFonts w:hint="default" w:ascii="仿宋_GB2312" w:hAnsi="仿宋_GB2312" w:eastAsia="仿宋_GB2312" w:cs="仿宋_GB2312"/>
          <w:sz w:val="32"/>
          <w:szCs w:val="32"/>
          <w:highlight w:val="none"/>
          <w:lang w:val="en-US" w:eastAsia="zh-CN"/>
        </w:rPr>
        <w:t>新法律法规和政策培训力度不够，运用法治思维解决问题的能力和水平还需进一步提高。</w:t>
      </w:r>
    </w:p>
    <w:p w14:paraId="50414E5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（二）不足的原因。</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sz w:val="32"/>
          <w:szCs w:val="32"/>
          <w:highlight w:val="none"/>
          <w:lang w:val="en-US" w:eastAsia="zh-CN"/>
        </w:rPr>
        <w:t>思想认知存在偏差。部分干部存在“重业务轻法治”的倾向，将法治宣传培训视为“辅助性工作”，对新媒体普法的传播价值、跨领域法律学习的重要性认识不足，未充分意识到法治建设对财政工作的基础性支撑作用。2.工作机制不够健全。未建立常态化的普法需求调研机制，对不同群体的法律需求缺乏精准摸排，导致宣传内容与受众需求脱节。</w:t>
      </w:r>
    </w:p>
    <w:p w14:paraId="6EACDB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（三）问题整改情况。</w:t>
      </w:r>
      <w:r>
        <w:rPr>
          <w:rFonts w:hint="eastAsia" w:ascii="仿宋_GB2312" w:hAnsi="仿宋_GB2312" w:eastAsia="仿宋_GB2312" w:cs="仿宋_GB2312"/>
          <w:sz w:val="32"/>
          <w:szCs w:val="32"/>
          <w:highlight w:val="none"/>
          <w:lang w:val="en-US" w:eastAsia="zh-CN"/>
        </w:rPr>
        <w:t>1.优化培训工作格局，拓宽覆盖维度：修订年度培训计划，建立“财经法律 + 通用法律 + 新法规”的三维课程体系，将《民法典》《行政复议法》《中华人民共和国法治教育宣传法》等跨领域法律及最新政策纳入必修内容。2.强化理论武装学习，提高思想认识。认真学习贯彻党的二十届四中全会精神和习近平总书记关于依法治国和法治政府建设的重要指示精神，继续强化干部职工学习习近平法治思想和相关法律法规，不断提高干部职工的法律素养，增强法治思维和法治意识，推进依法行政的能力。</w:t>
      </w:r>
    </w:p>
    <w:p w14:paraId="25DB62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三、下步工作建议及打算</w:t>
      </w:r>
    </w:p>
    <w:p w14:paraId="469473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2026年，桐柏县财政局将以习近平法治思想为指导，针对存在的问题短板，精准发力、持续攻坚，推动财政法治建设再上新台阶。</w:t>
      </w:r>
      <w:r>
        <w:rPr>
          <w:rFonts w:hint="default" w:ascii="仿宋_GB2312" w:hAnsi="仿宋_GB2312" w:eastAsia="仿宋_GB2312" w:cs="仿宋_GB2312"/>
          <w:b/>
          <w:bCs/>
          <w:sz w:val="32"/>
          <w:szCs w:val="32"/>
          <w:highlight w:val="none"/>
          <w:lang w:val="en-US" w:eastAsia="zh-CN"/>
        </w:rPr>
        <w:t>一是持续强化法治思想引领。</w:t>
      </w:r>
      <w:r>
        <w:rPr>
          <w:rFonts w:hint="default" w:ascii="仿宋_GB2312" w:hAnsi="仿宋_GB2312" w:eastAsia="仿宋_GB2312" w:cs="仿宋_GB2312"/>
          <w:sz w:val="32"/>
          <w:szCs w:val="32"/>
          <w:highlight w:val="none"/>
          <w:lang w:val="en-US" w:eastAsia="zh-CN"/>
        </w:rPr>
        <w:t>深化习近平法治思想学习宣传贯彻，丰富学法形式，健全考核机制，不断提升干部法治素养和依法履职能力；</w:t>
      </w:r>
      <w:r>
        <w:rPr>
          <w:rFonts w:hint="default" w:ascii="仿宋_GB2312" w:hAnsi="仿宋_GB2312" w:eastAsia="仿宋_GB2312" w:cs="仿宋_GB2312"/>
          <w:b/>
          <w:bCs/>
          <w:sz w:val="32"/>
          <w:szCs w:val="32"/>
          <w:highlight w:val="none"/>
          <w:lang w:val="en-US" w:eastAsia="zh-CN"/>
        </w:rPr>
        <w:t>二是深化法治与业务融合。</w:t>
      </w:r>
      <w:r>
        <w:rPr>
          <w:rFonts w:hint="default" w:ascii="仿宋_GB2312" w:hAnsi="仿宋_GB2312" w:eastAsia="仿宋_GB2312" w:cs="仿宋_GB2312"/>
          <w:sz w:val="32"/>
          <w:szCs w:val="32"/>
          <w:highlight w:val="none"/>
          <w:lang w:val="en-US" w:eastAsia="zh-CN"/>
        </w:rPr>
        <w:t>将法治要求贯穿财政预算管理、资金分配、监督执法等全过程，完善重大财政决策法治审查机制，提升财政工作法治化水平；</w:t>
      </w:r>
      <w:r>
        <w:rPr>
          <w:rFonts w:hint="default" w:ascii="仿宋_GB2312" w:hAnsi="仿宋_GB2312" w:eastAsia="仿宋_GB2312" w:cs="仿宋_GB2312"/>
          <w:b/>
          <w:bCs/>
          <w:sz w:val="32"/>
          <w:szCs w:val="32"/>
          <w:highlight w:val="none"/>
          <w:lang w:val="en-US" w:eastAsia="zh-CN"/>
        </w:rPr>
        <w:t>三是创新普法宣传方式。</w:t>
      </w:r>
      <w:r>
        <w:rPr>
          <w:rFonts w:hint="default" w:ascii="仿宋_GB2312" w:hAnsi="仿宋_GB2312" w:eastAsia="仿宋_GB2312" w:cs="仿宋_GB2312"/>
          <w:sz w:val="32"/>
          <w:szCs w:val="32"/>
          <w:highlight w:val="none"/>
          <w:lang w:val="en-US" w:eastAsia="zh-CN"/>
        </w:rPr>
        <w:t>聚焦重点群体，开展精准普法，加强新媒体普法阵地建设，增强普法宣传的针对性和实效性；</w:t>
      </w:r>
      <w:r>
        <w:rPr>
          <w:rFonts w:hint="default" w:ascii="仿宋_GB2312" w:hAnsi="仿宋_GB2312" w:eastAsia="仿宋_GB2312" w:cs="仿宋_GB2312"/>
          <w:b/>
          <w:bCs/>
          <w:sz w:val="32"/>
          <w:szCs w:val="32"/>
          <w:highlight w:val="none"/>
          <w:lang w:val="en-US" w:eastAsia="zh-CN"/>
        </w:rPr>
        <w:t>四是加强法治工作队伍建设。</w:t>
      </w:r>
      <w:r>
        <w:rPr>
          <w:rFonts w:hint="default" w:ascii="仿宋_GB2312" w:hAnsi="仿宋_GB2312" w:eastAsia="仿宋_GB2312" w:cs="仿宋_GB2312"/>
          <w:sz w:val="32"/>
          <w:szCs w:val="32"/>
          <w:highlight w:val="none"/>
          <w:lang w:val="en-US" w:eastAsia="zh-CN"/>
        </w:rPr>
        <w:t>充实专职法治工作人员力量，开展业务培训和交流学习，提升法治工作专业化水平；</w:t>
      </w:r>
      <w:r>
        <w:rPr>
          <w:rFonts w:hint="default" w:ascii="仿宋_GB2312" w:hAnsi="仿宋_GB2312" w:eastAsia="仿宋_GB2312" w:cs="仿宋_GB2312"/>
          <w:b/>
          <w:bCs/>
          <w:sz w:val="32"/>
          <w:szCs w:val="32"/>
          <w:highlight w:val="none"/>
          <w:lang w:val="en-US" w:eastAsia="zh-CN"/>
        </w:rPr>
        <w:t>五是健全法治建设长效机制。</w:t>
      </w:r>
      <w:r>
        <w:rPr>
          <w:rFonts w:hint="default" w:ascii="仿宋_GB2312" w:hAnsi="仿宋_GB2312" w:eastAsia="仿宋_GB2312" w:cs="仿宋_GB2312"/>
          <w:sz w:val="32"/>
          <w:szCs w:val="32"/>
          <w:highlight w:val="none"/>
          <w:lang w:val="en-US" w:eastAsia="zh-CN"/>
        </w:rPr>
        <w:t>完善法治建设考核评价体系，加强督促检查，确保各项法治建设任务落到实处，为全县经济社会高质量发展提供更加坚实的财政法治保障。</w:t>
      </w:r>
    </w:p>
    <w:p w14:paraId="46F1D4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桐柏县财政局</w:t>
      </w:r>
    </w:p>
    <w:p w14:paraId="617B8C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2025年12月</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D0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0AABF">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A0AABF">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85FE6"/>
    <w:rsid w:val="17C1129A"/>
    <w:rsid w:val="17C16641"/>
    <w:rsid w:val="23C019C4"/>
    <w:rsid w:val="240A1BF9"/>
    <w:rsid w:val="412232F6"/>
    <w:rsid w:val="56837659"/>
    <w:rsid w:val="62A40E83"/>
    <w:rsid w:val="6DC8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4708</Words>
  <Characters>4764</Characters>
  <Lines>1</Lines>
  <Paragraphs>1</Paragraphs>
  <TotalTime>1032</TotalTime>
  <ScaleCrop>false</ScaleCrop>
  <LinksUpToDate>false</LinksUpToDate>
  <CharactersWithSpaces>4771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2025-12-04T08:53:00Z</dcterms:created>
  <dc:creator>Administrator</dc:creator>
  <cp:lastModifiedBy>黄翔宇</cp:lastModifiedBy>
  <cp:lastPrinted>2025-12-05T07:43:00Z</cp:lastPrinted>
  <dcterms:modified xsi:type="dcterms:W3CDTF">2026-01-26T04:29:17Z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eyJoZGlkIjoiNTk2ZWJhZjNmMDBhNjY2ZWExN2MwZDIxOTZkZDE1YmYiLCJ1c2VySWQiOiIxNzMzNDU0OTg1In0=</vt:lpwstr>
  </property>
  <property fmtid="{D5CDD505-2E9C-101B-9397-08002B2CF9AE}" pid="4" name="ICV">
    <vt:lpwstr>00FA93BD7DE24C718E75B27E7CD51072_12</vt:lpwstr>
  </property>
</Properties>
</file>