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CA04A">
      <w:pPr>
        <w:topLinePunct/>
        <w:autoSpaceDE w:val="0"/>
        <w:autoSpaceDN w:val="0"/>
        <w:adjustRightInd w:val="0"/>
        <w:snapToGrid w:val="0"/>
        <w:spacing w:line="620" w:lineRule="exact"/>
        <w:ind w:left="4"/>
        <w:rPr>
          <w:rFonts w:hint="eastAsia" w:ascii="黑体" w:hAnsi="黑体" w:eastAsia="黑体" w:cs="黑体"/>
          <w:sz w:val="32"/>
          <w:szCs w:val="32"/>
        </w:rPr>
      </w:pPr>
      <w:r>
        <w:rPr>
          <w:rFonts w:hint="eastAsia" w:ascii="黑体" w:hAnsi="黑体" w:eastAsia="黑体" w:cs="黑体"/>
          <w:bCs/>
          <w:sz w:val="32"/>
          <w:szCs w:val="32"/>
        </w:rPr>
        <w:t>附件1</w:t>
      </w:r>
    </w:p>
    <w:p w14:paraId="0F24074A">
      <w:pPr>
        <w:topLinePunct/>
        <w:autoSpaceDE w:val="0"/>
        <w:autoSpaceDN w:val="0"/>
        <w:adjustRightInd w:val="0"/>
        <w:snapToGrid w:val="0"/>
        <w:spacing w:line="620" w:lineRule="exact"/>
        <w:rPr>
          <w:rFonts w:hint="eastAsia" w:ascii="仿宋_GB2312" w:eastAsia="仿宋_GB2312"/>
        </w:rPr>
      </w:pPr>
    </w:p>
    <w:p w14:paraId="13BC1AE9">
      <w:pPr>
        <w:topLinePunct/>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桐柏县惠企政策“免申即享”工作专班</w:t>
      </w:r>
    </w:p>
    <w:p w14:paraId="363583FF">
      <w:pPr>
        <w:pStyle w:val="2"/>
        <w:topLinePunct/>
        <w:spacing w:line="620" w:lineRule="exact"/>
        <w:rPr>
          <w:rFonts w:hint="eastAsia" w:ascii="仿宋_GB2312" w:eastAsia="仿宋_GB2312"/>
        </w:rPr>
      </w:pPr>
    </w:p>
    <w:p w14:paraId="72FA2A79">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按照《河南省人民政府办公厅关于印发河南省惠企政策免申即享工作方案（试行）的通知》（豫政办〔2022〕108号）、《南阳市人民政府办公室关于印发南阳市惠企政策免申即享工作实施方案的通知（宛政办〔2023〕8号）》文件精神，为推动我县惠企政策“免申即享”工作落地落实，现成立桐柏县惠企政策“免申即享”工作专班，负责统筹推进全县惠企政策免申即享工作，协调解决有关问题，指导、督促、检查有关政策措施落地情况。工作专班成员如下：</w:t>
      </w:r>
    </w:p>
    <w:p w14:paraId="632BC20E">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组  长：郭  存  县委常委、县政府副县长</w:t>
      </w:r>
    </w:p>
    <w:p w14:paraId="465F38C1">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副组长：韩学军  县政府副县长</w:t>
      </w:r>
    </w:p>
    <w:p w14:paraId="1630A726">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成  员：政府办、发改委、政务大数据中心、工信局、财政局、税务局、科技局、人社局、金融办、招商局、商务局、文广旅局、水利局、住建局、交通局、城管局、市场监管局、医保局、国防动员办公室、审计局等单位主要负责同志。</w:t>
      </w:r>
    </w:p>
    <w:p w14:paraId="666A1001">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工作专班办公室设在县发改委，负责建立工作落实台账，跟进各专项工作小组及专班各成员单位工作推进情况，及时向县政府报告惠企政策“免申即享”工作成效及有关工作建议。工作专班办公室下设4个专项工作小组，即政策梳理组、平台支撑组、督导落实组、资金监管组。</w:t>
      </w:r>
    </w:p>
    <w:p w14:paraId="24F919F7">
      <w:pPr>
        <w:topLinePunct/>
        <w:spacing w:line="620" w:lineRule="exact"/>
        <w:ind w:firstLine="640" w:firstLineChars="200"/>
        <w:rPr>
          <w:rFonts w:hint="eastAsia" w:ascii="黑体" w:hAnsi="方正仿宋_GB2312" w:eastAsia="黑体" w:cs="方正仿宋_GB2312"/>
          <w:bCs/>
          <w:sz w:val="32"/>
          <w:szCs w:val="32"/>
        </w:rPr>
      </w:pPr>
      <w:r>
        <w:rPr>
          <w:rFonts w:hint="eastAsia" w:ascii="黑体" w:hAnsi="方正仿宋_GB2312" w:eastAsia="黑体" w:cs="方正仿宋_GB2312"/>
          <w:bCs/>
          <w:sz w:val="32"/>
          <w:szCs w:val="32"/>
        </w:rPr>
        <w:t>一、政策梳理组</w:t>
      </w:r>
    </w:p>
    <w:p w14:paraId="3D26329A">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组  长：姚良勋  县发改委主任</w:t>
      </w:r>
    </w:p>
    <w:p w14:paraId="5D4E9341">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副组长：武  涛  县优化营商服务中心主任</w:t>
      </w:r>
    </w:p>
    <w:p w14:paraId="5B108B2A">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联络员：王朝东  县优化营商服务中心副主任</w:t>
      </w:r>
    </w:p>
    <w:p w14:paraId="01AC9499">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主要职责任务：督促各乡镇（开发区）、各部门按照要求及时梳理形成名单类、条件类和暂时难以数据化类三类政策清单，推动奖补范围明确、审核标准清晰、比对数据齐全的名单类、条件类政策实现“免申即享”。督促相关部门编制“免申即享”惠企政策办事指南，规范并明确政策兑现的条件、时限、流程等，使企业充分了解政策规定、操作流程，实现惠企服务精准。</w:t>
      </w:r>
    </w:p>
    <w:p w14:paraId="1948E3CF">
      <w:pPr>
        <w:topLinePunct/>
        <w:spacing w:line="620" w:lineRule="exact"/>
        <w:ind w:firstLine="640" w:firstLineChars="200"/>
        <w:rPr>
          <w:rFonts w:hint="eastAsia" w:ascii="黑体" w:hAnsi="方正仿宋_GB2312" w:eastAsia="黑体" w:cs="方正仿宋_GB2312"/>
          <w:bCs/>
          <w:sz w:val="32"/>
          <w:szCs w:val="32"/>
        </w:rPr>
      </w:pPr>
      <w:r>
        <w:rPr>
          <w:rFonts w:hint="eastAsia" w:ascii="黑体" w:hAnsi="方正仿宋_GB2312" w:eastAsia="黑体" w:cs="方正仿宋_GB2312"/>
          <w:bCs/>
          <w:sz w:val="32"/>
          <w:szCs w:val="32"/>
        </w:rPr>
        <w:t>二、平台支撑组</w:t>
      </w:r>
    </w:p>
    <w:p w14:paraId="0AE521EC">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组  长：何立君  县政务大数据中心主任</w:t>
      </w:r>
    </w:p>
    <w:p w14:paraId="455357F3">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副组长：马  伟  县政务大数据中心副主任</w:t>
      </w:r>
    </w:p>
    <w:p w14:paraId="3749E2CC">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联络员：刘宏宣  县政务大数据中心科室负责人</w:t>
      </w:r>
    </w:p>
    <w:p w14:paraId="7E5E7EC2">
      <w:pPr>
        <w:topLinePunct/>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主要职责任务：推动惠企政策“免申即享”平台和政策条件库、企业画像库、政策匹配库三大基础模块建设，实现与各乡镇（开发区）、各部门政策兑现和资金拔付系统对接，尽快上线县级首批“免申即享”惠企政策。督促相关部门重塑业务流程，对符合“免申即享”条件的事项，优化业务流程，将“企业先报、政府再审”的被动服务模式转变为“系统智审、确认申领”的主动服务模式。</w:t>
      </w:r>
    </w:p>
    <w:p w14:paraId="5BC427DB">
      <w:pPr>
        <w:topLinePunct/>
        <w:spacing w:line="580" w:lineRule="exact"/>
        <w:ind w:firstLine="640" w:firstLineChars="200"/>
        <w:rPr>
          <w:rFonts w:hint="eastAsia" w:ascii="黑体" w:hAnsi="方正仿宋_GB2312" w:eastAsia="黑体" w:cs="方正仿宋_GB2312"/>
          <w:bCs/>
          <w:sz w:val="32"/>
          <w:szCs w:val="32"/>
        </w:rPr>
      </w:pPr>
      <w:r>
        <w:rPr>
          <w:rFonts w:hint="eastAsia" w:ascii="黑体" w:hAnsi="方正仿宋_GB2312" w:eastAsia="黑体" w:cs="方正仿宋_GB2312"/>
          <w:bCs/>
          <w:sz w:val="32"/>
          <w:szCs w:val="32"/>
        </w:rPr>
        <w:t>三、督导落实组</w:t>
      </w:r>
    </w:p>
    <w:p w14:paraId="6395873A">
      <w:pPr>
        <w:topLinePunct/>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组  长：杨  建  县工信局局长</w:t>
      </w:r>
    </w:p>
    <w:p w14:paraId="103A32EC">
      <w:pPr>
        <w:topLinePunct/>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副组长：陈  严  县工信局党组成员、企业服务中心主任</w:t>
      </w:r>
    </w:p>
    <w:p w14:paraId="4FA86BA3">
      <w:pPr>
        <w:topLinePunct/>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联络员：卢思远  县企业服务中心科室负责人</w:t>
      </w:r>
    </w:p>
    <w:p w14:paraId="07249E39">
      <w:pPr>
        <w:topLinePunct/>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主要职责任务：充分利用“万人助万企”活动，全面提升包联干部的政策水平和惠企政策服务能力，县“万人助万企”联席办积极组织各乡镇（开发区）、各部门开展“免申即享”惠企政策宣传培训，确保所有包联企业惠企政策“应享尽享、免申即享”。同时加大对惠企政策落实的跟踪督查，及时掌握政策落地成效，对惠企政策落实不到位的建立问题台账，限期整改。</w:t>
      </w:r>
    </w:p>
    <w:p w14:paraId="38687167">
      <w:pPr>
        <w:topLinePunct/>
        <w:spacing w:line="580" w:lineRule="exact"/>
        <w:ind w:firstLine="640" w:firstLineChars="200"/>
        <w:rPr>
          <w:rFonts w:hint="eastAsia" w:ascii="黑体" w:hAnsi="方正仿宋_GB2312" w:eastAsia="黑体" w:cs="方正仿宋_GB2312"/>
          <w:bCs/>
          <w:sz w:val="32"/>
          <w:szCs w:val="32"/>
        </w:rPr>
      </w:pPr>
      <w:r>
        <w:rPr>
          <w:rFonts w:hint="eastAsia" w:ascii="黑体" w:hAnsi="方正仿宋_GB2312" w:eastAsia="黑体" w:cs="方正仿宋_GB2312"/>
          <w:bCs/>
          <w:sz w:val="32"/>
          <w:szCs w:val="32"/>
        </w:rPr>
        <w:t>四、资金监管组</w:t>
      </w:r>
    </w:p>
    <w:p w14:paraId="67A33239">
      <w:pPr>
        <w:topLinePunct/>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组  长：王广武  县财政局局长</w:t>
      </w:r>
    </w:p>
    <w:p w14:paraId="51A1AADC">
      <w:pPr>
        <w:topLinePunct/>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副组长：易长坡  县财政局党组成员、副局长</w:t>
      </w:r>
    </w:p>
    <w:p w14:paraId="78FEA941">
      <w:pPr>
        <w:topLinePunct/>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联络员：聂  品  县财政局企业股股长</w:t>
      </w:r>
    </w:p>
    <w:p w14:paraId="77CA408B">
      <w:pPr>
        <w:topLinePunct/>
        <w:spacing w:line="58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主要职责任务：结合预算管理实际，探索建立适用“免申即享”惠企政策的财政资金拨付制度。强化资金监管，会同有关部门严格落实审核审批职责，加强预算绩效管理和监督，提高财政资金使用绩效。</w:t>
      </w:r>
    </w:p>
    <w:p w14:paraId="00AC6DB5">
      <w:pPr>
        <w:topLinePunct/>
        <w:spacing w:line="620" w:lineRule="exact"/>
        <w:ind w:firstLine="640" w:firstLineChars="200"/>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工作专班各专项工作小组及各成员单位定期向工作专班办公室梳理报送工作进展及工作成效情况。工作专班办公室根据工作需要，召集各专项工作小组牵头部门或有关成员单位召开工作调度会议，听取工作进展情况，协调解决工作推进过程中遇到的困难和问题，重大问题及时上报县政府研究。</w:t>
      </w:r>
    </w:p>
    <w:p w14:paraId="561F4D0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608DA4-BC86-42CF-AC54-10B9AE023C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CD18B6F-A20C-4771-B9A3-9A2619CE008E}"/>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A06DC9B6-C280-4570-BA84-0D5C150B04AE}"/>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93577820-B07A-48EF-A12E-5529636D34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743BC"/>
    <w:rsid w:val="05293C5E"/>
    <w:rsid w:val="0C635D0F"/>
    <w:rsid w:val="458743BC"/>
    <w:rsid w:val="50C12786"/>
    <w:rsid w:val="63B0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after="10" w:line="560" w:lineRule="exact"/>
      <w:outlineLvl w:val="0"/>
    </w:pPr>
    <w:rPr>
      <w:rFonts w:eastAsia="黑体" w:asciiTheme="minorAscii" w:hAnsiTheme="minorAscii"/>
      <w:kern w:val="44"/>
      <w:sz w:val="32"/>
    </w:rPr>
  </w:style>
  <w:style w:type="paragraph" w:styleId="4">
    <w:name w:val="heading 2"/>
    <w:basedOn w:val="1"/>
    <w:next w:val="1"/>
    <w:link w:val="7"/>
    <w:semiHidden/>
    <w:unhideWhenUsed/>
    <w:qFormat/>
    <w:uiPriority w:val="0"/>
    <w:pPr>
      <w:keepNext/>
      <w:keepLines/>
      <w:spacing w:before="140" w:after="140" w:line="413" w:lineRule="auto"/>
      <w:jc w:val="left"/>
      <w:outlineLvl w:val="1"/>
    </w:pPr>
    <w:rPr>
      <w:rFonts w:ascii="Arial" w:hAnsi="Arial" w:eastAsia="楷体"/>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character" w:customStyle="1" w:styleId="7">
    <w:name w:val="标题 2 Char"/>
    <w:link w:val="4"/>
    <w:qFormat/>
    <w:uiPriority w:val="0"/>
    <w:rPr>
      <w:rFonts w:ascii="Arial" w:hAnsi="Arial" w:eastAsia="楷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2025-12-11T07:54:00Z</dcterms:created>
  <dc:creator>回忆</dc:creator>
  <cp:lastModifiedBy>回忆</cp:lastModifiedBy>
  <dcterms:modified xsi:type="dcterms:W3CDTF">2025-12-11T07:55:53Z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877B26E6638A4F28B628E098AEB15D65_11</vt:lpwstr>
  </property>
  <property fmtid="{D5CDD505-2E9C-101B-9397-08002B2CF9AE}" pid="4" name="KSOTemplateDocerSaveRecord">
    <vt:lpwstr>eyJoZGlkIjoiZDY4ZWQwZTExNTQ0ZTRjNGZkMmFmMWUwMzU5OGQ1Y2IiLCJ1c2VySWQiOiIxMDc3NDYzODI2In0=</vt:lpwstr>
  </property>
</Properties>
</file>