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2FC67">
      <w:pPr>
        <w:pStyle w:val="5"/>
        <w:spacing w:before="0" w:beforeAutospacing="0" w:after="0" w:afterAutospacing="0" w:line="580" w:lineRule="exact"/>
        <w:jc w:val="both"/>
        <w:rPr>
          <w:rFonts w:ascii="黑体" w:hAnsi="仿宋" w:eastAsia="黑体" w:cs="仿宋"/>
          <w:bCs/>
          <w:sz w:val="28"/>
          <w:szCs w:val="28"/>
        </w:rPr>
      </w:pPr>
      <w:r>
        <w:rPr>
          <w:rFonts w:hint="eastAsia" w:ascii="黑体" w:hAnsi="仿宋" w:eastAsia="黑体" w:cs="仿宋"/>
          <w:bCs/>
          <w:sz w:val="28"/>
          <w:szCs w:val="28"/>
        </w:rPr>
        <w:t>附件</w:t>
      </w:r>
    </w:p>
    <w:p w14:paraId="71BDE757">
      <w:pPr>
        <w:pStyle w:val="5"/>
        <w:spacing w:before="0" w:beforeAutospacing="0" w:after="0" w:afterAutospacing="0" w:line="580" w:lineRule="exact"/>
        <w:jc w:val="both"/>
        <w:rPr>
          <w:rFonts w:ascii="黑体" w:hAnsi="仿宋" w:eastAsia="黑体" w:cs="仿宋"/>
          <w:bCs/>
          <w:sz w:val="28"/>
          <w:szCs w:val="28"/>
        </w:rPr>
      </w:pPr>
    </w:p>
    <w:p w14:paraId="35262DA9">
      <w:pPr>
        <w:pStyle w:val="5"/>
        <w:spacing w:before="0" w:beforeAutospacing="0" w:after="0" w:afterAutospacing="0" w:line="580" w:lineRule="exact"/>
        <w:jc w:val="center"/>
        <w:rPr>
          <w:rFonts w:ascii="方正小标宋简体" w:eastAsia="方正小标宋简体" w:cs="宋体"/>
          <w:bCs/>
          <w:sz w:val="28"/>
          <w:szCs w:val="28"/>
        </w:rPr>
      </w:pPr>
      <w:r>
        <w:rPr>
          <w:rFonts w:hint="eastAsia" w:ascii="方正小标宋简体" w:hAnsi="宋体" w:eastAsia="方正小标宋简体" w:cs="宋体"/>
          <w:bCs/>
          <w:sz w:val="28"/>
          <w:szCs w:val="28"/>
        </w:rPr>
        <w:t>主要指标解释</w:t>
      </w:r>
    </w:p>
    <w:p w14:paraId="480515AA">
      <w:pPr>
        <w:pStyle w:val="5"/>
        <w:spacing w:before="0" w:beforeAutospacing="0" w:after="0" w:afterAutospacing="0" w:line="580" w:lineRule="exact"/>
        <w:ind w:firstLine="560" w:firstLineChars="200"/>
        <w:jc w:val="center"/>
        <w:rPr>
          <w:rFonts w:ascii="仿宋_GB2312" w:eastAsia="仿宋_GB2312" w:cs="宋体"/>
          <w:sz w:val="28"/>
          <w:szCs w:val="28"/>
        </w:rPr>
      </w:pPr>
    </w:p>
    <w:p w14:paraId="36DEA8C2">
      <w:pPr>
        <w:pStyle w:val="5"/>
        <w:spacing w:before="0" w:beforeAutospacing="0" w:after="0" w:afterAutospacing="0" w:line="580" w:lineRule="exact"/>
        <w:ind w:firstLine="560" w:firstLineChars="200"/>
        <w:jc w:val="both"/>
        <w:rPr>
          <w:rFonts w:ascii="仿宋_GB2312" w:hAnsi="仿宋" w:eastAsia="仿宋_GB2312" w:cs="仿宋"/>
          <w:sz w:val="28"/>
          <w:szCs w:val="28"/>
        </w:rPr>
      </w:pPr>
      <w:r>
        <w:rPr>
          <w:rStyle w:val="8"/>
          <w:rFonts w:ascii="黑体" w:hAnsi="仿宋" w:eastAsia="黑体" w:cs="仿宋"/>
          <w:bCs/>
          <w:i w:val="0"/>
          <w:sz w:val="28"/>
          <w:szCs w:val="28"/>
          <w:shd w:val="clear" w:color="auto" w:fill="FFFFFF"/>
        </w:rPr>
        <w:t>1.</w:t>
      </w:r>
      <w:r>
        <w:rPr>
          <w:rFonts w:hint="eastAsia" w:ascii="黑体" w:hAnsi="仿宋" w:eastAsia="黑体" w:cs="仿宋"/>
          <w:bCs/>
          <w:sz w:val="28"/>
          <w:szCs w:val="28"/>
        </w:rPr>
        <w:t>容积率：</w:t>
      </w:r>
      <w:r>
        <w:rPr>
          <w:rFonts w:hint="eastAsia" w:ascii="仿宋_GB2312" w:hAnsi="仿宋" w:eastAsia="仿宋_GB2312" w:cs="仿宋"/>
          <w:sz w:val="28"/>
          <w:szCs w:val="28"/>
        </w:rPr>
        <w:t>指项目用地范围内地上总建筑面积（但必须是正负</w:t>
      </w:r>
      <w:r>
        <w:rPr>
          <w:rFonts w:ascii="仿宋_GB2312" w:hAnsi="仿宋" w:eastAsia="仿宋_GB2312" w:cs="仿宋"/>
          <w:sz w:val="28"/>
          <w:szCs w:val="28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标高以上的建筑面积）与项目总用地面积的比值。</w:t>
      </w:r>
    </w:p>
    <w:p w14:paraId="2A173B9F">
      <w:pPr>
        <w:pStyle w:val="5"/>
        <w:spacing w:before="0" w:beforeAutospacing="0" w:after="0" w:afterAutospacing="0" w:line="580" w:lineRule="exact"/>
        <w:ind w:firstLine="560" w:firstLineChars="200"/>
        <w:jc w:val="both"/>
        <w:rPr>
          <w:rFonts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计算公式：内地上总建筑面积÷总用地面积</w:t>
      </w:r>
    </w:p>
    <w:p w14:paraId="3E34F951">
      <w:pPr>
        <w:pStyle w:val="5"/>
        <w:spacing w:before="0" w:beforeAutospacing="0" w:after="0" w:afterAutospacing="0" w:line="580" w:lineRule="exact"/>
        <w:ind w:firstLine="560" w:firstLineChars="200"/>
        <w:jc w:val="both"/>
        <w:rPr>
          <w:rFonts w:ascii="仿宋_GB2312" w:hAnsi="仿宋" w:eastAsia="仿宋_GB2312" w:cs="仿宋"/>
          <w:sz w:val="28"/>
          <w:szCs w:val="28"/>
        </w:rPr>
      </w:pPr>
      <w:r>
        <w:rPr>
          <w:rStyle w:val="8"/>
          <w:rFonts w:ascii="黑体" w:hAnsi="仿宋" w:eastAsia="黑体" w:cs="仿宋"/>
          <w:bCs/>
          <w:i w:val="0"/>
          <w:sz w:val="28"/>
          <w:szCs w:val="28"/>
          <w:shd w:val="clear" w:color="auto" w:fill="FFFFFF"/>
        </w:rPr>
        <w:t>2.</w:t>
      </w:r>
      <w:r>
        <w:rPr>
          <w:rStyle w:val="8"/>
          <w:rFonts w:hint="eastAsia" w:ascii="黑体" w:hAnsi="仿宋" w:eastAsia="黑体" w:cs="仿宋"/>
          <w:bCs/>
          <w:i w:val="0"/>
          <w:sz w:val="28"/>
          <w:szCs w:val="28"/>
          <w:shd w:val="clear" w:color="auto" w:fill="FFFFFF"/>
        </w:rPr>
        <w:t>建筑系数</w:t>
      </w:r>
      <w:r>
        <w:rPr>
          <w:rFonts w:hint="eastAsia" w:ascii="黑体" w:hAnsi="仿宋" w:eastAsia="黑体" w:cs="仿宋"/>
          <w:bCs/>
          <w:sz w:val="28"/>
          <w:szCs w:val="28"/>
          <w:shd w:val="clear" w:color="auto" w:fill="FFFFFF"/>
        </w:rPr>
        <w:t>：</w:t>
      </w:r>
      <w:r>
        <w:rPr>
          <w:rFonts w:hint="eastAsia" w:ascii="仿宋_GB2312" w:hAnsi="仿宋" w:eastAsia="仿宋_GB2312" w:cs="仿宋"/>
          <w:sz w:val="28"/>
          <w:szCs w:val="28"/>
          <w:shd w:val="clear" w:color="auto" w:fill="FFFFFF"/>
        </w:rPr>
        <w:t>指项目用地范围内各种建、构筑物占地总面积与项目用地面积的比例。</w:t>
      </w:r>
    </w:p>
    <w:p w14:paraId="522ADFA6">
      <w:pPr>
        <w:pStyle w:val="5"/>
        <w:spacing w:before="0" w:beforeAutospacing="0" w:after="0" w:afterAutospacing="0" w:line="580" w:lineRule="exact"/>
        <w:ind w:firstLine="560" w:firstLineChars="200"/>
        <w:jc w:val="both"/>
        <w:rPr>
          <w:rFonts w:ascii="仿宋_GB2312" w:hAnsi="楷体" w:eastAsia="仿宋_GB2312" w:cs="楷体"/>
          <w:sz w:val="28"/>
          <w:szCs w:val="28"/>
          <w:shd w:val="clear" w:color="auto" w:fill="FFFFFF"/>
        </w:rPr>
      </w:pPr>
      <w:r>
        <w:rPr>
          <w:rFonts w:hint="eastAsia" w:ascii="仿宋_GB2312" w:hAnsi="楷体" w:eastAsia="仿宋_GB2312" w:cs="楷体"/>
          <w:sz w:val="28"/>
          <w:szCs w:val="28"/>
          <w:shd w:val="clear" w:color="auto" w:fill="FFFFFF"/>
        </w:rPr>
        <w:t>计算公式：建筑系数</w:t>
      </w:r>
      <w:r>
        <w:rPr>
          <w:rFonts w:ascii="仿宋_GB2312" w:hAnsi="楷体" w:eastAsia="仿宋_GB2312" w:cs="楷体"/>
          <w:sz w:val="28"/>
          <w:szCs w:val="28"/>
          <w:shd w:val="clear" w:color="auto" w:fill="FFFFFF"/>
        </w:rPr>
        <w:t>=</w:t>
      </w:r>
      <w:r>
        <w:rPr>
          <w:rFonts w:hint="eastAsia" w:ascii="仿宋_GB2312" w:hAnsi="楷体" w:eastAsia="仿宋_GB2312" w:cs="楷体"/>
          <w:sz w:val="28"/>
          <w:szCs w:val="28"/>
          <w:shd w:val="clear" w:color="auto" w:fill="FFFFFF"/>
        </w:rPr>
        <w:t>（建筑物占地面积＋构筑物占地面积＋露天堆场占地面积</w:t>
      </w:r>
      <w:r>
        <w:rPr>
          <w:rFonts w:ascii="仿宋_GB2312" w:hAnsi="楷体" w:eastAsia="仿宋_GB2312" w:cs="楷体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_GB2312" w:hAnsi="楷体" w:eastAsia="仿宋_GB2312" w:cs="楷体"/>
          <w:sz w:val="28"/>
          <w:szCs w:val="28"/>
          <w:shd w:val="clear" w:color="auto" w:fill="FFFFFF"/>
        </w:rPr>
        <w:t>）÷项目占地面积×</w:t>
      </w:r>
      <w:r>
        <w:rPr>
          <w:rFonts w:ascii="仿宋_GB2312" w:hAnsi="楷体" w:eastAsia="仿宋_GB2312" w:cs="楷体"/>
          <w:sz w:val="28"/>
          <w:szCs w:val="28"/>
          <w:shd w:val="clear" w:color="auto" w:fill="FFFFFF"/>
        </w:rPr>
        <w:t>100%</w:t>
      </w:r>
    </w:p>
    <w:p w14:paraId="001AA0FC">
      <w:pPr>
        <w:pStyle w:val="5"/>
        <w:spacing w:before="0" w:beforeAutospacing="0" w:after="0" w:afterAutospacing="0" w:line="580" w:lineRule="exact"/>
        <w:ind w:firstLine="560" w:firstLineChars="200"/>
        <w:jc w:val="both"/>
        <w:rPr>
          <w:rFonts w:ascii="仿宋_GB2312" w:hAnsi="仿宋" w:eastAsia="仿宋_GB2312" w:cs="仿宋"/>
          <w:sz w:val="28"/>
          <w:szCs w:val="28"/>
        </w:rPr>
      </w:pPr>
      <w:r>
        <w:rPr>
          <w:rFonts w:ascii="黑体" w:hAnsi="仿宋" w:eastAsia="黑体" w:cs="仿宋"/>
          <w:bCs/>
          <w:sz w:val="28"/>
          <w:szCs w:val="28"/>
          <w:shd w:val="clear" w:color="auto" w:fill="FFFFFF"/>
        </w:rPr>
        <w:t>3.</w:t>
      </w:r>
      <w:r>
        <w:rPr>
          <w:rFonts w:hint="eastAsia" w:ascii="黑体" w:hAnsi="仿宋" w:eastAsia="黑体" w:cs="仿宋"/>
          <w:bCs/>
          <w:sz w:val="28"/>
          <w:szCs w:val="28"/>
        </w:rPr>
        <w:t>固定资产投资强度：</w:t>
      </w:r>
      <w:r>
        <w:rPr>
          <w:rFonts w:hint="eastAsia" w:ascii="仿宋_GB2312" w:hAnsi="仿宋" w:eastAsia="仿宋_GB2312" w:cs="仿宋"/>
          <w:sz w:val="28"/>
          <w:szCs w:val="28"/>
        </w:rPr>
        <w:t>指项目固定资产投资额（包括厂房、设备和地价款）除以土地面积。</w:t>
      </w:r>
    </w:p>
    <w:p w14:paraId="42C3E3C3">
      <w:pPr>
        <w:pStyle w:val="5"/>
        <w:spacing w:before="0" w:beforeAutospacing="0" w:after="0" w:afterAutospacing="0" w:line="580" w:lineRule="exact"/>
        <w:ind w:firstLine="560" w:firstLineChars="200"/>
        <w:jc w:val="both"/>
        <w:rPr>
          <w:rFonts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计算公式：固定资产投资强度</w:t>
      </w:r>
      <w:r>
        <w:rPr>
          <w:rFonts w:ascii="仿宋_GB2312" w:hAnsi="楷体" w:eastAsia="仿宋_GB2312" w:cs="楷体"/>
          <w:sz w:val="28"/>
          <w:szCs w:val="28"/>
        </w:rPr>
        <w:t>=</w:t>
      </w:r>
      <w:r>
        <w:rPr>
          <w:rFonts w:hint="eastAsia" w:ascii="仿宋_GB2312" w:hAnsi="楷体" w:eastAsia="仿宋_GB2312" w:cs="楷体"/>
          <w:sz w:val="28"/>
          <w:szCs w:val="28"/>
        </w:rPr>
        <w:t>（厂房投资额＋设备投资额＋地价款）÷项目占地面积</w:t>
      </w:r>
    </w:p>
    <w:p w14:paraId="5D4DBDC7">
      <w:pPr>
        <w:pStyle w:val="5"/>
        <w:spacing w:before="0" w:beforeAutospacing="0" w:after="0" w:afterAutospacing="0" w:line="580" w:lineRule="exact"/>
        <w:ind w:firstLine="560" w:firstLineChars="200"/>
        <w:jc w:val="both"/>
        <w:rPr>
          <w:rFonts w:ascii="仿宋_GB2312" w:hAnsi="仿宋" w:eastAsia="仿宋_GB2312" w:cs="仿宋"/>
          <w:sz w:val="28"/>
          <w:szCs w:val="28"/>
        </w:rPr>
      </w:pPr>
      <w:r>
        <w:rPr>
          <w:rFonts w:ascii="黑体" w:hAnsi="仿宋" w:eastAsia="黑体" w:cs="仿宋"/>
          <w:bCs/>
          <w:sz w:val="28"/>
          <w:szCs w:val="28"/>
        </w:rPr>
        <w:t>4.</w:t>
      </w:r>
      <w:r>
        <w:rPr>
          <w:rFonts w:hint="eastAsia" w:ascii="黑体" w:hAnsi="仿宋" w:eastAsia="黑体" w:cs="仿宋"/>
          <w:bCs/>
          <w:sz w:val="28"/>
          <w:szCs w:val="28"/>
        </w:rPr>
        <w:t>亩均税收：</w:t>
      </w:r>
      <w:r>
        <w:rPr>
          <w:rFonts w:hint="eastAsia" w:ascii="仿宋_GB2312" w:hAnsi="仿宋" w:eastAsia="仿宋_GB2312" w:cs="仿宋"/>
          <w:sz w:val="28"/>
          <w:szCs w:val="28"/>
        </w:rPr>
        <w:t>指入驻项目投产达效后，每个会计年度每亩地纳税标准。</w:t>
      </w:r>
    </w:p>
    <w:p w14:paraId="4ADA06CF">
      <w:r>
        <w:rPr>
          <w:rFonts w:hint="eastAsia" w:ascii="仿宋_GB2312" w:hAnsi="楷体" w:eastAsia="仿宋_GB2312" w:cs="楷体"/>
          <w:sz w:val="28"/>
          <w:szCs w:val="28"/>
        </w:rPr>
        <w:t>计算公式：亩均税收</w:t>
      </w:r>
      <w:r>
        <w:rPr>
          <w:rFonts w:ascii="仿宋_GB2312" w:hAnsi="楷体" w:eastAsia="仿宋_GB2312" w:cs="楷体"/>
          <w:sz w:val="28"/>
          <w:szCs w:val="28"/>
        </w:rPr>
        <w:t>=</w:t>
      </w:r>
      <w:r>
        <w:rPr>
          <w:rFonts w:hint="eastAsia" w:ascii="仿宋_GB2312" w:hAnsi="楷体" w:eastAsia="仿宋_GB2312" w:cs="楷体"/>
          <w:sz w:val="28"/>
          <w:szCs w:val="28"/>
        </w:rPr>
        <w:t>实缴税金÷占地面积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E4195"/>
    <w:rsid w:val="05293C5E"/>
    <w:rsid w:val="0C635D0F"/>
    <w:rsid w:val="2BDE4195"/>
    <w:rsid w:val="50C12786"/>
    <w:rsid w:val="63B0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after="10" w:line="560" w:lineRule="exac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140" w:after="140" w:line="413" w:lineRule="auto"/>
      <w:jc w:val="left"/>
      <w:outlineLvl w:val="1"/>
    </w:pPr>
    <w:rPr>
      <w:rFonts w:ascii="Arial" w:hAnsi="Arial" w:eastAsia="楷体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pPr>
      <w:snapToGrid w:val="0"/>
      <w:spacing w:line="260" w:lineRule="auto"/>
      <w:jc w:val="left"/>
    </w:pPr>
    <w:rPr>
      <w:rFonts w:ascii="Times New Roman" w:hAnsi="Times New Roman"/>
      <w:sz w:val="31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Emphasis"/>
    <w:basedOn w:val="7"/>
    <w:uiPriority w:val="0"/>
    <w:rPr>
      <w:rFonts w:cs="Times New Roman"/>
      <w:i/>
    </w:rPr>
  </w:style>
  <w:style w:type="character" w:customStyle="1" w:styleId="9">
    <w:name w:val="标题 2 Char"/>
    <w:link w:val="4"/>
    <w:qFormat/>
    <w:uiPriority w:val="0"/>
    <w:rPr>
      <w:rFonts w:ascii="Arial" w:hAnsi="Arial" w:eastAsia="楷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2025-12-11T03:14:00Z</dcterms:created>
  <dc:creator>回忆</dc:creator>
  <cp:lastModifiedBy>回忆</cp:lastModifiedBy>
  <dcterms:modified xsi:type="dcterms:W3CDTF">2025-12-11T03:14:40Z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FA2DD8BA33E94CF39B23A3C5F8262AFA_11</vt:lpwstr>
  </property>
  <property fmtid="{D5CDD505-2E9C-101B-9397-08002B2CF9AE}" pid="4" name="KSOTemplateDocerSaveRecord">
    <vt:lpwstr>eyJoZGlkIjoiZDY4ZWQwZTExNTQ0ZTRjNGZkMmFmMWUwMzU5OGQ1Y2IiLCJ1c2VySWQiOiIxMDc3NDYzODI2In0=</vt:lpwstr>
  </property>
</Properties>
</file>