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EBBDD">
      <w:pPr>
        <w:autoSpaceDN w:val="0"/>
        <w:spacing w:line="700" w:lineRule="exact"/>
        <w:textAlignment w:val="center"/>
        <w:rPr>
          <w:rFonts w:ascii="黑体" w:hAnsi="黑体" w:eastAsia="黑体" w:cs="黑体"/>
          <w:sz w:val="32"/>
          <w:szCs w:val="32"/>
        </w:rPr>
      </w:pPr>
      <w:r>
        <w:rPr>
          <w:rFonts w:hint="eastAsia" w:ascii="黑体" w:hAnsi="黑体" w:eastAsia="黑体" w:cs="黑体"/>
          <w:sz w:val="32"/>
          <w:szCs w:val="32"/>
        </w:rPr>
        <w:t>附件2</w:t>
      </w:r>
    </w:p>
    <w:p w14:paraId="5484E862">
      <w:pPr>
        <w:spacing w:line="520" w:lineRule="exact"/>
        <w:jc w:val="center"/>
        <w:rPr>
          <w:rFonts w:ascii="方正小标宋_GBK" w:hAnsi="方正小标宋_GBK" w:eastAsia="方正小标宋_GBK" w:cs="方正小标宋_GBK"/>
          <w:kern w:val="0"/>
          <w:sz w:val="44"/>
          <w:szCs w:val="44"/>
        </w:rPr>
      </w:pPr>
      <w:bookmarkStart w:id="0" w:name="_GoBack"/>
      <w:r>
        <w:rPr>
          <w:rFonts w:hint="eastAsia" w:ascii="方正小标宋简体" w:hAnsi="方正小标宋简体" w:eastAsia="方正小标宋简体" w:cs="方正小标宋简体"/>
          <w:kern w:val="0"/>
          <w:sz w:val="44"/>
          <w:szCs w:val="44"/>
          <w:lang w:eastAsia="zh-CN"/>
        </w:rPr>
        <w:t>桐柏</w:t>
      </w:r>
      <w:r>
        <w:rPr>
          <w:rFonts w:hint="eastAsia" w:ascii="方正小标宋简体" w:hAnsi="方正小标宋简体" w:eastAsia="方正小标宋简体" w:cs="方正小标宋简体"/>
          <w:kern w:val="0"/>
          <w:sz w:val="44"/>
          <w:szCs w:val="44"/>
        </w:rPr>
        <w:t>县</w:t>
      </w:r>
      <w:r>
        <w:rPr>
          <w:rFonts w:hint="eastAsia" w:ascii="方正小标宋简体" w:hAnsi="方正小标宋简体" w:eastAsia="方正小标宋简体" w:cs="方正小标宋简体"/>
          <w:kern w:val="0"/>
          <w:sz w:val="44"/>
          <w:szCs w:val="44"/>
          <w:lang w:val="en-US" w:eastAsia="zh-CN"/>
        </w:rPr>
        <w:t>政府办公室（县人民防空办公室）</w:t>
      </w:r>
      <w:r>
        <w:rPr>
          <w:rFonts w:hint="eastAsia" w:ascii="方正小标宋简体" w:hAnsi="方正小标宋简体" w:eastAsia="方正小标宋简体" w:cs="方正小标宋简体"/>
          <w:kern w:val="0"/>
          <w:sz w:val="44"/>
          <w:szCs w:val="44"/>
        </w:rPr>
        <w:t>权责清单拟调整情况表</w:t>
      </w:r>
    </w:p>
    <w:bookmarkEnd w:id="0"/>
    <w:p w14:paraId="2C7D5D9E">
      <w:pPr>
        <w:pStyle w:val="2"/>
        <w:spacing w:after="0" w:line="40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部门负责人签字：</w:t>
      </w:r>
    </w:p>
    <w:p w14:paraId="2C369F93">
      <w:pPr>
        <w:pStyle w:val="2"/>
        <w:spacing w:after="0" w:line="400" w:lineRule="exact"/>
        <w:rPr>
          <w:rFonts w:ascii="黑体" w:hAnsi="黑体" w:eastAsia="黑体" w:cs="黑体"/>
          <w:color w:val="000000"/>
          <w:sz w:val="32"/>
          <w:szCs w:val="32"/>
        </w:rPr>
      </w:pPr>
      <w:r>
        <w:rPr>
          <w:rFonts w:hint="eastAsia" w:ascii="仿宋_GB2312" w:hAnsi="仿宋_GB2312" w:eastAsia="仿宋_GB2312" w:cs="仿宋_GB2312"/>
          <w:color w:val="000000"/>
          <w:sz w:val="28"/>
          <w:szCs w:val="28"/>
        </w:rPr>
        <w:t>部门名称：（盖章）</w:t>
      </w:r>
    </w:p>
    <w:tbl>
      <w:tblPr>
        <w:tblStyle w:val="4"/>
        <w:tblW w:w="13978" w:type="dxa"/>
        <w:jc w:val="center"/>
        <w:tblLayout w:type="fixed"/>
        <w:tblCellMar>
          <w:top w:w="0" w:type="dxa"/>
          <w:left w:w="15" w:type="dxa"/>
          <w:bottom w:w="0" w:type="dxa"/>
          <w:right w:w="15" w:type="dxa"/>
        </w:tblCellMar>
      </w:tblPr>
      <w:tblGrid>
        <w:gridCol w:w="699"/>
        <w:gridCol w:w="2488"/>
        <w:gridCol w:w="4839"/>
        <w:gridCol w:w="1100"/>
        <w:gridCol w:w="1250"/>
        <w:gridCol w:w="1073"/>
        <w:gridCol w:w="1581"/>
        <w:gridCol w:w="948"/>
      </w:tblGrid>
      <w:tr w14:paraId="36D07CF2">
        <w:tblPrEx>
          <w:tblCellMar>
            <w:top w:w="0" w:type="dxa"/>
            <w:left w:w="15" w:type="dxa"/>
            <w:bottom w:w="0" w:type="dxa"/>
            <w:right w:w="15" w:type="dxa"/>
          </w:tblCellMar>
        </w:tblPrEx>
        <w:trPr>
          <w:trHeight w:val="928"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14:paraId="71716272">
            <w:pPr>
              <w:pStyle w:val="2"/>
              <w:spacing w:after="0"/>
              <w:jc w:val="center"/>
              <w:rPr>
                <w:rFonts w:ascii="黑体" w:hAnsi="黑体" w:eastAsia="黑体" w:cs="黑体"/>
                <w:sz w:val="28"/>
                <w:szCs w:val="28"/>
              </w:rPr>
            </w:pPr>
            <w:r>
              <w:rPr>
                <w:rFonts w:hint="eastAsia" w:ascii="黑体" w:hAnsi="黑体" w:eastAsia="黑体" w:cs="黑体"/>
                <w:sz w:val="28"/>
                <w:szCs w:val="28"/>
              </w:rPr>
              <w:t>序号</w:t>
            </w:r>
          </w:p>
        </w:tc>
        <w:tc>
          <w:tcPr>
            <w:tcW w:w="2488" w:type="dxa"/>
            <w:tcBorders>
              <w:top w:val="single" w:color="000000" w:sz="4" w:space="0"/>
              <w:left w:val="single" w:color="000000" w:sz="4" w:space="0"/>
              <w:bottom w:val="single" w:color="000000" w:sz="4" w:space="0"/>
              <w:right w:val="single" w:color="000000" w:sz="4" w:space="0"/>
            </w:tcBorders>
            <w:vAlign w:val="center"/>
          </w:tcPr>
          <w:p w14:paraId="16C08C5A">
            <w:pPr>
              <w:autoSpaceDN w:val="0"/>
              <w:spacing w:line="400" w:lineRule="exact"/>
              <w:jc w:val="center"/>
              <w:textAlignment w:val="center"/>
              <w:rPr>
                <w:rFonts w:ascii="黑体" w:hAnsi="黑体" w:eastAsia="黑体" w:cs="黑体"/>
                <w:color w:val="000000"/>
                <w:sz w:val="28"/>
                <w:szCs w:val="28"/>
              </w:rPr>
            </w:pPr>
            <w:r>
              <w:rPr>
                <w:rFonts w:hint="eastAsia" w:ascii="黑体" w:hAnsi="黑体" w:eastAsia="黑体" w:cs="黑体"/>
                <w:color w:val="000000"/>
                <w:sz w:val="28"/>
                <w:szCs w:val="28"/>
              </w:rPr>
              <w:t>项目名称</w:t>
            </w:r>
          </w:p>
        </w:tc>
        <w:tc>
          <w:tcPr>
            <w:tcW w:w="4839" w:type="dxa"/>
            <w:tcBorders>
              <w:top w:val="single" w:color="000000" w:sz="4" w:space="0"/>
              <w:left w:val="single" w:color="000000" w:sz="4" w:space="0"/>
              <w:bottom w:val="single" w:color="000000" w:sz="4" w:space="0"/>
              <w:right w:val="single" w:color="000000" w:sz="4" w:space="0"/>
            </w:tcBorders>
            <w:vAlign w:val="center"/>
          </w:tcPr>
          <w:p w14:paraId="46F6928D">
            <w:pPr>
              <w:autoSpaceDN w:val="0"/>
              <w:spacing w:line="400" w:lineRule="exact"/>
              <w:jc w:val="center"/>
              <w:textAlignment w:val="center"/>
              <w:rPr>
                <w:rFonts w:ascii="黑体" w:hAnsi="黑体" w:eastAsia="黑体" w:cs="黑体"/>
                <w:color w:val="000000"/>
                <w:sz w:val="28"/>
                <w:szCs w:val="28"/>
              </w:rPr>
            </w:pPr>
            <w:r>
              <w:rPr>
                <w:rFonts w:hint="eastAsia" w:ascii="黑体" w:hAnsi="黑体" w:eastAsia="黑体" w:cs="黑体"/>
                <w:color w:val="000000"/>
                <w:sz w:val="28"/>
                <w:szCs w:val="28"/>
              </w:rPr>
              <w:t>实施依据</w:t>
            </w:r>
          </w:p>
        </w:tc>
        <w:tc>
          <w:tcPr>
            <w:tcW w:w="1100" w:type="dxa"/>
            <w:tcBorders>
              <w:top w:val="single" w:color="000000" w:sz="4" w:space="0"/>
              <w:left w:val="single" w:color="000000" w:sz="4" w:space="0"/>
              <w:bottom w:val="single" w:color="000000" w:sz="4" w:space="0"/>
              <w:right w:val="single" w:color="000000" w:sz="4" w:space="0"/>
            </w:tcBorders>
            <w:vAlign w:val="center"/>
          </w:tcPr>
          <w:p w14:paraId="5FF6CBF0">
            <w:pPr>
              <w:autoSpaceDN w:val="0"/>
              <w:spacing w:line="400" w:lineRule="exact"/>
              <w:jc w:val="center"/>
              <w:textAlignment w:val="center"/>
              <w:rPr>
                <w:rFonts w:ascii="黑体" w:hAnsi="黑体" w:eastAsia="黑体" w:cs="黑体"/>
                <w:color w:val="000000"/>
                <w:sz w:val="28"/>
                <w:szCs w:val="28"/>
              </w:rPr>
            </w:pPr>
            <w:r>
              <w:rPr>
                <w:rFonts w:hint="eastAsia" w:ascii="黑体" w:hAnsi="黑体" w:eastAsia="黑体" w:cs="黑体"/>
                <w:color w:val="000000"/>
                <w:sz w:val="28"/>
                <w:szCs w:val="28"/>
              </w:rPr>
              <w:t>职权</w:t>
            </w:r>
            <w:r>
              <w:rPr>
                <w:rFonts w:hint="eastAsia" w:ascii="黑体" w:hAnsi="黑体" w:eastAsia="黑体" w:cs="黑体"/>
                <w:color w:val="000000"/>
                <w:sz w:val="28"/>
                <w:szCs w:val="28"/>
              </w:rPr>
              <w:br w:type="textWrapping"/>
            </w:r>
            <w:r>
              <w:rPr>
                <w:rFonts w:hint="eastAsia" w:ascii="黑体" w:hAnsi="黑体" w:eastAsia="黑体" w:cs="黑体"/>
                <w:color w:val="000000"/>
                <w:sz w:val="28"/>
                <w:szCs w:val="28"/>
              </w:rPr>
              <w:t>类别</w:t>
            </w:r>
          </w:p>
        </w:tc>
        <w:tc>
          <w:tcPr>
            <w:tcW w:w="1250" w:type="dxa"/>
            <w:tcBorders>
              <w:top w:val="single" w:color="000000" w:sz="4" w:space="0"/>
              <w:left w:val="single" w:color="000000" w:sz="4" w:space="0"/>
              <w:bottom w:val="single" w:color="000000" w:sz="4" w:space="0"/>
              <w:right w:val="single" w:color="000000" w:sz="4" w:space="0"/>
            </w:tcBorders>
            <w:vAlign w:val="center"/>
          </w:tcPr>
          <w:p w14:paraId="4DA119AB">
            <w:pPr>
              <w:autoSpaceDN w:val="0"/>
              <w:spacing w:line="400" w:lineRule="exact"/>
              <w:jc w:val="center"/>
              <w:textAlignment w:val="center"/>
              <w:rPr>
                <w:rFonts w:ascii="黑体" w:hAnsi="黑体" w:eastAsia="黑体" w:cs="黑体"/>
                <w:color w:val="000000"/>
                <w:sz w:val="28"/>
                <w:szCs w:val="28"/>
              </w:rPr>
            </w:pPr>
            <w:r>
              <w:rPr>
                <w:rFonts w:hint="eastAsia" w:ascii="黑体" w:hAnsi="黑体" w:eastAsia="黑体" w:cs="黑体"/>
                <w:color w:val="000000"/>
                <w:sz w:val="28"/>
                <w:szCs w:val="28"/>
              </w:rPr>
              <w:t>责任科室</w:t>
            </w:r>
          </w:p>
        </w:tc>
        <w:tc>
          <w:tcPr>
            <w:tcW w:w="1073" w:type="dxa"/>
            <w:tcBorders>
              <w:top w:val="single" w:color="000000" w:sz="4" w:space="0"/>
              <w:left w:val="single" w:color="000000" w:sz="4" w:space="0"/>
              <w:bottom w:val="single" w:color="000000" w:sz="4" w:space="0"/>
              <w:right w:val="single" w:color="000000" w:sz="4" w:space="0"/>
            </w:tcBorders>
            <w:vAlign w:val="center"/>
          </w:tcPr>
          <w:p w14:paraId="15C9246D">
            <w:pPr>
              <w:autoSpaceDN w:val="0"/>
              <w:spacing w:line="400" w:lineRule="exact"/>
              <w:jc w:val="center"/>
              <w:textAlignment w:val="center"/>
              <w:rPr>
                <w:rFonts w:ascii="黑体" w:hAnsi="黑体" w:eastAsia="黑体" w:cs="黑体"/>
                <w:color w:val="000000"/>
                <w:sz w:val="28"/>
                <w:szCs w:val="28"/>
              </w:rPr>
            </w:pPr>
            <w:r>
              <w:rPr>
                <w:rFonts w:hint="eastAsia" w:ascii="黑体" w:hAnsi="黑体" w:eastAsia="黑体" w:cs="黑体"/>
                <w:color w:val="000000"/>
                <w:sz w:val="28"/>
                <w:szCs w:val="28"/>
              </w:rPr>
              <w:t>拟调整情况</w:t>
            </w:r>
          </w:p>
        </w:tc>
        <w:tc>
          <w:tcPr>
            <w:tcW w:w="1581" w:type="dxa"/>
            <w:tcBorders>
              <w:top w:val="single" w:color="000000" w:sz="4" w:space="0"/>
              <w:left w:val="single" w:color="000000" w:sz="4" w:space="0"/>
              <w:bottom w:val="single" w:color="000000" w:sz="4" w:space="0"/>
              <w:right w:val="single" w:color="000000" w:sz="4" w:space="0"/>
            </w:tcBorders>
            <w:vAlign w:val="center"/>
          </w:tcPr>
          <w:p w14:paraId="12A1CAE4">
            <w:pPr>
              <w:autoSpaceDN w:val="0"/>
              <w:spacing w:line="400" w:lineRule="exact"/>
              <w:jc w:val="center"/>
              <w:textAlignment w:val="center"/>
              <w:rPr>
                <w:rFonts w:ascii="黑体" w:hAnsi="黑体" w:eastAsia="黑体" w:cs="黑体"/>
                <w:color w:val="000000"/>
                <w:sz w:val="28"/>
                <w:szCs w:val="28"/>
              </w:rPr>
            </w:pPr>
            <w:r>
              <w:rPr>
                <w:rFonts w:hint="eastAsia" w:ascii="黑体" w:hAnsi="黑体" w:eastAsia="黑体" w:cs="黑体"/>
                <w:color w:val="000000"/>
                <w:sz w:val="28"/>
                <w:szCs w:val="28"/>
              </w:rPr>
              <w:t xml:space="preserve"> 拟调整原因</w:t>
            </w:r>
          </w:p>
        </w:tc>
        <w:tc>
          <w:tcPr>
            <w:tcW w:w="948" w:type="dxa"/>
            <w:tcBorders>
              <w:top w:val="single" w:color="000000" w:sz="4" w:space="0"/>
              <w:left w:val="single" w:color="000000" w:sz="4" w:space="0"/>
              <w:bottom w:val="single" w:color="000000" w:sz="4" w:space="0"/>
              <w:right w:val="single" w:color="000000" w:sz="4" w:space="0"/>
            </w:tcBorders>
            <w:vAlign w:val="center"/>
          </w:tcPr>
          <w:p w14:paraId="7883B421">
            <w:pPr>
              <w:autoSpaceDN w:val="0"/>
              <w:spacing w:line="400" w:lineRule="exact"/>
              <w:jc w:val="center"/>
              <w:textAlignment w:val="center"/>
              <w:rPr>
                <w:rFonts w:ascii="黑体" w:hAnsi="黑体" w:eastAsia="黑体" w:cs="黑体"/>
                <w:color w:val="000000"/>
                <w:sz w:val="28"/>
                <w:szCs w:val="28"/>
              </w:rPr>
            </w:pPr>
            <w:r>
              <w:rPr>
                <w:rFonts w:hint="eastAsia" w:ascii="黑体" w:hAnsi="黑体" w:eastAsia="黑体" w:cs="黑体"/>
                <w:color w:val="000000"/>
                <w:sz w:val="28"/>
                <w:szCs w:val="28"/>
              </w:rPr>
              <w:t>备注</w:t>
            </w:r>
          </w:p>
        </w:tc>
      </w:tr>
      <w:tr w14:paraId="50375A95">
        <w:tblPrEx>
          <w:tblCellMar>
            <w:top w:w="0" w:type="dxa"/>
            <w:left w:w="15" w:type="dxa"/>
            <w:bottom w:w="0" w:type="dxa"/>
            <w:right w:w="15" w:type="dxa"/>
          </w:tblCellMar>
        </w:tblPrEx>
        <w:trPr>
          <w:trHeight w:val="1620"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14:paraId="0E3758DF">
            <w:pPr>
              <w:autoSpaceDN w:val="0"/>
              <w:jc w:val="center"/>
              <w:textAlignment w:val="center"/>
              <w:rPr>
                <w:rFonts w:hint="default" w:ascii="仿宋_GB2312" w:hAnsi="仿宋_GB2312" w:eastAsia="仿宋_GB2312"/>
                <w:color w:val="000000"/>
                <w:sz w:val="24"/>
                <w:szCs w:val="24"/>
                <w:lang w:val="en-US" w:eastAsia="zh-CN"/>
              </w:rPr>
            </w:pPr>
            <w:r>
              <w:rPr>
                <w:rFonts w:hint="eastAsia" w:ascii="仿宋_GB2312" w:hAnsi="仿宋_GB2312" w:eastAsia="仿宋_GB2312"/>
                <w:color w:val="000000"/>
                <w:sz w:val="24"/>
                <w:szCs w:val="24"/>
                <w:lang w:val="en-US" w:eastAsia="zh-CN"/>
              </w:rPr>
              <w:t>1</w:t>
            </w:r>
          </w:p>
        </w:tc>
        <w:tc>
          <w:tcPr>
            <w:tcW w:w="2488" w:type="dxa"/>
            <w:tcBorders>
              <w:top w:val="single" w:color="000000" w:sz="4" w:space="0"/>
              <w:left w:val="single" w:color="000000" w:sz="4" w:space="0"/>
              <w:bottom w:val="single" w:color="000000" w:sz="4" w:space="0"/>
              <w:right w:val="single" w:color="000000" w:sz="4" w:space="0"/>
            </w:tcBorders>
            <w:vAlign w:val="center"/>
          </w:tcPr>
          <w:p w14:paraId="7E62AFA4">
            <w:pPr>
              <w:autoSpaceDN w:val="0"/>
              <w:jc w:val="center"/>
              <w:textAlignment w:val="center"/>
              <w:rPr>
                <w:rFonts w:hint="default" w:ascii="仿宋_GB2312" w:hAnsi="仿宋_GB2312" w:eastAsia="仿宋_GB2312"/>
                <w:color w:val="000000"/>
                <w:sz w:val="24"/>
                <w:szCs w:val="24"/>
                <w:lang w:val="en-US" w:eastAsia="zh-CN"/>
              </w:rPr>
            </w:pPr>
            <w:r>
              <w:rPr>
                <w:rFonts w:hint="default" w:ascii="仿宋_GB2312" w:hAnsi="仿宋_GB2312" w:eastAsia="仿宋_GB2312"/>
                <w:color w:val="000000"/>
                <w:sz w:val="24"/>
                <w:szCs w:val="24"/>
                <w:lang w:val="en-US" w:eastAsia="zh-CN"/>
              </w:rPr>
              <w:t>对建设单位将人防工程发包给不具有相应资质等级的勘查、设计、施工单位或者委托给不具有相应资质等级的工程监理单位的处罚</w:t>
            </w:r>
          </w:p>
        </w:tc>
        <w:tc>
          <w:tcPr>
            <w:tcW w:w="4839" w:type="dxa"/>
            <w:tcBorders>
              <w:top w:val="single" w:color="000000" w:sz="4" w:space="0"/>
              <w:left w:val="single" w:color="000000" w:sz="4" w:space="0"/>
              <w:bottom w:val="single" w:color="000000" w:sz="4" w:space="0"/>
              <w:right w:val="single" w:color="000000" w:sz="4" w:space="0"/>
            </w:tcBorders>
            <w:vAlign w:val="center"/>
          </w:tcPr>
          <w:p w14:paraId="1151BB95">
            <w:pPr>
              <w:autoSpaceDN w:val="0"/>
              <w:jc w:val="center"/>
              <w:textAlignment w:val="center"/>
              <w:rPr>
                <w:rFonts w:hint="eastAsia" w:ascii="仿宋_GB2312" w:hAnsi="仿宋_GB2312" w:eastAsia="仿宋_GB2312" w:cs="仿宋_GB2312"/>
                <w:color w:val="000000"/>
                <w:sz w:val="18"/>
                <w:szCs w:val="18"/>
                <w:lang w:val="en-US" w:eastAsia="zh-CN"/>
              </w:rPr>
            </w:pPr>
            <w:r>
              <w:rPr>
                <w:rFonts w:hint="eastAsia" w:ascii="仿宋" w:hAnsi="仿宋" w:eastAsia="仿宋" w:cs="仿宋"/>
                <w:color w:val="000000"/>
                <w:sz w:val="28"/>
                <w:szCs w:val="28"/>
              </w:rPr>
              <w:t xml:space="preserve"> </w:t>
            </w:r>
            <w:r>
              <w:rPr>
                <w:rFonts w:hint="eastAsia" w:ascii="仿宋_GB2312" w:hAnsi="仿宋_GB2312" w:eastAsia="仿宋_GB2312" w:cs="仿宋_GB2312"/>
                <w:color w:val="000000"/>
                <w:sz w:val="18"/>
                <w:szCs w:val="18"/>
                <w:lang w:val="en-US" w:eastAsia="zh-CN"/>
              </w:rPr>
              <w:t>【行政法规】《建设工程质量管理条例》(国务院令第714号第二次修改) 第五十四条 ：“ 违反本条例规定，建设单位将建设工程发包给不具有相应资质等级的勘察、设计、施工单位或者委托给不具有相应资质等级的工程监理单位的，责令改正，处50万元以上100万元以下的罚款。”</w:t>
            </w:r>
          </w:p>
          <w:p w14:paraId="76BA5482">
            <w:pPr>
              <w:autoSpaceDN w:val="0"/>
              <w:jc w:val="center"/>
              <w:textAlignment w:val="center"/>
              <w:rPr>
                <w:rFonts w:hint="eastAsia" w:ascii="仿宋" w:hAnsi="仿宋" w:eastAsia="仿宋" w:cs="仿宋"/>
                <w:color w:val="000000"/>
                <w:sz w:val="28"/>
                <w:szCs w:val="28"/>
              </w:rPr>
            </w:pPr>
            <w:r>
              <w:rPr>
                <w:rFonts w:hint="eastAsia" w:ascii="仿宋_GB2312" w:hAnsi="仿宋_GB2312" w:eastAsia="仿宋_GB2312" w:cs="仿宋_GB2312"/>
                <w:color w:val="000000"/>
                <w:sz w:val="18"/>
                <w:szCs w:val="18"/>
                <w:lang w:val="en-US" w:eastAsia="zh-CN"/>
              </w:rPr>
              <w:t>　《河南省人防防空工程管理办法》（河南省人民政府令第200号）第三十二条 ：“ 违反本办法规定，法律、法规已有法律责任规定的，从其规定。”</w:t>
            </w:r>
          </w:p>
        </w:tc>
        <w:tc>
          <w:tcPr>
            <w:tcW w:w="1100" w:type="dxa"/>
            <w:tcBorders>
              <w:top w:val="single" w:color="000000" w:sz="4" w:space="0"/>
              <w:left w:val="single" w:color="000000" w:sz="4" w:space="0"/>
              <w:bottom w:val="single" w:color="000000" w:sz="4" w:space="0"/>
              <w:right w:val="single" w:color="000000" w:sz="4" w:space="0"/>
            </w:tcBorders>
            <w:vAlign w:val="center"/>
          </w:tcPr>
          <w:p w14:paraId="144404A5">
            <w:pPr>
              <w:autoSpaceDN w:val="0"/>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行政处罚</w:t>
            </w:r>
          </w:p>
        </w:tc>
        <w:tc>
          <w:tcPr>
            <w:tcW w:w="1250" w:type="dxa"/>
            <w:tcBorders>
              <w:top w:val="single" w:color="000000" w:sz="4" w:space="0"/>
              <w:left w:val="single" w:color="000000" w:sz="4" w:space="0"/>
              <w:bottom w:val="single" w:color="000000" w:sz="4" w:space="0"/>
              <w:right w:val="single" w:color="000000" w:sz="4" w:space="0"/>
            </w:tcBorders>
            <w:vAlign w:val="center"/>
          </w:tcPr>
          <w:p w14:paraId="7A206399">
            <w:pPr>
              <w:autoSpaceDN w:val="0"/>
              <w:jc w:val="center"/>
              <w:textAlignment w:val="center"/>
              <w:rPr>
                <w:rFonts w:hint="eastAsia" w:ascii="仿宋_GB2312" w:hAnsi="仿宋_GB2312" w:eastAsia="仿宋_GB2312"/>
                <w:color w:val="000000"/>
                <w:sz w:val="24"/>
                <w:szCs w:val="24"/>
              </w:rPr>
            </w:pPr>
          </w:p>
        </w:tc>
        <w:tc>
          <w:tcPr>
            <w:tcW w:w="1073" w:type="dxa"/>
            <w:tcBorders>
              <w:top w:val="single" w:color="000000" w:sz="4" w:space="0"/>
              <w:left w:val="single" w:color="000000" w:sz="4" w:space="0"/>
              <w:bottom w:val="single" w:color="000000" w:sz="4" w:space="0"/>
              <w:right w:val="single" w:color="000000" w:sz="4" w:space="0"/>
            </w:tcBorders>
            <w:vAlign w:val="center"/>
          </w:tcPr>
          <w:p w14:paraId="035CD51E">
            <w:pPr>
              <w:autoSpaceDN w:val="0"/>
              <w:jc w:val="center"/>
              <w:textAlignment w:val="center"/>
              <w:rPr>
                <w:rFonts w:hint="eastAsia" w:ascii="仿宋" w:hAnsi="仿宋" w:eastAsia="仿宋" w:cs="仿宋"/>
                <w:color w:val="000000"/>
                <w:sz w:val="28"/>
                <w:szCs w:val="28"/>
                <w:lang w:eastAsia="zh-CN"/>
              </w:rPr>
            </w:pPr>
            <w:r>
              <w:rPr>
                <w:rFonts w:hint="eastAsia" w:ascii="仿宋_GB2312" w:hAnsi="仿宋_GB2312" w:eastAsia="仿宋_GB2312"/>
                <w:color w:val="000000"/>
                <w:sz w:val="24"/>
                <w:szCs w:val="24"/>
                <w:lang w:val="en-US" w:eastAsia="zh-CN"/>
              </w:rPr>
              <w:t>取消</w:t>
            </w:r>
          </w:p>
        </w:tc>
        <w:tc>
          <w:tcPr>
            <w:tcW w:w="1581" w:type="dxa"/>
            <w:tcBorders>
              <w:top w:val="single" w:color="000000" w:sz="4" w:space="0"/>
              <w:left w:val="single" w:color="000000" w:sz="4" w:space="0"/>
              <w:bottom w:val="single" w:color="000000" w:sz="4" w:space="0"/>
              <w:right w:val="single" w:color="000000" w:sz="4" w:space="0"/>
            </w:tcBorders>
          </w:tcPr>
          <w:p w14:paraId="0F5E2C58">
            <w:pPr>
              <w:autoSpaceDN w:val="0"/>
              <w:jc w:val="center"/>
              <w:textAlignment w:val="center"/>
              <w:rPr>
                <w:rFonts w:hint="eastAsia" w:ascii="仿宋" w:hAnsi="仿宋" w:eastAsia="仿宋" w:cs="仿宋"/>
                <w:sz w:val="28"/>
                <w:szCs w:val="28"/>
                <w:lang w:val="en-US" w:eastAsia="zh-CN"/>
              </w:rPr>
            </w:pPr>
          </w:p>
          <w:p w14:paraId="293395FB">
            <w:pPr>
              <w:autoSpaceDN w:val="0"/>
              <w:jc w:val="center"/>
              <w:textAlignment w:val="center"/>
              <w:rPr>
                <w:rFonts w:hint="eastAsia" w:ascii="仿宋" w:hAnsi="仿宋" w:eastAsia="仿宋" w:cs="仿宋"/>
                <w:sz w:val="28"/>
                <w:szCs w:val="28"/>
                <w:lang w:val="en-US" w:eastAsia="zh-CN"/>
              </w:rPr>
            </w:pPr>
          </w:p>
          <w:p w14:paraId="743519D3">
            <w:pPr>
              <w:autoSpaceDN w:val="0"/>
              <w:jc w:val="center"/>
              <w:textAlignment w:val="center"/>
              <w:rPr>
                <w:rFonts w:hint="default" w:ascii="仿宋" w:hAnsi="仿宋" w:eastAsia="仿宋" w:cs="仿宋"/>
                <w:sz w:val="28"/>
                <w:szCs w:val="28"/>
                <w:lang w:val="en-US" w:eastAsia="zh-CN"/>
              </w:rPr>
            </w:pPr>
            <w:r>
              <w:rPr>
                <w:rFonts w:hint="eastAsia" w:ascii="仿宋_GB2312" w:hAnsi="仿宋_GB2312" w:eastAsia="仿宋_GB2312" w:cs="仿宋_GB2312"/>
                <w:color w:val="000000"/>
                <w:sz w:val="18"/>
                <w:szCs w:val="18"/>
                <w:lang w:val="en-US" w:eastAsia="zh-CN"/>
              </w:rPr>
              <w:t>依据中共桐柏县委办公室 桐柏县人民政府办公室关于印发《桐柏县城市管理局职能配置、内设机构和人员编制规定的通知》第四条第七项承担住房城乡建设领域法律、法规、规章规定的全部行政处罚权。故取消事项</w:t>
            </w:r>
          </w:p>
          <w:p w14:paraId="71A6D5C8">
            <w:pPr>
              <w:autoSpaceDN w:val="0"/>
              <w:jc w:val="center"/>
              <w:textAlignment w:val="center"/>
              <w:rPr>
                <w:rFonts w:hint="eastAsia" w:ascii="仿宋" w:hAnsi="仿宋" w:eastAsia="仿宋" w:cs="仿宋"/>
                <w:sz w:val="28"/>
                <w:szCs w:val="28"/>
                <w:lang w:val="en-US" w:eastAsia="zh-CN"/>
              </w:rPr>
            </w:pPr>
          </w:p>
        </w:tc>
        <w:tc>
          <w:tcPr>
            <w:tcW w:w="948" w:type="dxa"/>
            <w:tcBorders>
              <w:top w:val="single" w:color="000000" w:sz="4" w:space="0"/>
              <w:left w:val="single" w:color="000000" w:sz="4" w:space="0"/>
              <w:bottom w:val="single" w:color="000000" w:sz="4" w:space="0"/>
              <w:right w:val="single" w:color="000000" w:sz="4" w:space="0"/>
            </w:tcBorders>
            <w:vAlign w:val="center"/>
          </w:tcPr>
          <w:p w14:paraId="5CA01DBF">
            <w:pPr>
              <w:autoSpaceDN w:val="0"/>
              <w:jc w:val="center"/>
              <w:textAlignment w:val="center"/>
              <w:rPr>
                <w:rFonts w:hint="eastAsia" w:ascii="仿宋" w:hAnsi="仿宋" w:eastAsia="仿宋" w:cs="仿宋"/>
                <w:sz w:val="28"/>
                <w:szCs w:val="28"/>
                <w:lang w:val="en-US" w:eastAsia="zh-CN"/>
              </w:rPr>
            </w:pPr>
          </w:p>
        </w:tc>
      </w:tr>
      <w:tr w14:paraId="12FF51FD">
        <w:tblPrEx>
          <w:tblCellMar>
            <w:top w:w="0" w:type="dxa"/>
            <w:left w:w="15" w:type="dxa"/>
            <w:bottom w:w="0" w:type="dxa"/>
            <w:right w:w="15" w:type="dxa"/>
          </w:tblCellMar>
        </w:tblPrEx>
        <w:trPr>
          <w:trHeight w:val="1626"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14:paraId="3DDC4403">
            <w:pPr>
              <w:autoSpaceDN w:val="0"/>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w:t>
            </w:r>
          </w:p>
        </w:tc>
        <w:tc>
          <w:tcPr>
            <w:tcW w:w="2488" w:type="dxa"/>
            <w:tcBorders>
              <w:top w:val="single" w:color="000000" w:sz="4" w:space="0"/>
              <w:left w:val="single" w:color="000000" w:sz="4" w:space="0"/>
              <w:bottom w:val="single" w:color="000000" w:sz="4" w:space="0"/>
              <w:right w:val="single" w:color="000000" w:sz="4" w:space="0"/>
            </w:tcBorders>
            <w:vAlign w:val="center"/>
          </w:tcPr>
          <w:p w14:paraId="21CEBC90">
            <w:pPr>
              <w:autoSpaceDN w:val="0"/>
              <w:jc w:val="center"/>
              <w:textAlignment w:val="center"/>
              <w:rPr>
                <w:rFonts w:hint="default" w:ascii="仿宋" w:hAnsi="仿宋" w:eastAsia="仿宋" w:cs="仿宋"/>
                <w:color w:val="000000"/>
                <w:sz w:val="24"/>
                <w:szCs w:val="24"/>
                <w:lang w:val="en-US" w:eastAsia="zh-CN"/>
              </w:rPr>
            </w:pPr>
            <w:r>
              <w:rPr>
                <w:rFonts w:hint="default" w:ascii="仿宋" w:hAnsi="仿宋" w:eastAsia="仿宋" w:cs="仿宋"/>
                <w:color w:val="000000"/>
                <w:sz w:val="24"/>
                <w:szCs w:val="24"/>
                <w:lang w:val="en-US" w:eastAsia="zh-CN"/>
              </w:rPr>
              <w:t>对建设单位将人防工程肢解发包的处罚</w:t>
            </w:r>
          </w:p>
        </w:tc>
        <w:tc>
          <w:tcPr>
            <w:tcW w:w="4839" w:type="dxa"/>
            <w:tcBorders>
              <w:top w:val="single" w:color="000000" w:sz="4" w:space="0"/>
              <w:left w:val="single" w:color="000000" w:sz="4" w:space="0"/>
              <w:bottom w:val="single" w:color="000000" w:sz="4" w:space="0"/>
              <w:right w:val="single" w:color="000000" w:sz="4" w:space="0"/>
            </w:tcBorders>
            <w:vAlign w:val="center"/>
          </w:tcPr>
          <w:p w14:paraId="6D53E747">
            <w:pPr>
              <w:autoSpaceDN w:val="0"/>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 xml:space="preserve">《建设工程质量管理条例》(2000年国务院令第279号) </w:t>
            </w:r>
          </w:p>
          <w:p w14:paraId="1F6C925A">
            <w:pPr>
              <w:autoSpaceDN w:val="0"/>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　　第五十五条  违反本条例规定，建设单位将建设工程肢解发包的，责令改正，处工程合同价款百分之零点五以上百分之一以下的罚款；对全部或者部分使用国有资金的项目，并可以暂停项目执行或者暂停资金拨付。</w:t>
            </w:r>
          </w:p>
          <w:p w14:paraId="69B4FE34">
            <w:pPr>
              <w:autoSpaceDN w:val="0"/>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《河南省人防防空工程管理办法》（河南省人民政府令第200号）第三十二条 ：“ 违反本办法规定，法律、法规已有法律责任规定的，从其规定。” 1.《人民防空工程维护管理办法》（【2001】国人防办字第210号）第十六条：“人民防空工程进行改造时，不得降低防护能力和影响其防空效能，并按有关规定、规范进行设计，经人民防空主管部门批准后实施。”2.《人民防空工程平时开发利用管理办法》（【2001】国人防办字第211号）第十三条：“使用单位不得改变人民防空工程的主体结构，不得擅自拆除人民防空工程设备设施或者危害人民防空工程的安全和使用效能。使用单位因使用需要可对人民防空工程进行装修并向工程隶属单位提出书面申请。装修方案和施工图纸必须报经工程所在地人防主管部门批准。”</w:t>
            </w:r>
          </w:p>
        </w:tc>
        <w:tc>
          <w:tcPr>
            <w:tcW w:w="1100" w:type="dxa"/>
            <w:tcBorders>
              <w:top w:val="single" w:color="000000" w:sz="4" w:space="0"/>
              <w:left w:val="single" w:color="000000" w:sz="4" w:space="0"/>
              <w:bottom w:val="single" w:color="000000" w:sz="4" w:space="0"/>
              <w:right w:val="single" w:color="000000" w:sz="4" w:space="0"/>
            </w:tcBorders>
            <w:vAlign w:val="center"/>
          </w:tcPr>
          <w:p w14:paraId="5BEE716F">
            <w:pPr>
              <w:autoSpaceDN w:val="0"/>
              <w:jc w:val="center"/>
              <w:textAlignment w:val="center"/>
              <w:rPr>
                <w:rFonts w:hint="eastAsia" w:ascii="仿宋" w:hAnsi="仿宋" w:eastAsia="仿宋" w:cs="仿宋"/>
                <w:color w:val="000000"/>
                <w:sz w:val="28"/>
                <w:szCs w:val="28"/>
              </w:rPr>
            </w:pPr>
            <w:r>
              <w:rPr>
                <w:rFonts w:hint="eastAsia" w:ascii="仿宋_GB2312" w:hAnsi="仿宋_GB2312" w:eastAsia="仿宋_GB2312"/>
                <w:color w:val="000000"/>
                <w:sz w:val="24"/>
                <w:szCs w:val="24"/>
              </w:rPr>
              <w:t>行政处罚</w:t>
            </w:r>
          </w:p>
        </w:tc>
        <w:tc>
          <w:tcPr>
            <w:tcW w:w="1250" w:type="dxa"/>
            <w:tcBorders>
              <w:top w:val="single" w:color="000000" w:sz="4" w:space="0"/>
              <w:left w:val="single" w:color="000000" w:sz="4" w:space="0"/>
              <w:bottom w:val="single" w:color="000000" w:sz="4" w:space="0"/>
              <w:right w:val="single" w:color="000000" w:sz="4" w:space="0"/>
            </w:tcBorders>
            <w:vAlign w:val="center"/>
          </w:tcPr>
          <w:p w14:paraId="22888A27">
            <w:pPr>
              <w:autoSpaceDN w:val="0"/>
              <w:jc w:val="center"/>
              <w:textAlignment w:val="center"/>
              <w:rPr>
                <w:rFonts w:hint="eastAsia" w:ascii="仿宋" w:hAnsi="仿宋" w:eastAsia="仿宋" w:cs="仿宋"/>
                <w:color w:val="000000"/>
                <w:sz w:val="28"/>
                <w:szCs w:val="28"/>
              </w:rPr>
            </w:pPr>
          </w:p>
        </w:tc>
        <w:tc>
          <w:tcPr>
            <w:tcW w:w="1073" w:type="dxa"/>
            <w:tcBorders>
              <w:top w:val="single" w:color="000000" w:sz="4" w:space="0"/>
              <w:left w:val="single" w:color="000000" w:sz="4" w:space="0"/>
              <w:bottom w:val="single" w:color="000000" w:sz="4" w:space="0"/>
              <w:right w:val="single" w:color="000000" w:sz="4" w:space="0"/>
            </w:tcBorders>
            <w:vAlign w:val="center"/>
          </w:tcPr>
          <w:p w14:paraId="35CAA877">
            <w:pPr>
              <w:autoSpaceDN w:val="0"/>
              <w:jc w:val="center"/>
              <w:textAlignment w:val="center"/>
              <w:rPr>
                <w:rFonts w:hint="eastAsia" w:ascii="仿宋" w:hAnsi="仿宋" w:eastAsia="仿宋" w:cs="仿宋"/>
                <w:color w:val="000000"/>
                <w:sz w:val="28"/>
                <w:szCs w:val="28"/>
              </w:rPr>
            </w:pPr>
            <w:r>
              <w:rPr>
                <w:rFonts w:hint="eastAsia" w:ascii="仿宋_GB2312" w:hAnsi="仿宋_GB2312" w:eastAsia="仿宋_GB2312"/>
                <w:color w:val="000000"/>
                <w:sz w:val="24"/>
                <w:szCs w:val="24"/>
                <w:lang w:val="en-US" w:eastAsia="zh-CN"/>
              </w:rPr>
              <w:t>取消</w:t>
            </w:r>
          </w:p>
        </w:tc>
        <w:tc>
          <w:tcPr>
            <w:tcW w:w="1581" w:type="dxa"/>
            <w:tcBorders>
              <w:top w:val="single" w:color="000000" w:sz="4" w:space="0"/>
              <w:left w:val="single" w:color="000000" w:sz="4" w:space="0"/>
              <w:bottom w:val="single" w:color="000000" w:sz="4" w:space="0"/>
              <w:right w:val="single" w:color="000000" w:sz="4" w:space="0"/>
            </w:tcBorders>
            <w:vAlign w:val="top"/>
          </w:tcPr>
          <w:p w14:paraId="2F26441E">
            <w:pPr>
              <w:autoSpaceDN w:val="0"/>
              <w:jc w:val="center"/>
              <w:textAlignment w:val="center"/>
              <w:rPr>
                <w:rFonts w:hint="eastAsia" w:ascii="仿宋" w:hAnsi="仿宋" w:eastAsia="仿宋" w:cs="仿宋"/>
                <w:sz w:val="28"/>
                <w:szCs w:val="28"/>
                <w:lang w:val="en-US" w:eastAsia="zh-CN"/>
              </w:rPr>
            </w:pPr>
          </w:p>
          <w:p w14:paraId="531D3107">
            <w:pPr>
              <w:autoSpaceDN w:val="0"/>
              <w:jc w:val="center"/>
              <w:textAlignment w:val="center"/>
              <w:rPr>
                <w:rFonts w:hint="eastAsia" w:ascii="仿宋" w:hAnsi="仿宋" w:eastAsia="仿宋" w:cs="仿宋"/>
                <w:sz w:val="28"/>
                <w:szCs w:val="28"/>
                <w:lang w:val="en-US" w:eastAsia="zh-CN"/>
              </w:rPr>
            </w:pPr>
          </w:p>
          <w:p w14:paraId="18943AD4">
            <w:pPr>
              <w:autoSpaceDN w:val="0"/>
              <w:jc w:val="center"/>
              <w:textAlignment w:val="center"/>
              <w:rPr>
                <w:rFonts w:hint="default" w:ascii="仿宋" w:hAnsi="仿宋" w:eastAsia="仿宋" w:cs="仿宋"/>
                <w:sz w:val="28"/>
                <w:szCs w:val="28"/>
                <w:lang w:val="en-US" w:eastAsia="zh-CN"/>
              </w:rPr>
            </w:pPr>
            <w:r>
              <w:rPr>
                <w:rFonts w:hint="eastAsia" w:ascii="仿宋_GB2312" w:hAnsi="仿宋_GB2312" w:eastAsia="仿宋_GB2312" w:cs="仿宋_GB2312"/>
                <w:color w:val="000000"/>
                <w:sz w:val="18"/>
                <w:szCs w:val="18"/>
                <w:lang w:val="en-US" w:eastAsia="zh-CN"/>
              </w:rPr>
              <w:t>依据中共桐柏县委办公室 桐柏县人民政府办公室关于印发《桐柏县城市管理局职能配置、内设机构和人员编制规定的通知》第四条第七项承担住房城乡建设领域法律、法规、规章规定的全部行政处罚权。故取消事项</w:t>
            </w:r>
          </w:p>
          <w:p w14:paraId="54D75B28">
            <w:pPr>
              <w:autoSpaceDN w:val="0"/>
              <w:jc w:val="center"/>
              <w:textAlignment w:val="center"/>
              <w:rPr>
                <w:rFonts w:hint="eastAsia" w:ascii="仿宋" w:hAnsi="仿宋" w:eastAsia="仿宋" w:cs="仿宋"/>
                <w:sz w:val="28"/>
                <w:szCs w:val="28"/>
                <w:lang w:val="en-US" w:eastAsia="zh-CN"/>
              </w:rPr>
            </w:pPr>
          </w:p>
        </w:tc>
        <w:tc>
          <w:tcPr>
            <w:tcW w:w="948" w:type="dxa"/>
            <w:tcBorders>
              <w:top w:val="single" w:color="000000" w:sz="4" w:space="0"/>
              <w:left w:val="single" w:color="000000" w:sz="4" w:space="0"/>
              <w:bottom w:val="single" w:color="000000" w:sz="4" w:space="0"/>
              <w:right w:val="single" w:color="000000" w:sz="4" w:space="0"/>
            </w:tcBorders>
            <w:vAlign w:val="center"/>
          </w:tcPr>
          <w:p w14:paraId="4A804319">
            <w:pPr>
              <w:autoSpaceDN w:val="0"/>
              <w:jc w:val="center"/>
              <w:textAlignment w:val="center"/>
              <w:rPr>
                <w:rFonts w:hint="eastAsia" w:ascii="仿宋" w:hAnsi="仿宋" w:eastAsia="仿宋" w:cs="仿宋"/>
                <w:sz w:val="28"/>
                <w:szCs w:val="28"/>
                <w:lang w:val="en-US" w:eastAsia="zh-CN"/>
              </w:rPr>
            </w:pPr>
          </w:p>
        </w:tc>
      </w:tr>
      <w:tr w14:paraId="7C6C83FA">
        <w:tblPrEx>
          <w:tblCellMar>
            <w:top w:w="0" w:type="dxa"/>
            <w:left w:w="15" w:type="dxa"/>
            <w:bottom w:w="0" w:type="dxa"/>
            <w:right w:w="15" w:type="dxa"/>
          </w:tblCellMar>
        </w:tblPrEx>
        <w:trPr>
          <w:trHeight w:val="1626"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14:paraId="764680E8">
            <w:pPr>
              <w:autoSpaceDN w:val="0"/>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w:t>
            </w:r>
          </w:p>
        </w:tc>
        <w:tc>
          <w:tcPr>
            <w:tcW w:w="2488" w:type="dxa"/>
            <w:tcBorders>
              <w:top w:val="single" w:color="000000" w:sz="4" w:space="0"/>
              <w:left w:val="single" w:color="000000" w:sz="4" w:space="0"/>
              <w:bottom w:val="single" w:color="000000" w:sz="4" w:space="0"/>
              <w:right w:val="single" w:color="000000" w:sz="4" w:space="0"/>
            </w:tcBorders>
            <w:vAlign w:val="center"/>
          </w:tcPr>
          <w:p w14:paraId="3697C8BF">
            <w:pPr>
              <w:autoSpaceDN w:val="0"/>
              <w:jc w:val="center"/>
              <w:textAlignment w:val="center"/>
              <w:rPr>
                <w:rFonts w:hint="default" w:ascii="仿宋" w:hAnsi="仿宋" w:eastAsia="仿宋" w:cs="仿宋"/>
                <w:color w:val="000000"/>
                <w:sz w:val="24"/>
                <w:szCs w:val="24"/>
                <w:lang w:val="en-US" w:eastAsia="zh-CN"/>
              </w:rPr>
            </w:pPr>
            <w:r>
              <w:rPr>
                <w:rFonts w:hint="default" w:ascii="仿宋" w:hAnsi="仿宋" w:eastAsia="仿宋" w:cs="仿宋"/>
                <w:color w:val="000000"/>
                <w:sz w:val="24"/>
                <w:szCs w:val="24"/>
                <w:lang w:val="en-US" w:eastAsia="zh-CN"/>
              </w:rPr>
              <w:t>侵占人民防空工程的；不按照国家规定的防护标准和质量标准修建人民防空工程的；违反国家规定，改变人民防空工程的主体结构，拆除人民防空工程设施或者采用其他方法危害人民防空工程的安全和使用效能的；拆除人民防空工程后拒不补建的；占用人民防空通信专用频率、使用与防空警报相同的音响信号或者擅自拆除人民防空通信、警报设施的；阻挠安装人民防空通信、警报设施的；向人民防空工程内排入废水、废气或者倾倒废弃物的处罚</w:t>
            </w:r>
          </w:p>
        </w:tc>
        <w:tc>
          <w:tcPr>
            <w:tcW w:w="4839" w:type="dxa"/>
            <w:tcBorders>
              <w:top w:val="single" w:color="000000" w:sz="4" w:space="0"/>
              <w:left w:val="single" w:color="000000" w:sz="4" w:space="0"/>
              <w:bottom w:val="single" w:color="000000" w:sz="4" w:space="0"/>
              <w:right w:val="single" w:color="000000" w:sz="4" w:space="0"/>
            </w:tcBorders>
            <w:vAlign w:val="center"/>
          </w:tcPr>
          <w:p w14:paraId="046C8152">
            <w:pPr>
              <w:autoSpaceDN w:val="0"/>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河南省实施＜中华人民共和国人民防空法＞办法》第二十九条：“有下列行为之一的，由县级以上人民防空主管部门对当事人给予警告，并责令限期改正违法行为，可按照下列规定并处罚款；造成损失的，当事人应当依法赔偿损失：（一）侵占人民防空工程，面积不足一百平方米的，对个人处以一千元以上二千元以下罚款，对单位处以一万元以上二万元以下罚款；面积在一百平方米以上的，对个人处以二千元以上五千元以下罚款，对单位处以二万元以上五万元以下罚款。（二)不按照国家规定的防护标准和质量标准修建人民防空工程的，处以一万元以上五万元以下罚款。（三)违反国家规定，改变人民防空工程的主体结构，拆除人民防空工程设备设施或者采用其他方法危害人民防空工程的安全和使用效能的，对个人处以一千元以上三千元以下罚款，对单位处以一万元以上五万元以下罚款.（四)拆除人民防空工程后拒不补建，面积不足一百平方米的，对个人处以二千元以上三千元以下罚款，对单位处以一万元以上三万元以下罚款；面积在一百平方米以上的，对个人处以三千元以上五千元以下罚款，对单位处以三万元以上五万元以下罚款.（五）占用人民防空通信专用频率、使用与防空警报相同的音响信号或者擅自拆除人民防空通信、警报设施的，对个人处以二千元以上三千元以下罚款，情节严重的，处以三千元以上五千元以下罚款；对单位处以一万元以上三万元以下罚款，情节严重的，处以三万元以上五万元以下罚款。（六）阻挠安装人民防空通信、警报设施，拒不改正的，对个人处以二千元以上五千元以下罚款，对单位处以一万元以上五万元以下罚款，（七）向人民防空工程内排入废水、废气或者倾倒废弃物的，对个人处以三百元以上一千元以下的罚款，情节严重的，处以二千元以上三千元以下罚款；对单位处以五千元以上一万元以下罚款，情节严重的，处以一万元以上五万元以下罚款。”</w:t>
            </w:r>
          </w:p>
        </w:tc>
        <w:tc>
          <w:tcPr>
            <w:tcW w:w="1100" w:type="dxa"/>
            <w:tcBorders>
              <w:top w:val="single" w:color="000000" w:sz="4" w:space="0"/>
              <w:left w:val="single" w:color="000000" w:sz="4" w:space="0"/>
              <w:bottom w:val="single" w:color="000000" w:sz="4" w:space="0"/>
              <w:right w:val="single" w:color="000000" w:sz="4" w:space="0"/>
            </w:tcBorders>
            <w:vAlign w:val="center"/>
          </w:tcPr>
          <w:p w14:paraId="6681551C">
            <w:pPr>
              <w:autoSpaceDN w:val="0"/>
              <w:jc w:val="center"/>
              <w:textAlignment w:val="center"/>
              <w:rPr>
                <w:rFonts w:hint="eastAsia" w:ascii="仿宋" w:hAnsi="仿宋" w:eastAsia="仿宋" w:cs="仿宋"/>
                <w:color w:val="000000"/>
                <w:sz w:val="28"/>
                <w:szCs w:val="28"/>
              </w:rPr>
            </w:pPr>
            <w:r>
              <w:rPr>
                <w:rFonts w:hint="eastAsia" w:ascii="仿宋_GB2312" w:hAnsi="仿宋_GB2312" w:eastAsia="仿宋_GB2312"/>
                <w:color w:val="000000"/>
                <w:sz w:val="24"/>
                <w:szCs w:val="24"/>
              </w:rPr>
              <w:t>行政处罚</w:t>
            </w:r>
          </w:p>
        </w:tc>
        <w:tc>
          <w:tcPr>
            <w:tcW w:w="1250" w:type="dxa"/>
            <w:tcBorders>
              <w:top w:val="single" w:color="000000" w:sz="4" w:space="0"/>
              <w:left w:val="single" w:color="000000" w:sz="4" w:space="0"/>
              <w:bottom w:val="single" w:color="000000" w:sz="4" w:space="0"/>
              <w:right w:val="single" w:color="000000" w:sz="4" w:space="0"/>
            </w:tcBorders>
            <w:vAlign w:val="center"/>
          </w:tcPr>
          <w:p w14:paraId="46EA94A1">
            <w:pPr>
              <w:autoSpaceDN w:val="0"/>
              <w:jc w:val="center"/>
              <w:textAlignment w:val="center"/>
              <w:rPr>
                <w:rFonts w:hint="eastAsia" w:ascii="仿宋" w:hAnsi="仿宋" w:eastAsia="仿宋" w:cs="仿宋"/>
                <w:color w:val="000000"/>
                <w:sz w:val="28"/>
                <w:szCs w:val="28"/>
              </w:rPr>
            </w:pPr>
          </w:p>
        </w:tc>
        <w:tc>
          <w:tcPr>
            <w:tcW w:w="1073" w:type="dxa"/>
            <w:tcBorders>
              <w:top w:val="single" w:color="000000" w:sz="4" w:space="0"/>
              <w:left w:val="single" w:color="000000" w:sz="4" w:space="0"/>
              <w:bottom w:val="single" w:color="000000" w:sz="4" w:space="0"/>
              <w:right w:val="single" w:color="000000" w:sz="4" w:space="0"/>
            </w:tcBorders>
            <w:vAlign w:val="center"/>
          </w:tcPr>
          <w:p w14:paraId="5CA2C294">
            <w:pPr>
              <w:autoSpaceDN w:val="0"/>
              <w:jc w:val="center"/>
              <w:textAlignment w:val="center"/>
              <w:rPr>
                <w:rFonts w:hint="eastAsia" w:ascii="仿宋" w:hAnsi="仿宋" w:eastAsia="仿宋" w:cs="仿宋"/>
                <w:color w:val="000000"/>
                <w:sz w:val="28"/>
                <w:szCs w:val="28"/>
              </w:rPr>
            </w:pPr>
            <w:r>
              <w:rPr>
                <w:rFonts w:hint="eastAsia" w:ascii="仿宋_GB2312" w:hAnsi="仿宋_GB2312" w:eastAsia="仿宋_GB2312"/>
                <w:color w:val="000000"/>
                <w:sz w:val="24"/>
                <w:szCs w:val="24"/>
                <w:lang w:val="en-US" w:eastAsia="zh-CN"/>
              </w:rPr>
              <w:t>取消</w:t>
            </w:r>
          </w:p>
        </w:tc>
        <w:tc>
          <w:tcPr>
            <w:tcW w:w="1581" w:type="dxa"/>
            <w:tcBorders>
              <w:top w:val="single" w:color="000000" w:sz="4" w:space="0"/>
              <w:left w:val="single" w:color="000000" w:sz="4" w:space="0"/>
              <w:bottom w:val="single" w:color="000000" w:sz="4" w:space="0"/>
              <w:right w:val="single" w:color="000000" w:sz="4" w:space="0"/>
            </w:tcBorders>
            <w:vAlign w:val="top"/>
          </w:tcPr>
          <w:p w14:paraId="47A0F0F0">
            <w:pPr>
              <w:autoSpaceDN w:val="0"/>
              <w:jc w:val="center"/>
              <w:textAlignment w:val="center"/>
              <w:rPr>
                <w:rFonts w:hint="eastAsia" w:ascii="仿宋" w:hAnsi="仿宋" w:eastAsia="仿宋" w:cs="仿宋"/>
                <w:sz w:val="28"/>
                <w:szCs w:val="28"/>
                <w:lang w:val="en-US" w:eastAsia="zh-CN"/>
              </w:rPr>
            </w:pPr>
          </w:p>
          <w:p w14:paraId="35EB8EC2">
            <w:pPr>
              <w:autoSpaceDN w:val="0"/>
              <w:jc w:val="center"/>
              <w:textAlignment w:val="center"/>
              <w:rPr>
                <w:rFonts w:hint="eastAsia" w:ascii="仿宋" w:hAnsi="仿宋" w:eastAsia="仿宋" w:cs="仿宋"/>
                <w:sz w:val="28"/>
                <w:szCs w:val="28"/>
                <w:lang w:val="en-US" w:eastAsia="zh-CN"/>
              </w:rPr>
            </w:pPr>
          </w:p>
          <w:p w14:paraId="6DC6981E">
            <w:pPr>
              <w:autoSpaceDN w:val="0"/>
              <w:jc w:val="center"/>
              <w:textAlignment w:val="center"/>
              <w:rPr>
                <w:rFonts w:hint="default" w:ascii="仿宋" w:hAnsi="仿宋" w:eastAsia="仿宋" w:cs="仿宋"/>
                <w:sz w:val="28"/>
                <w:szCs w:val="28"/>
                <w:lang w:val="en-US" w:eastAsia="zh-CN"/>
              </w:rPr>
            </w:pPr>
            <w:r>
              <w:rPr>
                <w:rFonts w:hint="eastAsia" w:ascii="仿宋_GB2312" w:hAnsi="仿宋_GB2312" w:eastAsia="仿宋_GB2312" w:cs="仿宋_GB2312"/>
                <w:color w:val="000000"/>
                <w:sz w:val="18"/>
                <w:szCs w:val="18"/>
                <w:lang w:val="en-US" w:eastAsia="zh-CN"/>
              </w:rPr>
              <w:t>依据中共桐柏县委办公室 桐柏县人民政府办公室关于印发《桐柏县城市管理局职能配置、内设机构和人员编制规定的通知》第四条第七项承担住房城乡建设领域法律、法规、规章规定的全部行政处罚权。故取消事项</w:t>
            </w:r>
          </w:p>
          <w:p w14:paraId="52C8901D">
            <w:pPr>
              <w:autoSpaceDN w:val="0"/>
              <w:jc w:val="center"/>
              <w:textAlignment w:val="center"/>
              <w:rPr>
                <w:rFonts w:hint="eastAsia" w:ascii="仿宋" w:hAnsi="仿宋" w:eastAsia="仿宋" w:cs="仿宋"/>
                <w:sz w:val="28"/>
                <w:szCs w:val="28"/>
                <w:lang w:val="en-US" w:eastAsia="zh-CN"/>
              </w:rPr>
            </w:pPr>
          </w:p>
        </w:tc>
        <w:tc>
          <w:tcPr>
            <w:tcW w:w="948" w:type="dxa"/>
            <w:tcBorders>
              <w:top w:val="single" w:color="000000" w:sz="4" w:space="0"/>
              <w:left w:val="single" w:color="000000" w:sz="4" w:space="0"/>
              <w:bottom w:val="single" w:color="000000" w:sz="4" w:space="0"/>
              <w:right w:val="single" w:color="000000" w:sz="4" w:space="0"/>
            </w:tcBorders>
            <w:vAlign w:val="center"/>
          </w:tcPr>
          <w:p w14:paraId="0CFB888D">
            <w:pPr>
              <w:autoSpaceDN w:val="0"/>
              <w:jc w:val="center"/>
              <w:textAlignment w:val="center"/>
              <w:rPr>
                <w:rFonts w:hint="eastAsia" w:ascii="仿宋" w:hAnsi="仿宋" w:eastAsia="仿宋" w:cs="仿宋"/>
                <w:sz w:val="28"/>
                <w:szCs w:val="28"/>
                <w:lang w:val="en-US" w:eastAsia="zh-CN"/>
              </w:rPr>
            </w:pPr>
          </w:p>
        </w:tc>
      </w:tr>
      <w:tr w14:paraId="0A61E893">
        <w:tblPrEx>
          <w:tblCellMar>
            <w:top w:w="0" w:type="dxa"/>
            <w:left w:w="15" w:type="dxa"/>
            <w:bottom w:w="0" w:type="dxa"/>
            <w:right w:w="15" w:type="dxa"/>
          </w:tblCellMar>
        </w:tblPrEx>
        <w:trPr>
          <w:trHeight w:val="1626"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14:paraId="2821BD4A">
            <w:pPr>
              <w:autoSpaceDN w:val="0"/>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w:t>
            </w:r>
          </w:p>
        </w:tc>
        <w:tc>
          <w:tcPr>
            <w:tcW w:w="2488" w:type="dxa"/>
            <w:tcBorders>
              <w:top w:val="single" w:color="000000" w:sz="4" w:space="0"/>
              <w:left w:val="single" w:color="000000" w:sz="4" w:space="0"/>
              <w:bottom w:val="single" w:color="000000" w:sz="4" w:space="0"/>
              <w:right w:val="single" w:color="000000" w:sz="4" w:space="0"/>
            </w:tcBorders>
            <w:vAlign w:val="center"/>
          </w:tcPr>
          <w:p w14:paraId="7C41DC11">
            <w:pPr>
              <w:autoSpaceDN w:val="0"/>
              <w:jc w:val="center"/>
              <w:textAlignment w:val="center"/>
              <w:rPr>
                <w:rFonts w:hint="default" w:ascii="仿宋" w:hAnsi="仿宋" w:eastAsia="仿宋" w:cs="仿宋"/>
                <w:color w:val="000000"/>
                <w:sz w:val="24"/>
                <w:szCs w:val="24"/>
                <w:lang w:val="en-US" w:eastAsia="zh-CN"/>
              </w:rPr>
            </w:pPr>
            <w:r>
              <w:rPr>
                <w:rFonts w:hint="default" w:ascii="仿宋" w:hAnsi="仿宋" w:eastAsia="仿宋" w:cs="仿宋"/>
                <w:color w:val="000000"/>
                <w:sz w:val="24"/>
                <w:szCs w:val="24"/>
                <w:lang w:val="en-US" w:eastAsia="zh-CN"/>
              </w:rPr>
              <w:t>对建设单位未取得经批准的开工报告擅自施工的处罚</w:t>
            </w:r>
          </w:p>
        </w:tc>
        <w:tc>
          <w:tcPr>
            <w:tcW w:w="4839" w:type="dxa"/>
            <w:tcBorders>
              <w:top w:val="single" w:color="000000" w:sz="4" w:space="0"/>
              <w:left w:val="single" w:color="000000" w:sz="4" w:space="0"/>
              <w:bottom w:val="single" w:color="000000" w:sz="4" w:space="0"/>
              <w:right w:val="single" w:color="000000" w:sz="4" w:space="0"/>
            </w:tcBorders>
            <w:vAlign w:val="center"/>
          </w:tcPr>
          <w:p w14:paraId="41AE4B00">
            <w:pPr>
              <w:autoSpaceDN w:val="0"/>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建设工程质量管理条例》（国务院令第714号第二次修改)第五十七条：“违反本条例规定，建设单位未取得施工许可证或者开工报告未经批准，擅自施工的，贵令停止施工，限期改正，处工程合同价款1%以上2%以下的罚款。”</w:t>
            </w:r>
          </w:p>
          <w:p w14:paraId="5A8362A3">
            <w:pPr>
              <w:autoSpaceDN w:val="0"/>
              <w:textAlignment w:val="center"/>
              <w:rPr>
                <w:rFonts w:hint="eastAsia" w:ascii="仿宋" w:hAnsi="仿宋" w:eastAsia="仿宋" w:cs="仿宋"/>
                <w:color w:val="000000"/>
                <w:sz w:val="18"/>
                <w:szCs w:val="18"/>
              </w:rPr>
            </w:pPr>
            <w:r>
              <w:rPr>
                <w:rFonts w:hint="eastAsia" w:ascii="仿宋_GB2312" w:hAnsi="仿宋_GB2312" w:eastAsia="仿宋_GB2312" w:cs="仿宋_GB2312"/>
                <w:color w:val="000000"/>
                <w:sz w:val="18"/>
                <w:szCs w:val="18"/>
                <w:lang w:val="en-US" w:eastAsia="zh-CN"/>
              </w:rPr>
              <w:t>　《河南省人防防空工程管理办法》（河南省人民政府令第200号）第三十二条 ：“ 违反本办法规定，法律、法规已有法律责任规定的，从其规定。”</w:t>
            </w:r>
          </w:p>
        </w:tc>
        <w:tc>
          <w:tcPr>
            <w:tcW w:w="1100" w:type="dxa"/>
            <w:tcBorders>
              <w:top w:val="single" w:color="000000" w:sz="4" w:space="0"/>
              <w:left w:val="single" w:color="000000" w:sz="4" w:space="0"/>
              <w:bottom w:val="single" w:color="000000" w:sz="4" w:space="0"/>
              <w:right w:val="single" w:color="000000" w:sz="4" w:space="0"/>
            </w:tcBorders>
            <w:vAlign w:val="center"/>
          </w:tcPr>
          <w:p w14:paraId="7D481D87">
            <w:pPr>
              <w:autoSpaceDN w:val="0"/>
              <w:jc w:val="center"/>
              <w:textAlignment w:val="center"/>
              <w:rPr>
                <w:rFonts w:hint="eastAsia" w:ascii="仿宋" w:hAnsi="仿宋" w:eastAsia="仿宋" w:cs="仿宋"/>
                <w:color w:val="000000"/>
                <w:sz w:val="28"/>
                <w:szCs w:val="28"/>
              </w:rPr>
            </w:pPr>
            <w:r>
              <w:rPr>
                <w:rFonts w:hint="eastAsia" w:ascii="仿宋_GB2312" w:hAnsi="仿宋_GB2312" w:eastAsia="仿宋_GB2312"/>
                <w:color w:val="000000"/>
                <w:sz w:val="24"/>
                <w:szCs w:val="24"/>
              </w:rPr>
              <w:t>行政处罚</w:t>
            </w:r>
          </w:p>
        </w:tc>
        <w:tc>
          <w:tcPr>
            <w:tcW w:w="1250" w:type="dxa"/>
            <w:tcBorders>
              <w:top w:val="single" w:color="000000" w:sz="4" w:space="0"/>
              <w:left w:val="single" w:color="000000" w:sz="4" w:space="0"/>
              <w:bottom w:val="single" w:color="000000" w:sz="4" w:space="0"/>
              <w:right w:val="single" w:color="000000" w:sz="4" w:space="0"/>
            </w:tcBorders>
            <w:vAlign w:val="center"/>
          </w:tcPr>
          <w:p w14:paraId="617B636F">
            <w:pPr>
              <w:autoSpaceDN w:val="0"/>
              <w:jc w:val="center"/>
              <w:textAlignment w:val="center"/>
              <w:rPr>
                <w:rFonts w:hint="eastAsia" w:ascii="仿宋" w:hAnsi="仿宋" w:eastAsia="仿宋" w:cs="仿宋"/>
                <w:color w:val="000000"/>
                <w:sz w:val="28"/>
                <w:szCs w:val="28"/>
              </w:rPr>
            </w:pPr>
          </w:p>
        </w:tc>
        <w:tc>
          <w:tcPr>
            <w:tcW w:w="1073" w:type="dxa"/>
            <w:tcBorders>
              <w:top w:val="single" w:color="000000" w:sz="4" w:space="0"/>
              <w:left w:val="single" w:color="000000" w:sz="4" w:space="0"/>
              <w:bottom w:val="single" w:color="000000" w:sz="4" w:space="0"/>
              <w:right w:val="single" w:color="000000" w:sz="4" w:space="0"/>
            </w:tcBorders>
            <w:vAlign w:val="center"/>
          </w:tcPr>
          <w:p w14:paraId="0AE7EF53">
            <w:pPr>
              <w:autoSpaceDN w:val="0"/>
              <w:jc w:val="center"/>
              <w:textAlignment w:val="center"/>
              <w:rPr>
                <w:rFonts w:hint="eastAsia" w:ascii="仿宋" w:hAnsi="仿宋" w:eastAsia="仿宋" w:cs="仿宋"/>
                <w:color w:val="000000"/>
                <w:sz w:val="28"/>
                <w:szCs w:val="28"/>
              </w:rPr>
            </w:pPr>
            <w:r>
              <w:rPr>
                <w:rFonts w:hint="eastAsia" w:ascii="仿宋_GB2312" w:hAnsi="仿宋_GB2312" w:eastAsia="仿宋_GB2312"/>
                <w:color w:val="000000"/>
                <w:sz w:val="24"/>
                <w:szCs w:val="24"/>
                <w:lang w:val="en-US" w:eastAsia="zh-CN"/>
              </w:rPr>
              <w:t>取消</w:t>
            </w:r>
          </w:p>
        </w:tc>
        <w:tc>
          <w:tcPr>
            <w:tcW w:w="1581" w:type="dxa"/>
            <w:tcBorders>
              <w:top w:val="single" w:color="000000" w:sz="4" w:space="0"/>
              <w:left w:val="single" w:color="000000" w:sz="4" w:space="0"/>
              <w:bottom w:val="single" w:color="000000" w:sz="4" w:space="0"/>
              <w:right w:val="single" w:color="000000" w:sz="4" w:space="0"/>
            </w:tcBorders>
            <w:vAlign w:val="top"/>
          </w:tcPr>
          <w:p w14:paraId="63D71B9E">
            <w:pPr>
              <w:autoSpaceDN w:val="0"/>
              <w:jc w:val="center"/>
              <w:textAlignment w:val="center"/>
              <w:rPr>
                <w:rFonts w:hint="eastAsia" w:ascii="仿宋" w:hAnsi="仿宋" w:eastAsia="仿宋" w:cs="仿宋"/>
                <w:sz w:val="28"/>
                <w:szCs w:val="28"/>
                <w:lang w:val="en-US" w:eastAsia="zh-CN"/>
              </w:rPr>
            </w:pPr>
          </w:p>
          <w:p w14:paraId="49AE7F06">
            <w:pPr>
              <w:autoSpaceDN w:val="0"/>
              <w:jc w:val="center"/>
              <w:textAlignment w:val="center"/>
              <w:rPr>
                <w:rFonts w:hint="eastAsia" w:ascii="仿宋" w:hAnsi="仿宋" w:eastAsia="仿宋" w:cs="仿宋"/>
                <w:sz w:val="28"/>
                <w:szCs w:val="28"/>
                <w:lang w:val="en-US" w:eastAsia="zh-CN"/>
              </w:rPr>
            </w:pPr>
          </w:p>
          <w:p w14:paraId="45C6C6DA">
            <w:pPr>
              <w:autoSpaceDN w:val="0"/>
              <w:jc w:val="center"/>
              <w:textAlignment w:val="center"/>
              <w:rPr>
                <w:rFonts w:hint="default" w:ascii="仿宋" w:hAnsi="仿宋" w:eastAsia="仿宋" w:cs="仿宋"/>
                <w:sz w:val="28"/>
                <w:szCs w:val="28"/>
                <w:lang w:val="en-US" w:eastAsia="zh-CN"/>
              </w:rPr>
            </w:pPr>
            <w:r>
              <w:rPr>
                <w:rFonts w:hint="eastAsia" w:ascii="仿宋_GB2312" w:hAnsi="仿宋_GB2312" w:eastAsia="仿宋_GB2312" w:cs="仿宋_GB2312"/>
                <w:color w:val="000000"/>
                <w:sz w:val="18"/>
                <w:szCs w:val="18"/>
                <w:lang w:val="en-US" w:eastAsia="zh-CN"/>
              </w:rPr>
              <w:t>依据中共桐柏县委办公室 桐柏县人民政府办公室关于印发《桐柏县城市管理局职能配置、内设机构和人员编制规定的通知》第四条第七项承担住房城乡建设领域法律、法规、规章规定的全部行政处罚权。故取消事项</w:t>
            </w:r>
          </w:p>
          <w:p w14:paraId="3955EDF6">
            <w:pPr>
              <w:autoSpaceDN w:val="0"/>
              <w:jc w:val="center"/>
              <w:textAlignment w:val="center"/>
              <w:rPr>
                <w:rFonts w:hint="eastAsia" w:ascii="仿宋" w:hAnsi="仿宋" w:eastAsia="仿宋" w:cs="仿宋"/>
                <w:sz w:val="28"/>
                <w:szCs w:val="28"/>
                <w:lang w:val="en-US" w:eastAsia="zh-CN"/>
              </w:rPr>
            </w:pPr>
          </w:p>
        </w:tc>
        <w:tc>
          <w:tcPr>
            <w:tcW w:w="948" w:type="dxa"/>
            <w:tcBorders>
              <w:top w:val="single" w:color="000000" w:sz="4" w:space="0"/>
              <w:left w:val="single" w:color="000000" w:sz="4" w:space="0"/>
              <w:bottom w:val="single" w:color="000000" w:sz="4" w:space="0"/>
              <w:right w:val="single" w:color="000000" w:sz="4" w:space="0"/>
            </w:tcBorders>
            <w:vAlign w:val="center"/>
          </w:tcPr>
          <w:p w14:paraId="62EDB24E">
            <w:pPr>
              <w:autoSpaceDN w:val="0"/>
              <w:jc w:val="center"/>
              <w:textAlignment w:val="center"/>
              <w:rPr>
                <w:rFonts w:hint="eastAsia" w:ascii="仿宋" w:hAnsi="仿宋" w:eastAsia="仿宋" w:cs="仿宋"/>
                <w:sz w:val="28"/>
                <w:szCs w:val="28"/>
                <w:lang w:val="en-US" w:eastAsia="zh-CN"/>
              </w:rPr>
            </w:pPr>
          </w:p>
        </w:tc>
      </w:tr>
      <w:tr w14:paraId="008E3DAD">
        <w:tblPrEx>
          <w:tblCellMar>
            <w:top w:w="0" w:type="dxa"/>
            <w:left w:w="15" w:type="dxa"/>
            <w:bottom w:w="0" w:type="dxa"/>
            <w:right w:w="15" w:type="dxa"/>
          </w:tblCellMar>
        </w:tblPrEx>
        <w:trPr>
          <w:trHeight w:val="1626"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14:paraId="2BE69382">
            <w:pPr>
              <w:autoSpaceDN w:val="0"/>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5</w:t>
            </w:r>
          </w:p>
        </w:tc>
        <w:tc>
          <w:tcPr>
            <w:tcW w:w="2488" w:type="dxa"/>
            <w:tcBorders>
              <w:top w:val="single" w:color="000000" w:sz="4" w:space="0"/>
              <w:left w:val="single" w:color="000000" w:sz="4" w:space="0"/>
              <w:bottom w:val="single" w:color="000000" w:sz="4" w:space="0"/>
              <w:right w:val="single" w:color="000000" w:sz="4" w:space="0"/>
            </w:tcBorders>
            <w:vAlign w:val="center"/>
          </w:tcPr>
          <w:p w14:paraId="5C382781">
            <w:pPr>
              <w:autoSpaceDN w:val="0"/>
              <w:jc w:val="center"/>
              <w:textAlignment w:val="center"/>
              <w:rPr>
                <w:rFonts w:hint="default" w:ascii="仿宋" w:hAnsi="仿宋" w:eastAsia="仿宋" w:cs="仿宋"/>
                <w:color w:val="000000"/>
                <w:sz w:val="24"/>
                <w:szCs w:val="24"/>
                <w:lang w:val="en-US" w:eastAsia="zh-CN"/>
              </w:rPr>
            </w:pPr>
            <w:r>
              <w:rPr>
                <w:rFonts w:hint="default" w:ascii="仿宋" w:hAnsi="仿宋" w:eastAsia="仿宋" w:cs="仿宋"/>
                <w:color w:val="000000"/>
                <w:sz w:val="24"/>
                <w:szCs w:val="24"/>
                <w:lang w:val="en-US" w:eastAsia="zh-CN"/>
              </w:rPr>
              <w:t>对建设单位未组织人防工程竣工验收或者验收不合格，擅自交付使用验收的处罚</w:t>
            </w:r>
          </w:p>
        </w:tc>
        <w:tc>
          <w:tcPr>
            <w:tcW w:w="4839" w:type="dxa"/>
            <w:tcBorders>
              <w:top w:val="single" w:color="000000" w:sz="4" w:space="0"/>
              <w:left w:val="single" w:color="000000" w:sz="4" w:space="0"/>
              <w:bottom w:val="single" w:color="000000" w:sz="4" w:space="0"/>
              <w:right w:val="single" w:color="000000" w:sz="4" w:space="0"/>
            </w:tcBorders>
            <w:vAlign w:val="center"/>
          </w:tcPr>
          <w:p w14:paraId="065D1C2A">
            <w:pPr>
              <w:autoSpaceDN w:val="0"/>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建设工程质量管理条例》（国务院令第714号第二次修改）第五十八条：“违反本条例规定，建设单位有下列行为之一的，贵令改正，处工程合同价款2%以上4%以下的罚款；造成损失的，依法承担赔偿责任：（一）未组织峻工验收，擅自交付使用的；（二）验收不合交付使格，擅自交付使用的；（三）对不合格的建设工程按照合格工程验收的。”</w:t>
            </w:r>
          </w:p>
          <w:p w14:paraId="07343E2D">
            <w:pPr>
              <w:autoSpaceDN w:val="0"/>
              <w:textAlignment w:val="center"/>
              <w:rPr>
                <w:rFonts w:hint="eastAsia" w:ascii="仿宋" w:hAnsi="仿宋" w:eastAsia="仿宋" w:cs="仿宋"/>
                <w:color w:val="000000"/>
                <w:sz w:val="18"/>
                <w:szCs w:val="18"/>
              </w:rPr>
            </w:pPr>
            <w:r>
              <w:rPr>
                <w:rFonts w:hint="eastAsia" w:ascii="仿宋_GB2312" w:hAnsi="仿宋_GB2312" w:eastAsia="仿宋_GB2312" w:cs="仿宋_GB2312"/>
                <w:color w:val="000000"/>
                <w:sz w:val="18"/>
                <w:szCs w:val="18"/>
                <w:lang w:val="en-US" w:eastAsia="zh-CN"/>
              </w:rPr>
              <w:t>　《河南省人防防空工程管理办法》（河南省人民政府令第200号）第三十二条 ：“ 违反本办法规定，法律、法规已有法律责任规定的，从其规定。”</w:t>
            </w:r>
          </w:p>
        </w:tc>
        <w:tc>
          <w:tcPr>
            <w:tcW w:w="1100" w:type="dxa"/>
            <w:tcBorders>
              <w:top w:val="single" w:color="000000" w:sz="4" w:space="0"/>
              <w:left w:val="single" w:color="000000" w:sz="4" w:space="0"/>
              <w:bottom w:val="single" w:color="000000" w:sz="4" w:space="0"/>
              <w:right w:val="single" w:color="000000" w:sz="4" w:space="0"/>
            </w:tcBorders>
            <w:vAlign w:val="center"/>
          </w:tcPr>
          <w:p w14:paraId="68A44597">
            <w:pPr>
              <w:autoSpaceDN w:val="0"/>
              <w:jc w:val="center"/>
              <w:textAlignment w:val="center"/>
              <w:rPr>
                <w:rFonts w:hint="eastAsia" w:ascii="仿宋" w:hAnsi="仿宋" w:eastAsia="仿宋" w:cs="仿宋"/>
                <w:color w:val="000000"/>
                <w:sz w:val="28"/>
                <w:szCs w:val="28"/>
              </w:rPr>
            </w:pPr>
            <w:r>
              <w:rPr>
                <w:rFonts w:hint="eastAsia" w:ascii="仿宋_GB2312" w:hAnsi="仿宋_GB2312" w:eastAsia="仿宋_GB2312"/>
                <w:color w:val="000000"/>
                <w:sz w:val="24"/>
                <w:szCs w:val="24"/>
              </w:rPr>
              <w:t>行政处罚</w:t>
            </w:r>
          </w:p>
        </w:tc>
        <w:tc>
          <w:tcPr>
            <w:tcW w:w="1250" w:type="dxa"/>
            <w:tcBorders>
              <w:top w:val="single" w:color="000000" w:sz="4" w:space="0"/>
              <w:left w:val="single" w:color="000000" w:sz="4" w:space="0"/>
              <w:bottom w:val="single" w:color="000000" w:sz="4" w:space="0"/>
              <w:right w:val="single" w:color="000000" w:sz="4" w:space="0"/>
            </w:tcBorders>
            <w:vAlign w:val="center"/>
          </w:tcPr>
          <w:p w14:paraId="40BBCDF0">
            <w:pPr>
              <w:autoSpaceDN w:val="0"/>
              <w:jc w:val="both"/>
              <w:textAlignment w:val="center"/>
              <w:rPr>
                <w:rFonts w:hint="eastAsia" w:ascii="仿宋" w:hAnsi="仿宋" w:eastAsia="仿宋" w:cs="仿宋"/>
                <w:color w:val="000000"/>
                <w:sz w:val="28"/>
                <w:szCs w:val="28"/>
              </w:rPr>
            </w:pPr>
          </w:p>
        </w:tc>
        <w:tc>
          <w:tcPr>
            <w:tcW w:w="1073" w:type="dxa"/>
            <w:tcBorders>
              <w:top w:val="single" w:color="000000" w:sz="4" w:space="0"/>
              <w:left w:val="single" w:color="000000" w:sz="4" w:space="0"/>
              <w:bottom w:val="single" w:color="000000" w:sz="4" w:space="0"/>
              <w:right w:val="single" w:color="000000" w:sz="4" w:space="0"/>
            </w:tcBorders>
            <w:vAlign w:val="center"/>
          </w:tcPr>
          <w:p w14:paraId="002B4F6C">
            <w:pPr>
              <w:autoSpaceDN w:val="0"/>
              <w:jc w:val="center"/>
              <w:textAlignment w:val="center"/>
              <w:rPr>
                <w:rFonts w:hint="eastAsia" w:ascii="仿宋" w:hAnsi="仿宋" w:eastAsia="仿宋" w:cs="仿宋"/>
                <w:color w:val="000000"/>
                <w:sz w:val="28"/>
                <w:szCs w:val="28"/>
              </w:rPr>
            </w:pPr>
            <w:r>
              <w:rPr>
                <w:rFonts w:hint="eastAsia" w:ascii="仿宋_GB2312" w:hAnsi="仿宋_GB2312" w:eastAsia="仿宋_GB2312"/>
                <w:color w:val="000000"/>
                <w:sz w:val="24"/>
                <w:szCs w:val="24"/>
                <w:lang w:val="en-US" w:eastAsia="zh-CN"/>
              </w:rPr>
              <w:t>取消</w:t>
            </w:r>
          </w:p>
        </w:tc>
        <w:tc>
          <w:tcPr>
            <w:tcW w:w="1581" w:type="dxa"/>
            <w:tcBorders>
              <w:top w:val="single" w:color="000000" w:sz="4" w:space="0"/>
              <w:left w:val="single" w:color="000000" w:sz="4" w:space="0"/>
              <w:bottom w:val="single" w:color="000000" w:sz="4" w:space="0"/>
              <w:right w:val="single" w:color="000000" w:sz="4" w:space="0"/>
            </w:tcBorders>
            <w:vAlign w:val="top"/>
          </w:tcPr>
          <w:p w14:paraId="2977CE39">
            <w:pPr>
              <w:autoSpaceDN w:val="0"/>
              <w:jc w:val="center"/>
              <w:textAlignment w:val="center"/>
              <w:rPr>
                <w:rFonts w:hint="eastAsia" w:ascii="仿宋" w:hAnsi="仿宋" w:eastAsia="仿宋" w:cs="仿宋"/>
                <w:sz w:val="28"/>
                <w:szCs w:val="28"/>
                <w:lang w:val="en-US" w:eastAsia="zh-CN"/>
              </w:rPr>
            </w:pPr>
          </w:p>
          <w:p w14:paraId="0F86E07C">
            <w:pPr>
              <w:autoSpaceDN w:val="0"/>
              <w:jc w:val="center"/>
              <w:textAlignment w:val="center"/>
              <w:rPr>
                <w:rFonts w:hint="eastAsia" w:ascii="仿宋" w:hAnsi="仿宋" w:eastAsia="仿宋" w:cs="仿宋"/>
                <w:sz w:val="28"/>
                <w:szCs w:val="28"/>
                <w:lang w:val="en-US" w:eastAsia="zh-CN"/>
              </w:rPr>
            </w:pPr>
          </w:p>
          <w:p w14:paraId="3964F5F3">
            <w:pPr>
              <w:autoSpaceDN w:val="0"/>
              <w:jc w:val="center"/>
              <w:textAlignment w:val="center"/>
              <w:rPr>
                <w:rFonts w:hint="default" w:ascii="仿宋" w:hAnsi="仿宋" w:eastAsia="仿宋" w:cs="仿宋"/>
                <w:sz w:val="28"/>
                <w:szCs w:val="28"/>
                <w:lang w:val="en-US" w:eastAsia="zh-CN"/>
              </w:rPr>
            </w:pPr>
            <w:r>
              <w:rPr>
                <w:rFonts w:hint="eastAsia" w:ascii="仿宋_GB2312" w:hAnsi="仿宋_GB2312" w:eastAsia="仿宋_GB2312" w:cs="仿宋_GB2312"/>
                <w:color w:val="000000"/>
                <w:sz w:val="18"/>
                <w:szCs w:val="18"/>
                <w:lang w:val="en-US" w:eastAsia="zh-CN"/>
              </w:rPr>
              <w:t>依据中共桐柏县委办公室 桐柏县人民政府办公室关于印发《桐柏县城市管理局职能配置、内设机构和人员编制规定的通知》第四条第七项承担住房城乡建设领域法律、法规、规章规定的全部行政处罚权。故取消事项</w:t>
            </w:r>
          </w:p>
          <w:p w14:paraId="12264FD0">
            <w:pPr>
              <w:autoSpaceDN w:val="0"/>
              <w:jc w:val="center"/>
              <w:textAlignment w:val="center"/>
              <w:rPr>
                <w:rFonts w:hint="eastAsia" w:ascii="仿宋" w:hAnsi="仿宋" w:eastAsia="仿宋" w:cs="仿宋"/>
                <w:sz w:val="28"/>
                <w:szCs w:val="28"/>
                <w:lang w:val="en-US" w:eastAsia="zh-CN"/>
              </w:rPr>
            </w:pPr>
          </w:p>
        </w:tc>
        <w:tc>
          <w:tcPr>
            <w:tcW w:w="948" w:type="dxa"/>
            <w:tcBorders>
              <w:top w:val="single" w:color="000000" w:sz="4" w:space="0"/>
              <w:left w:val="single" w:color="000000" w:sz="4" w:space="0"/>
              <w:bottom w:val="single" w:color="000000" w:sz="4" w:space="0"/>
              <w:right w:val="single" w:color="000000" w:sz="4" w:space="0"/>
            </w:tcBorders>
            <w:vAlign w:val="center"/>
          </w:tcPr>
          <w:p w14:paraId="6B63D975">
            <w:pPr>
              <w:autoSpaceDN w:val="0"/>
              <w:jc w:val="center"/>
              <w:textAlignment w:val="center"/>
              <w:rPr>
                <w:rFonts w:hint="eastAsia" w:ascii="仿宋" w:hAnsi="仿宋" w:eastAsia="仿宋" w:cs="仿宋"/>
                <w:sz w:val="28"/>
                <w:szCs w:val="28"/>
                <w:lang w:val="en-US" w:eastAsia="zh-CN"/>
              </w:rPr>
            </w:pPr>
          </w:p>
        </w:tc>
      </w:tr>
      <w:tr w14:paraId="5022230E">
        <w:tblPrEx>
          <w:tblCellMar>
            <w:top w:w="0" w:type="dxa"/>
            <w:left w:w="15" w:type="dxa"/>
            <w:bottom w:w="0" w:type="dxa"/>
            <w:right w:w="15" w:type="dxa"/>
          </w:tblCellMar>
        </w:tblPrEx>
        <w:trPr>
          <w:trHeight w:val="1626"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14:paraId="1793559D">
            <w:pPr>
              <w:autoSpaceDN w:val="0"/>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6</w:t>
            </w:r>
          </w:p>
        </w:tc>
        <w:tc>
          <w:tcPr>
            <w:tcW w:w="2488" w:type="dxa"/>
            <w:tcBorders>
              <w:top w:val="single" w:color="000000" w:sz="4" w:space="0"/>
              <w:left w:val="single" w:color="000000" w:sz="4" w:space="0"/>
              <w:bottom w:val="single" w:color="000000" w:sz="4" w:space="0"/>
              <w:right w:val="single" w:color="000000" w:sz="4" w:space="0"/>
            </w:tcBorders>
            <w:vAlign w:val="center"/>
          </w:tcPr>
          <w:p w14:paraId="3989C922">
            <w:pPr>
              <w:autoSpaceDN w:val="0"/>
              <w:jc w:val="center"/>
              <w:textAlignment w:val="center"/>
              <w:rPr>
                <w:rFonts w:hint="default" w:ascii="仿宋" w:hAnsi="仿宋" w:eastAsia="仿宋" w:cs="仿宋"/>
                <w:color w:val="000000"/>
                <w:sz w:val="24"/>
                <w:szCs w:val="24"/>
                <w:lang w:val="en-US" w:eastAsia="zh-CN"/>
              </w:rPr>
            </w:pPr>
            <w:r>
              <w:rPr>
                <w:rFonts w:hint="default" w:ascii="仿宋" w:hAnsi="仿宋" w:eastAsia="仿宋" w:cs="仿宋"/>
                <w:color w:val="000000"/>
                <w:sz w:val="24"/>
                <w:szCs w:val="24"/>
                <w:lang w:val="en-US" w:eastAsia="zh-CN"/>
              </w:rPr>
              <w:t>对人防工程竣工验收后，建设单位未向人防部门移交建设项目档案的处罚</w:t>
            </w:r>
          </w:p>
        </w:tc>
        <w:tc>
          <w:tcPr>
            <w:tcW w:w="4839" w:type="dxa"/>
            <w:tcBorders>
              <w:top w:val="single" w:color="000000" w:sz="4" w:space="0"/>
              <w:left w:val="single" w:color="000000" w:sz="4" w:space="0"/>
              <w:bottom w:val="single" w:color="000000" w:sz="4" w:space="0"/>
              <w:right w:val="single" w:color="000000" w:sz="4" w:space="0"/>
            </w:tcBorders>
            <w:vAlign w:val="center"/>
          </w:tcPr>
          <w:p w14:paraId="57A8157E">
            <w:pPr>
              <w:autoSpaceDN w:val="0"/>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《建设工程质量管理条例》（国务院令第714号第二次修改）第五十九条：“违反本条例规定，建设工程竣工验收后，建设单位未向建设行政主管部门或者其他有关部门移交建设</w:t>
            </w:r>
          </w:p>
          <w:p w14:paraId="6A96B742">
            <w:pPr>
              <w:autoSpaceDN w:val="0"/>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项目档案的，责令改正，处1万元以上10万元以下的罚款。”</w:t>
            </w:r>
          </w:p>
          <w:p w14:paraId="2C7835D1">
            <w:pPr>
              <w:autoSpaceDN w:val="0"/>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《河南省人民防空工程管理办法》（河南省人民政府令第159号)第三十七条：“违反本办法，《建设工程质量管理条例》有处罚规定的，从其规定。”</w:t>
            </w:r>
          </w:p>
        </w:tc>
        <w:tc>
          <w:tcPr>
            <w:tcW w:w="1100" w:type="dxa"/>
            <w:tcBorders>
              <w:top w:val="single" w:color="000000" w:sz="4" w:space="0"/>
              <w:left w:val="single" w:color="000000" w:sz="4" w:space="0"/>
              <w:bottom w:val="single" w:color="000000" w:sz="4" w:space="0"/>
              <w:right w:val="single" w:color="000000" w:sz="4" w:space="0"/>
            </w:tcBorders>
            <w:vAlign w:val="center"/>
          </w:tcPr>
          <w:p w14:paraId="4F679213">
            <w:pPr>
              <w:autoSpaceDN w:val="0"/>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行政处罚</w:t>
            </w:r>
          </w:p>
        </w:tc>
        <w:tc>
          <w:tcPr>
            <w:tcW w:w="1250" w:type="dxa"/>
            <w:tcBorders>
              <w:top w:val="single" w:color="000000" w:sz="4" w:space="0"/>
              <w:left w:val="single" w:color="000000" w:sz="4" w:space="0"/>
              <w:bottom w:val="single" w:color="000000" w:sz="4" w:space="0"/>
              <w:right w:val="single" w:color="000000" w:sz="4" w:space="0"/>
            </w:tcBorders>
            <w:vAlign w:val="center"/>
          </w:tcPr>
          <w:p w14:paraId="4028BEA1">
            <w:pPr>
              <w:autoSpaceDN w:val="0"/>
              <w:jc w:val="center"/>
              <w:textAlignment w:val="center"/>
              <w:rPr>
                <w:rFonts w:hint="eastAsia" w:ascii="仿宋_GB2312" w:hAnsi="仿宋_GB2312" w:eastAsia="仿宋_GB2312"/>
                <w:color w:val="000000"/>
                <w:sz w:val="24"/>
                <w:szCs w:val="24"/>
              </w:rPr>
            </w:pPr>
          </w:p>
        </w:tc>
        <w:tc>
          <w:tcPr>
            <w:tcW w:w="1073" w:type="dxa"/>
            <w:tcBorders>
              <w:top w:val="single" w:color="000000" w:sz="4" w:space="0"/>
              <w:left w:val="single" w:color="000000" w:sz="4" w:space="0"/>
              <w:bottom w:val="single" w:color="000000" w:sz="4" w:space="0"/>
              <w:right w:val="single" w:color="000000" w:sz="4" w:space="0"/>
            </w:tcBorders>
            <w:vAlign w:val="center"/>
          </w:tcPr>
          <w:p w14:paraId="10E67814">
            <w:pPr>
              <w:autoSpaceDN w:val="0"/>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val="en-US" w:eastAsia="zh-CN"/>
              </w:rPr>
              <w:t>取消</w:t>
            </w:r>
          </w:p>
        </w:tc>
        <w:tc>
          <w:tcPr>
            <w:tcW w:w="1581" w:type="dxa"/>
            <w:tcBorders>
              <w:top w:val="single" w:color="000000" w:sz="4" w:space="0"/>
              <w:left w:val="single" w:color="000000" w:sz="4" w:space="0"/>
              <w:bottom w:val="single" w:color="000000" w:sz="4" w:space="0"/>
              <w:right w:val="single" w:color="000000" w:sz="4" w:space="0"/>
            </w:tcBorders>
            <w:vAlign w:val="top"/>
          </w:tcPr>
          <w:p w14:paraId="1ED4E997">
            <w:pPr>
              <w:autoSpaceDN w:val="0"/>
              <w:jc w:val="center"/>
              <w:textAlignment w:val="center"/>
              <w:rPr>
                <w:rFonts w:hint="eastAsia" w:ascii="仿宋" w:hAnsi="仿宋" w:eastAsia="仿宋" w:cs="仿宋"/>
                <w:sz w:val="28"/>
                <w:szCs w:val="28"/>
                <w:lang w:val="en-US" w:eastAsia="zh-CN"/>
              </w:rPr>
            </w:pPr>
          </w:p>
          <w:p w14:paraId="6C22914A">
            <w:pPr>
              <w:autoSpaceDN w:val="0"/>
              <w:jc w:val="center"/>
              <w:textAlignment w:val="center"/>
              <w:rPr>
                <w:rFonts w:hint="eastAsia" w:ascii="仿宋" w:hAnsi="仿宋" w:eastAsia="仿宋" w:cs="仿宋"/>
                <w:sz w:val="28"/>
                <w:szCs w:val="28"/>
                <w:lang w:val="en-US" w:eastAsia="zh-CN"/>
              </w:rPr>
            </w:pPr>
          </w:p>
          <w:p w14:paraId="5BEF4927">
            <w:pPr>
              <w:autoSpaceDN w:val="0"/>
              <w:jc w:val="center"/>
              <w:textAlignment w:val="center"/>
              <w:rPr>
                <w:rFonts w:hint="default" w:ascii="仿宋" w:hAnsi="仿宋" w:eastAsia="仿宋" w:cs="仿宋"/>
                <w:sz w:val="28"/>
                <w:szCs w:val="28"/>
                <w:lang w:val="en-US" w:eastAsia="zh-CN"/>
              </w:rPr>
            </w:pPr>
            <w:r>
              <w:rPr>
                <w:rFonts w:hint="eastAsia" w:ascii="仿宋_GB2312" w:hAnsi="仿宋_GB2312" w:eastAsia="仿宋_GB2312" w:cs="仿宋_GB2312"/>
                <w:color w:val="000000"/>
                <w:sz w:val="18"/>
                <w:szCs w:val="18"/>
                <w:lang w:val="en-US" w:eastAsia="zh-CN"/>
              </w:rPr>
              <w:t>依据中共桐柏县委办公室 桐柏县人民政府办公室关于印发《桐柏县城市管理局职能配置、内设机构和人员编制规定的通知》第四条第七项承担住房城乡建设领域法律、法规、规章规定的全部行政处罚权。故取消事项</w:t>
            </w:r>
          </w:p>
          <w:p w14:paraId="3D4F0104">
            <w:pPr>
              <w:autoSpaceDN w:val="0"/>
              <w:jc w:val="center"/>
              <w:textAlignment w:val="center"/>
              <w:rPr>
                <w:rFonts w:hint="eastAsia" w:ascii="仿宋" w:hAnsi="仿宋" w:eastAsia="仿宋" w:cs="仿宋"/>
                <w:sz w:val="28"/>
                <w:szCs w:val="28"/>
                <w:lang w:val="en-US" w:eastAsia="zh-CN"/>
              </w:rPr>
            </w:pPr>
          </w:p>
        </w:tc>
        <w:tc>
          <w:tcPr>
            <w:tcW w:w="948" w:type="dxa"/>
            <w:tcBorders>
              <w:top w:val="single" w:color="000000" w:sz="4" w:space="0"/>
              <w:left w:val="single" w:color="000000" w:sz="4" w:space="0"/>
              <w:bottom w:val="single" w:color="000000" w:sz="4" w:space="0"/>
              <w:right w:val="single" w:color="000000" w:sz="4" w:space="0"/>
            </w:tcBorders>
            <w:vAlign w:val="center"/>
          </w:tcPr>
          <w:p w14:paraId="68826D74">
            <w:pPr>
              <w:autoSpaceDN w:val="0"/>
              <w:jc w:val="center"/>
              <w:textAlignment w:val="center"/>
              <w:rPr>
                <w:rFonts w:hint="eastAsia" w:ascii="仿宋" w:hAnsi="仿宋" w:eastAsia="仿宋" w:cs="仿宋"/>
                <w:sz w:val="28"/>
                <w:szCs w:val="28"/>
                <w:lang w:val="en-US" w:eastAsia="zh-CN"/>
              </w:rPr>
            </w:pPr>
          </w:p>
        </w:tc>
      </w:tr>
      <w:tr w14:paraId="302683B3">
        <w:tblPrEx>
          <w:tblCellMar>
            <w:top w:w="0" w:type="dxa"/>
            <w:left w:w="15" w:type="dxa"/>
            <w:bottom w:w="0" w:type="dxa"/>
            <w:right w:w="15" w:type="dxa"/>
          </w:tblCellMar>
        </w:tblPrEx>
        <w:trPr>
          <w:trHeight w:val="1626"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14:paraId="08ECD3B8">
            <w:pPr>
              <w:autoSpaceDN w:val="0"/>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7</w:t>
            </w:r>
          </w:p>
        </w:tc>
        <w:tc>
          <w:tcPr>
            <w:tcW w:w="2488" w:type="dxa"/>
            <w:tcBorders>
              <w:top w:val="single" w:color="000000" w:sz="4" w:space="0"/>
              <w:left w:val="single" w:color="000000" w:sz="4" w:space="0"/>
              <w:bottom w:val="single" w:color="000000" w:sz="4" w:space="0"/>
              <w:right w:val="single" w:color="000000" w:sz="4" w:space="0"/>
            </w:tcBorders>
            <w:vAlign w:val="center"/>
          </w:tcPr>
          <w:p w14:paraId="2570518D">
            <w:pPr>
              <w:autoSpaceDN w:val="0"/>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对勘查、设计、施工、工程监理等单位超越本单位资质等级承揽人防工程的处罚</w:t>
            </w:r>
          </w:p>
        </w:tc>
        <w:tc>
          <w:tcPr>
            <w:tcW w:w="4839" w:type="dxa"/>
            <w:tcBorders>
              <w:top w:val="single" w:color="000000" w:sz="4" w:space="0"/>
              <w:left w:val="single" w:color="000000" w:sz="4" w:space="0"/>
              <w:bottom w:val="single" w:color="000000" w:sz="4" w:space="0"/>
              <w:right w:val="single" w:color="000000" w:sz="4" w:space="0"/>
            </w:tcBorders>
            <w:vAlign w:val="center"/>
          </w:tcPr>
          <w:p w14:paraId="10C3BE3A">
            <w:pPr>
              <w:autoSpaceDN w:val="0"/>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lang w:val="en-US" w:eastAsia="zh-CN"/>
              </w:rPr>
              <w:t>《建设工程质量管理条例》（国务院令第714号第二次修改）第六十条：“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2%以上4%以下的罚款，可以责令停业</w:t>
            </w:r>
            <w:r>
              <w:rPr>
                <w:rFonts w:hint="eastAsia" w:ascii="仿宋" w:hAnsi="仿宋" w:eastAsia="仿宋" w:cs="仿宋"/>
                <w:color w:val="000000"/>
                <w:sz w:val="18"/>
                <w:szCs w:val="18"/>
                <w:lang w:val="en-US" w:eastAsia="zh-CN"/>
              </w:rPr>
              <w:br w:type="textWrapping"/>
            </w:r>
            <w:r>
              <w:rPr>
                <w:rFonts w:hint="eastAsia" w:ascii="仿宋" w:hAnsi="仿宋" w:eastAsia="仿宋" w:cs="仿宋"/>
                <w:color w:val="000000"/>
                <w:sz w:val="18"/>
                <w:szCs w:val="18"/>
                <w:lang w:val="en-US" w:eastAsia="zh-CN"/>
              </w:rPr>
              <w:t>整顿，降低资质等级；情节严重的，吊销资质证书；有违法所得的，予以没收。未取得资质证书承揽工程的，予以取缔，依照前款规定处以罚款；有违法所得的，予以没收。以欺骗手段取得资质证书承揽工程的，吊销资质证书，依照本条第一款规定处以罚款；有违法所得的，予以没收。”</w:t>
            </w:r>
            <w:r>
              <w:rPr>
                <w:rFonts w:hint="eastAsia" w:ascii="仿宋" w:hAnsi="仿宋" w:eastAsia="仿宋" w:cs="仿宋"/>
                <w:color w:val="000000"/>
                <w:sz w:val="18"/>
                <w:szCs w:val="18"/>
                <w:lang w:val="en-US" w:eastAsia="zh-CN"/>
              </w:rPr>
              <w:br w:type="textWrapping"/>
            </w:r>
            <w:r>
              <w:rPr>
                <w:rFonts w:hint="eastAsia" w:ascii="仿宋_GB2312" w:hAnsi="仿宋_GB2312" w:eastAsia="仿宋_GB2312" w:cs="仿宋_GB2312"/>
                <w:color w:val="000000"/>
                <w:sz w:val="18"/>
                <w:szCs w:val="18"/>
                <w:lang w:val="en-US" w:eastAsia="zh-CN"/>
              </w:rPr>
              <w:t>《河南省人防防空工程管理办法》（河南省人民政府令第200号）</w:t>
            </w:r>
          </w:p>
        </w:tc>
        <w:tc>
          <w:tcPr>
            <w:tcW w:w="1100" w:type="dxa"/>
            <w:tcBorders>
              <w:top w:val="single" w:color="000000" w:sz="4" w:space="0"/>
              <w:left w:val="single" w:color="000000" w:sz="4" w:space="0"/>
              <w:bottom w:val="single" w:color="000000" w:sz="4" w:space="0"/>
              <w:right w:val="single" w:color="000000" w:sz="4" w:space="0"/>
            </w:tcBorders>
            <w:vAlign w:val="center"/>
          </w:tcPr>
          <w:p w14:paraId="04C48341">
            <w:pPr>
              <w:autoSpaceDN w:val="0"/>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行政处罚</w:t>
            </w:r>
          </w:p>
        </w:tc>
        <w:tc>
          <w:tcPr>
            <w:tcW w:w="1250" w:type="dxa"/>
            <w:tcBorders>
              <w:top w:val="single" w:color="000000" w:sz="4" w:space="0"/>
              <w:left w:val="single" w:color="000000" w:sz="4" w:space="0"/>
              <w:bottom w:val="single" w:color="000000" w:sz="4" w:space="0"/>
              <w:right w:val="single" w:color="000000" w:sz="4" w:space="0"/>
            </w:tcBorders>
            <w:vAlign w:val="center"/>
          </w:tcPr>
          <w:p w14:paraId="44E8EF2A">
            <w:pPr>
              <w:autoSpaceDN w:val="0"/>
              <w:jc w:val="center"/>
              <w:textAlignment w:val="center"/>
              <w:rPr>
                <w:rFonts w:hint="eastAsia" w:ascii="仿宋_GB2312" w:hAnsi="仿宋_GB2312" w:eastAsia="仿宋_GB2312"/>
                <w:color w:val="000000"/>
                <w:sz w:val="24"/>
                <w:szCs w:val="24"/>
              </w:rPr>
            </w:pPr>
          </w:p>
        </w:tc>
        <w:tc>
          <w:tcPr>
            <w:tcW w:w="1073" w:type="dxa"/>
            <w:tcBorders>
              <w:top w:val="single" w:color="000000" w:sz="4" w:space="0"/>
              <w:left w:val="single" w:color="000000" w:sz="4" w:space="0"/>
              <w:bottom w:val="single" w:color="000000" w:sz="4" w:space="0"/>
              <w:right w:val="single" w:color="000000" w:sz="4" w:space="0"/>
            </w:tcBorders>
            <w:vAlign w:val="center"/>
          </w:tcPr>
          <w:p w14:paraId="3709C3DF">
            <w:pPr>
              <w:autoSpaceDN w:val="0"/>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val="en-US" w:eastAsia="zh-CN"/>
              </w:rPr>
              <w:t>取消</w:t>
            </w:r>
          </w:p>
        </w:tc>
        <w:tc>
          <w:tcPr>
            <w:tcW w:w="1581" w:type="dxa"/>
            <w:tcBorders>
              <w:top w:val="single" w:color="000000" w:sz="4" w:space="0"/>
              <w:left w:val="single" w:color="000000" w:sz="4" w:space="0"/>
              <w:bottom w:val="single" w:color="000000" w:sz="4" w:space="0"/>
              <w:right w:val="single" w:color="000000" w:sz="4" w:space="0"/>
            </w:tcBorders>
            <w:vAlign w:val="top"/>
          </w:tcPr>
          <w:p w14:paraId="16B32CCB">
            <w:pPr>
              <w:autoSpaceDN w:val="0"/>
              <w:jc w:val="center"/>
              <w:textAlignment w:val="center"/>
              <w:rPr>
                <w:rFonts w:hint="eastAsia" w:ascii="仿宋" w:hAnsi="仿宋" w:eastAsia="仿宋" w:cs="仿宋"/>
                <w:sz w:val="28"/>
                <w:szCs w:val="28"/>
                <w:lang w:val="en-US" w:eastAsia="zh-CN"/>
              </w:rPr>
            </w:pPr>
          </w:p>
          <w:p w14:paraId="057AD7B3">
            <w:pPr>
              <w:autoSpaceDN w:val="0"/>
              <w:jc w:val="center"/>
              <w:textAlignment w:val="center"/>
              <w:rPr>
                <w:rFonts w:hint="eastAsia" w:ascii="仿宋" w:hAnsi="仿宋" w:eastAsia="仿宋" w:cs="仿宋"/>
                <w:sz w:val="28"/>
                <w:szCs w:val="28"/>
                <w:lang w:val="en-US" w:eastAsia="zh-CN"/>
              </w:rPr>
            </w:pPr>
          </w:p>
          <w:p w14:paraId="1C06BBB9">
            <w:pPr>
              <w:autoSpaceDN w:val="0"/>
              <w:jc w:val="center"/>
              <w:textAlignment w:val="center"/>
              <w:rPr>
                <w:rFonts w:hint="default" w:ascii="仿宋" w:hAnsi="仿宋" w:eastAsia="仿宋" w:cs="仿宋"/>
                <w:sz w:val="28"/>
                <w:szCs w:val="28"/>
                <w:lang w:val="en-US" w:eastAsia="zh-CN"/>
              </w:rPr>
            </w:pPr>
            <w:r>
              <w:rPr>
                <w:rFonts w:hint="eastAsia" w:ascii="仿宋_GB2312" w:hAnsi="仿宋_GB2312" w:eastAsia="仿宋_GB2312" w:cs="仿宋_GB2312"/>
                <w:color w:val="000000"/>
                <w:sz w:val="18"/>
                <w:szCs w:val="18"/>
                <w:lang w:val="en-US" w:eastAsia="zh-CN"/>
              </w:rPr>
              <w:t>依据中共桐柏县委办公室 桐柏县人民政府办公室关于印发《桐柏县城市管理局职能配置、内设机构和人员编制规定的通知》第四条第七项承担住房城乡建设领域法律、法规、规章规定的全部行政处罚权。故取消事项</w:t>
            </w:r>
          </w:p>
          <w:p w14:paraId="7C7DBFB6">
            <w:pPr>
              <w:autoSpaceDN w:val="0"/>
              <w:jc w:val="center"/>
              <w:textAlignment w:val="center"/>
              <w:rPr>
                <w:rFonts w:hint="eastAsia" w:ascii="仿宋" w:hAnsi="仿宋" w:eastAsia="仿宋" w:cs="仿宋"/>
                <w:sz w:val="28"/>
                <w:szCs w:val="28"/>
                <w:lang w:val="en-US" w:eastAsia="zh-CN"/>
              </w:rPr>
            </w:pPr>
          </w:p>
        </w:tc>
        <w:tc>
          <w:tcPr>
            <w:tcW w:w="948" w:type="dxa"/>
            <w:tcBorders>
              <w:top w:val="single" w:color="000000" w:sz="4" w:space="0"/>
              <w:left w:val="single" w:color="000000" w:sz="4" w:space="0"/>
              <w:bottom w:val="single" w:color="000000" w:sz="4" w:space="0"/>
              <w:right w:val="single" w:color="000000" w:sz="4" w:space="0"/>
            </w:tcBorders>
            <w:vAlign w:val="center"/>
          </w:tcPr>
          <w:p w14:paraId="1604941C">
            <w:pPr>
              <w:autoSpaceDN w:val="0"/>
              <w:jc w:val="center"/>
              <w:textAlignment w:val="center"/>
              <w:rPr>
                <w:rFonts w:hint="eastAsia" w:ascii="仿宋" w:hAnsi="仿宋" w:eastAsia="仿宋" w:cs="仿宋"/>
                <w:sz w:val="28"/>
                <w:szCs w:val="28"/>
                <w:lang w:val="en-US" w:eastAsia="zh-CN"/>
              </w:rPr>
            </w:pPr>
          </w:p>
        </w:tc>
      </w:tr>
      <w:tr w14:paraId="6179F22F">
        <w:tblPrEx>
          <w:tblCellMar>
            <w:top w:w="0" w:type="dxa"/>
            <w:left w:w="15" w:type="dxa"/>
            <w:bottom w:w="0" w:type="dxa"/>
            <w:right w:w="15" w:type="dxa"/>
          </w:tblCellMar>
        </w:tblPrEx>
        <w:trPr>
          <w:trHeight w:val="1626"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14:paraId="493C5B2E">
            <w:pPr>
              <w:autoSpaceDN w:val="0"/>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8</w:t>
            </w:r>
          </w:p>
        </w:tc>
        <w:tc>
          <w:tcPr>
            <w:tcW w:w="2488" w:type="dxa"/>
            <w:tcBorders>
              <w:top w:val="single" w:color="000000" w:sz="4" w:space="0"/>
              <w:left w:val="single" w:color="000000" w:sz="4" w:space="0"/>
              <w:bottom w:val="single" w:color="000000" w:sz="4" w:space="0"/>
              <w:right w:val="single" w:color="000000" w:sz="4" w:space="0"/>
            </w:tcBorders>
            <w:vAlign w:val="center"/>
          </w:tcPr>
          <w:p w14:paraId="0F3B2152">
            <w:pPr>
              <w:autoSpaceDN w:val="0"/>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对勘查、设计、施工、工程监理等单位允许其他单位或者个人以本单位名义承揽人防工程的处罚</w:t>
            </w:r>
          </w:p>
        </w:tc>
        <w:tc>
          <w:tcPr>
            <w:tcW w:w="4839" w:type="dxa"/>
            <w:tcBorders>
              <w:top w:val="single" w:color="000000" w:sz="4" w:space="0"/>
              <w:left w:val="single" w:color="000000" w:sz="4" w:space="0"/>
              <w:bottom w:val="single" w:color="000000" w:sz="4" w:space="0"/>
              <w:right w:val="single" w:color="000000" w:sz="4" w:space="0"/>
            </w:tcBorders>
            <w:vAlign w:val="center"/>
          </w:tcPr>
          <w:p w14:paraId="5D1ECAF4">
            <w:pPr>
              <w:autoSpaceDN w:val="0"/>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《建设工程质量管理条例》第六十一条 违反本条例规定，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百分之二以上百分之四以下的罚款；可以责令停业整顿，降低资质等级；情节严重的，吊销资质证书。                     《河南</w:t>
            </w:r>
            <w:r>
              <w:rPr>
                <w:rFonts w:hint="eastAsia" w:ascii="仿宋_GB2312" w:hAnsi="仿宋_GB2312" w:eastAsia="仿宋_GB2312" w:cs="仿宋_GB2312"/>
                <w:color w:val="000000"/>
                <w:sz w:val="18"/>
                <w:szCs w:val="18"/>
                <w:lang w:val="en-US" w:eastAsia="zh-CN"/>
              </w:rPr>
              <w:t>《河南省人防防空工程管理办法》（河南省人民政府令第200号）</w:t>
            </w:r>
          </w:p>
        </w:tc>
        <w:tc>
          <w:tcPr>
            <w:tcW w:w="1100" w:type="dxa"/>
            <w:tcBorders>
              <w:top w:val="single" w:color="000000" w:sz="4" w:space="0"/>
              <w:left w:val="single" w:color="000000" w:sz="4" w:space="0"/>
              <w:bottom w:val="single" w:color="000000" w:sz="4" w:space="0"/>
              <w:right w:val="single" w:color="000000" w:sz="4" w:space="0"/>
            </w:tcBorders>
            <w:vAlign w:val="center"/>
          </w:tcPr>
          <w:p w14:paraId="16B71422">
            <w:pPr>
              <w:autoSpaceDN w:val="0"/>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行政处罚</w:t>
            </w:r>
          </w:p>
        </w:tc>
        <w:tc>
          <w:tcPr>
            <w:tcW w:w="1250" w:type="dxa"/>
            <w:tcBorders>
              <w:top w:val="single" w:color="000000" w:sz="4" w:space="0"/>
              <w:left w:val="single" w:color="000000" w:sz="4" w:space="0"/>
              <w:bottom w:val="single" w:color="000000" w:sz="4" w:space="0"/>
              <w:right w:val="single" w:color="000000" w:sz="4" w:space="0"/>
            </w:tcBorders>
            <w:vAlign w:val="center"/>
          </w:tcPr>
          <w:p w14:paraId="5C3A88F3">
            <w:pPr>
              <w:autoSpaceDN w:val="0"/>
              <w:jc w:val="center"/>
              <w:textAlignment w:val="center"/>
              <w:rPr>
                <w:rFonts w:hint="eastAsia" w:ascii="仿宋_GB2312" w:hAnsi="仿宋_GB2312" w:eastAsia="仿宋_GB2312"/>
                <w:color w:val="000000"/>
                <w:sz w:val="24"/>
                <w:szCs w:val="24"/>
              </w:rPr>
            </w:pPr>
          </w:p>
        </w:tc>
        <w:tc>
          <w:tcPr>
            <w:tcW w:w="1073" w:type="dxa"/>
            <w:tcBorders>
              <w:top w:val="single" w:color="000000" w:sz="4" w:space="0"/>
              <w:left w:val="single" w:color="000000" w:sz="4" w:space="0"/>
              <w:bottom w:val="single" w:color="000000" w:sz="4" w:space="0"/>
              <w:right w:val="single" w:color="000000" w:sz="4" w:space="0"/>
            </w:tcBorders>
            <w:vAlign w:val="center"/>
          </w:tcPr>
          <w:p w14:paraId="6992530A">
            <w:pPr>
              <w:autoSpaceDN w:val="0"/>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val="en-US" w:eastAsia="zh-CN"/>
              </w:rPr>
              <w:t>取消</w:t>
            </w:r>
          </w:p>
        </w:tc>
        <w:tc>
          <w:tcPr>
            <w:tcW w:w="1581" w:type="dxa"/>
            <w:tcBorders>
              <w:top w:val="single" w:color="000000" w:sz="4" w:space="0"/>
              <w:left w:val="single" w:color="000000" w:sz="4" w:space="0"/>
              <w:bottom w:val="single" w:color="000000" w:sz="4" w:space="0"/>
              <w:right w:val="single" w:color="000000" w:sz="4" w:space="0"/>
            </w:tcBorders>
            <w:vAlign w:val="top"/>
          </w:tcPr>
          <w:p w14:paraId="5A4289A6">
            <w:pPr>
              <w:autoSpaceDN w:val="0"/>
              <w:jc w:val="center"/>
              <w:textAlignment w:val="center"/>
              <w:rPr>
                <w:rFonts w:hint="eastAsia" w:ascii="仿宋" w:hAnsi="仿宋" w:eastAsia="仿宋" w:cs="仿宋"/>
                <w:sz w:val="28"/>
                <w:szCs w:val="28"/>
                <w:lang w:val="en-US" w:eastAsia="zh-CN"/>
              </w:rPr>
            </w:pPr>
          </w:p>
          <w:p w14:paraId="6EFF8AB6">
            <w:pPr>
              <w:autoSpaceDN w:val="0"/>
              <w:jc w:val="center"/>
              <w:textAlignment w:val="center"/>
              <w:rPr>
                <w:rFonts w:hint="eastAsia" w:ascii="仿宋" w:hAnsi="仿宋" w:eastAsia="仿宋" w:cs="仿宋"/>
                <w:sz w:val="28"/>
                <w:szCs w:val="28"/>
                <w:lang w:val="en-US" w:eastAsia="zh-CN"/>
              </w:rPr>
            </w:pPr>
          </w:p>
          <w:p w14:paraId="1CEC80D8">
            <w:pPr>
              <w:autoSpaceDN w:val="0"/>
              <w:jc w:val="center"/>
              <w:textAlignment w:val="center"/>
              <w:rPr>
                <w:rFonts w:hint="default" w:ascii="仿宋" w:hAnsi="仿宋" w:eastAsia="仿宋" w:cs="仿宋"/>
                <w:sz w:val="28"/>
                <w:szCs w:val="28"/>
                <w:lang w:val="en-US" w:eastAsia="zh-CN"/>
              </w:rPr>
            </w:pPr>
            <w:r>
              <w:rPr>
                <w:rFonts w:hint="eastAsia" w:ascii="仿宋_GB2312" w:hAnsi="仿宋_GB2312" w:eastAsia="仿宋_GB2312" w:cs="仿宋_GB2312"/>
                <w:color w:val="000000"/>
                <w:sz w:val="18"/>
                <w:szCs w:val="18"/>
                <w:lang w:val="en-US" w:eastAsia="zh-CN"/>
              </w:rPr>
              <w:t>依据中共桐柏县委办公室 桐柏县人民政府办公室关于印发《桐柏县城市管理局职能配置、内设机构和人员编制规定的通知》第四条第七项承担住房城乡建设领域法律、法规、规章规定的全部行政处罚权。故取消事项</w:t>
            </w:r>
          </w:p>
          <w:p w14:paraId="25E76F8E">
            <w:pPr>
              <w:autoSpaceDN w:val="0"/>
              <w:jc w:val="center"/>
              <w:textAlignment w:val="center"/>
              <w:rPr>
                <w:rFonts w:hint="default" w:ascii="仿宋" w:hAnsi="仿宋" w:eastAsia="仿宋" w:cs="仿宋"/>
                <w:sz w:val="28"/>
                <w:szCs w:val="28"/>
                <w:lang w:val="en-US" w:eastAsia="zh-CN"/>
              </w:rPr>
            </w:pPr>
          </w:p>
        </w:tc>
        <w:tc>
          <w:tcPr>
            <w:tcW w:w="948" w:type="dxa"/>
            <w:tcBorders>
              <w:top w:val="single" w:color="000000" w:sz="4" w:space="0"/>
              <w:left w:val="single" w:color="000000" w:sz="4" w:space="0"/>
              <w:bottom w:val="single" w:color="000000" w:sz="4" w:space="0"/>
              <w:right w:val="single" w:color="000000" w:sz="4" w:space="0"/>
            </w:tcBorders>
            <w:vAlign w:val="center"/>
          </w:tcPr>
          <w:p w14:paraId="216128D9">
            <w:pPr>
              <w:autoSpaceDN w:val="0"/>
              <w:jc w:val="center"/>
              <w:textAlignment w:val="center"/>
              <w:rPr>
                <w:rFonts w:hint="eastAsia" w:ascii="仿宋" w:hAnsi="仿宋" w:eastAsia="仿宋" w:cs="仿宋"/>
                <w:sz w:val="28"/>
                <w:szCs w:val="28"/>
                <w:lang w:val="en-US" w:eastAsia="zh-CN"/>
              </w:rPr>
            </w:pPr>
          </w:p>
        </w:tc>
      </w:tr>
      <w:tr w14:paraId="760617D9">
        <w:tblPrEx>
          <w:tblCellMar>
            <w:top w:w="0" w:type="dxa"/>
            <w:left w:w="15" w:type="dxa"/>
            <w:bottom w:w="0" w:type="dxa"/>
            <w:right w:w="15" w:type="dxa"/>
          </w:tblCellMar>
        </w:tblPrEx>
        <w:trPr>
          <w:trHeight w:val="1626"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14:paraId="368B59C7">
            <w:pPr>
              <w:autoSpaceDN w:val="0"/>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9</w:t>
            </w:r>
          </w:p>
        </w:tc>
        <w:tc>
          <w:tcPr>
            <w:tcW w:w="2488" w:type="dxa"/>
            <w:tcBorders>
              <w:top w:val="single" w:color="000000" w:sz="4" w:space="0"/>
              <w:left w:val="single" w:color="000000" w:sz="4" w:space="0"/>
              <w:bottom w:val="single" w:color="000000" w:sz="4" w:space="0"/>
              <w:right w:val="single" w:color="000000" w:sz="4" w:space="0"/>
            </w:tcBorders>
            <w:vAlign w:val="center"/>
          </w:tcPr>
          <w:p w14:paraId="045C6BDA">
            <w:pPr>
              <w:autoSpaceDN w:val="0"/>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对承包单位将承包的人防工程转包或者违法分包的处罚</w:t>
            </w:r>
          </w:p>
        </w:tc>
        <w:tc>
          <w:tcPr>
            <w:tcW w:w="4839" w:type="dxa"/>
            <w:tcBorders>
              <w:top w:val="single" w:color="000000" w:sz="4" w:space="0"/>
              <w:left w:val="single" w:color="000000" w:sz="4" w:space="0"/>
              <w:bottom w:val="single" w:color="000000" w:sz="4" w:space="0"/>
              <w:right w:val="single" w:color="000000" w:sz="4" w:space="0"/>
            </w:tcBorders>
            <w:vAlign w:val="center"/>
          </w:tcPr>
          <w:p w14:paraId="603BDEE0">
            <w:pPr>
              <w:autoSpaceDN w:val="0"/>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【行政法规】《建设工程质量管理条例》</w:t>
            </w:r>
            <w:r>
              <w:rPr>
                <w:rFonts w:hint="eastAsia" w:ascii="仿宋" w:hAnsi="仿宋" w:eastAsia="仿宋" w:cs="仿宋"/>
                <w:color w:val="000000"/>
                <w:sz w:val="18"/>
                <w:szCs w:val="18"/>
                <w:lang w:val="en-US" w:eastAsia="zh-CN"/>
              </w:rPr>
              <w:br w:type="textWrapping"/>
            </w:r>
            <w:r>
              <w:rPr>
                <w:rFonts w:hint="eastAsia" w:ascii="仿宋" w:hAnsi="仿宋" w:eastAsia="仿宋" w:cs="仿宋"/>
                <w:color w:val="000000"/>
                <w:sz w:val="18"/>
                <w:szCs w:val="18"/>
                <w:lang w:val="en-US" w:eastAsia="zh-CN"/>
              </w:rPr>
              <w:t>第六十二条  违反本条例规定，承包单位将承包的工程转包或者违法分包的，责令改正，没收违法所得，对勘察、设计单位处合同约定的勘察费、设计费百分之二十五以上百分之五十以下的罚款；对施工单位处工程合同价款百分之零点五以上百分之一以下的罚款；可以责令停业整顿，降低资质等级；情节严重的，吊销资质证书。</w:t>
            </w:r>
            <w:r>
              <w:rPr>
                <w:rFonts w:hint="eastAsia" w:ascii="仿宋" w:hAnsi="仿宋" w:eastAsia="仿宋" w:cs="仿宋"/>
                <w:color w:val="000000"/>
                <w:sz w:val="18"/>
                <w:szCs w:val="18"/>
                <w:lang w:val="en-US" w:eastAsia="zh-CN"/>
              </w:rPr>
              <w:br w:type="textWrapping"/>
            </w:r>
            <w:r>
              <w:rPr>
                <w:rFonts w:hint="eastAsia" w:ascii="仿宋" w:hAnsi="仿宋" w:eastAsia="仿宋" w:cs="仿宋"/>
                <w:color w:val="000000"/>
                <w:sz w:val="18"/>
                <w:szCs w:val="18"/>
                <w:lang w:val="en-US" w:eastAsia="zh-CN"/>
              </w:rPr>
              <w:t>工程监理单位转让工程监理业务的，责令改正，没收违法所得，处合同约定的监理酬金百分之二十五以上百分之五十以下的罚款；可以责令停业整顿，降低资质等级；情节严重的，吊销资质证书。</w:t>
            </w:r>
            <w:r>
              <w:rPr>
                <w:rFonts w:hint="eastAsia" w:ascii="仿宋" w:hAnsi="仿宋" w:eastAsia="仿宋" w:cs="仿宋"/>
                <w:color w:val="000000"/>
                <w:sz w:val="18"/>
                <w:szCs w:val="18"/>
                <w:lang w:val="en-US" w:eastAsia="zh-CN"/>
              </w:rPr>
              <w:br w:type="textWrapping"/>
            </w:r>
            <w:r>
              <w:rPr>
                <w:rFonts w:hint="eastAsia" w:ascii="仿宋" w:hAnsi="仿宋" w:eastAsia="仿宋" w:cs="仿宋"/>
                <w:color w:val="000000"/>
                <w:sz w:val="18"/>
                <w:szCs w:val="18"/>
                <w:lang w:val="en-US" w:eastAsia="zh-CN"/>
              </w:rPr>
              <w:t>　《河南省人防防空工程管理办法》（河南省人民政府令第200号）第三十二条 ：“ 违反本办法规定，法律、法规已有法律责任规定的，从其规定。”</w:t>
            </w:r>
          </w:p>
        </w:tc>
        <w:tc>
          <w:tcPr>
            <w:tcW w:w="1100" w:type="dxa"/>
            <w:tcBorders>
              <w:top w:val="single" w:color="000000" w:sz="4" w:space="0"/>
              <w:left w:val="single" w:color="000000" w:sz="4" w:space="0"/>
              <w:bottom w:val="single" w:color="000000" w:sz="4" w:space="0"/>
              <w:right w:val="single" w:color="000000" w:sz="4" w:space="0"/>
            </w:tcBorders>
            <w:vAlign w:val="center"/>
          </w:tcPr>
          <w:p w14:paraId="5A4F0E1B">
            <w:pPr>
              <w:autoSpaceDN w:val="0"/>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行政处罚</w:t>
            </w:r>
          </w:p>
        </w:tc>
        <w:tc>
          <w:tcPr>
            <w:tcW w:w="1250" w:type="dxa"/>
            <w:tcBorders>
              <w:top w:val="single" w:color="000000" w:sz="4" w:space="0"/>
              <w:left w:val="single" w:color="000000" w:sz="4" w:space="0"/>
              <w:bottom w:val="single" w:color="000000" w:sz="4" w:space="0"/>
              <w:right w:val="single" w:color="000000" w:sz="4" w:space="0"/>
            </w:tcBorders>
            <w:vAlign w:val="center"/>
          </w:tcPr>
          <w:p w14:paraId="106844F9">
            <w:pPr>
              <w:autoSpaceDN w:val="0"/>
              <w:jc w:val="center"/>
              <w:textAlignment w:val="center"/>
              <w:rPr>
                <w:rFonts w:hint="eastAsia" w:ascii="仿宋_GB2312" w:hAnsi="仿宋_GB2312" w:eastAsia="仿宋_GB2312"/>
                <w:color w:val="000000"/>
                <w:sz w:val="24"/>
                <w:szCs w:val="24"/>
              </w:rPr>
            </w:pPr>
          </w:p>
        </w:tc>
        <w:tc>
          <w:tcPr>
            <w:tcW w:w="1073" w:type="dxa"/>
            <w:tcBorders>
              <w:top w:val="single" w:color="000000" w:sz="4" w:space="0"/>
              <w:left w:val="single" w:color="000000" w:sz="4" w:space="0"/>
              <w:bottom w:val="single" w:color="000000" w:sz="4" w:space="0"/>
              <w:right w:val="single" w:color="000000" w:sz="4" w:space="0"/>
            </w:tcBorders>
            <w:vAlign w:val="center"/>
          </w:tcPr>
          <w:p w14:paraId="4AB4AB93">
            <w:pPr>
              <w:autoSpaceDN w:val="0"/>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val="en-US" w:eastAsia="zh-CN"/>
              </w:rPr>
              <w:t>取消</w:t>
            </w:r>
          </w:p>
        </w:tc>
        <w:tc>
          <w:tcPr>
            <w:tcW w:w="1581" w:type="dxa"/>
            <w:tcBorders>
              <w:top w:val="single" w:color="000000" w:sz="4" w:space="0"/>
              <w:left w:val="single" w:color="000000" w:sz="4" w:space="0"/>
              <w:bottom w:val="single" w:color="000000" w:sz="4" w:space="0"/>
              <w:right w:val="single" w:color="000000" w:sz="4" w:space="0"/>
            </w:tcBorders>
            <w:vAlign w:val="top"/>
          </w:tcPr>
          <w:p w14:paraId="2876B24D">
            <w:pPr>
              <w:autoSpaceDN w:val="0"/>
              <w:jc w:val="center"/>
              <w:textAlignment w:val="center"/>
              <w:rPr>
                <w:rFonts w:hint="eastAsia" w:ascii="仿宋" w:hAnsi="仿宋" w:eastAsia="仿宋" w:cs="仿宋"/>
                <w:sz w:val="28"/>
                <w:szCs w:val="28"/>
                <w:lang w:val="en-US" w:eastAsia="zh-CN"/>
              </w:rPr>
            </w:pPr>
          </w:p>
          <w:p w14:paraId="5F669CB7">
            <w:pPr>
              <w:autoSpaceDN w:val="0"/>
              <w:jc w:val="center"/>
              <w:textAlignment w:val="center"/>
              <w:rPr>
                <w:rFonts w:hint="eastAsia" w:ascii="仿宋" w:hAnsi="仿宋" w:eastAsia="仿宋" w:cs="仿宋"/>
                <w:sz w:val="28"/>
                <w:szCs w:val="28"/>
                <w:lang w:val="en-US" w:eastAsia="zh-CN"/>
              </w:rPr>
            </w:pPr>
          </w:p>
          <w:p w14:paraId="151D4237">
            <w:pPr>
              <w:autoSpaceDN w:val="0"/>
              <w:jc w:val="center"/>
              <w:textAlignment w:val="center"/>
              <w:rPr>
                <w:rFonts w:hint="default" w:ascii="仿宋" w:hAnsi="仿宋" w:eastAsia="仿宋" w:cs="仿宋"/>
                <w:sz w:val="28"/>
                <w:szCs w:val="28"/>
                <w:lang w:val="en-US" w:eastAsia="zh-CN"/>
              </w:rPr>
            </w:pPr>
            <w:r>
              <w:rPr>
                <w:rFonts w:hint="eastAsia" w:ascii="仿宋_GB2312" w:hAnsi="仿宋_GB2312" w:eastAsia="仿宋_GB2312" w:cs="仿宋_GB2312"/>
                <w:color w:val="000000"/>
                <w:sz w:val="18"/>
                <w:szCs w:val="18"/>
                <w:lang w:val="en-US" w:eastAsia="zh-CN"/>
              </w:rPr>
              <w:t>依据中共桐柏县委办公室 桐柏县人民政府办公室关于印发《桐柏县城市管理局职能配置、内设机构和人员编制规定的通知》第四条第七项承担住房城乡建设领域法律、法规、规章规定的全部行政处罚权。故取消事项</w:t>
            </w:r>
          </w:p>
          <w:p w14:paraId="7282D586">
            <w:pPr>
              <w:autoSpaceDN w:val="0"/>
              <w:jc w:val="center"/>
              <w:textAlignment w:val="center"/>
              <w:rPr>
                <w:rFonts w:hint="eastAsia" w:ascii="仿宋" w:hAnsi="仿宋" w:eastAsia="仿宋" w:cs="仿宋"/>
                <w:sz w:val="28"/>
                <w:szCs w:val="28"/>
                <w:lang w:val="en-US" w:eastAsia="zh-CN"/>
              </w:rPr>
            </w:pPr>
          </w:p>
        </w:tc>
        <w:tc>
          <w:tcPr>
            <w:tcW w:w="948" w:type="dxa"/>
            <w:tcBorders>
              <w:top w:val="single" w:color="000000" w:sz="4" w:space="0"/>
              <w:left w:val="single" w:color="000000" w:sz="4" w:space="0"/>
              <w:bottom w:val="single" w:color="000000" w:sz="4" w:space="0"/>
              <w:right w:val="single" w:color="000000" w:sz="4" w:space="0"/>
            </w:tcBorders>
            <w:vAlign w:val="center"/>
          </w:tcPr>
          <w:p w14:paraId="1A3E72FC">
            <w:pPr>
              <w:autoSpaceDN w:val="0"/>
              <w:jc w:val="center"/>
              <w:textAlignment w:val="center"/>
              <w:rPr>
                <w:rFonts w:hint="eastAsia" w:ascii="仿宋" w:hAnsi="仿宋" w:eastAsia="仿宋" w:cs="仿宋"/>
                <w:sz w:val="28"/>
                <w:szCs w:val="28"/>
                <w:lang w:val="en-US" w:eastAsia="zh-CN"/>
              </w:rPr>
            </w:pPr>
          </w:p>
        </w:tc>
      </w:tr>
      <w:tr w14:paraId="194DD50C">
        <w:tblPrEx>
          <w:tblCellMar>
            <w:top w:w="0" w:type="dxa"/>
            <w:left w:w="15" w:type="dxa"/>
            <w:bottom w:w="0" w:type="dxa"/>
            <w:right w:w="15" w:type="dxa"/>
          </w:tblCellMar>
        </w:tblPrEx>
        <w:trPr>
          <w:trHeight w:val="1626"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14:paraId="5BD05F1E">
            <w:pPr>
              <w:autoSpaceDN w:val="0"/>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10</w:t>
            </w:r>
          </w:p>
        </w:tc>
        <w:tc>
          <w:tcPr>
            <w:tcW w:w="2488" w:type="dxa"/>
            <w:tcBorders>
              <w:top w:val="single" w:color="000000" w:sz="4" w:space="0"/>
              <w:left w:val="single" w:color="000000" w:sz="4" w:space="0"/>
              <w:bottom w:val="single" w:color="000000" w:sz="4" w:space="0"/>
              <w:right w:val="single" w:color="000000" w:sz="4" w:space="0"/>
            </w:tcBorders>
            <w:vAlign w:val="center"/>
          </w:tcPr>
          <w:p w14:paraId="466D5F8D">
            <w:pPr>
              <w:autoSpaceDN w:val="0"/>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对人防工程勘查单位未按照工程建设强制性标准进行勘查，设计单位未根据勘查成果文件进行设计或者指定建筑材料、建筑构配件的生产厂、供应商的或者未按照工程建设强制性标准进行设计等的处罚</w:t>
            </w:r>
          </w:p>
        </w:tc>
        <w:tc>
          <w:tcPr>
            <w:tcW w:w="4839" w:type="dxa"/>
            <w:tcBorders>
              <w:top w:val="single" w:color="000000" w:sz="4" w:space="0"/>
              <w:left w:val="single" w:color="000000" w:sz="4" w:space="0"/>
              <w:bottom w:val="single" w:color="000000" w:sz="4" w:space="0"/>
              <w:right w:val="single" w:color="000000" w:sz="4" w:space="0"/>
            </w:tcBorders>
            <w:vAlign w:val="center"/>
          </w:tcPr>
          <w:p w14:paraId="03838759">
            <w:pPr>
              <w:autoSpaceDN w:val="0"/>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建设工程质量管理条例》第六十三条:“违反本条例规定,有下列行为之一的,责令改正,处10万元以上30万元以下的罚款:(一)勘察单位未按照工程建设强制性标准进行勘察的;(二)设计单位未根据勘察成果文件进行工程设计的;(三)设计单位指定建筑材料、建筑构配件的生产厂、供应商的;(四)设计单位未按照工程建设强制性标准进行设计的。有前款所列行为,造成工程质量事故的,责令停业整顿,降低资质等级;情节严重的,吊销资质证书;造成损失的,依法承担赔偿责任。”    《河南省人防防空工程管理办法》（河南省人民政府令第200号）第三十二条 ：“ 违反本办法规定，法律、法规已有法律责任规定的，从其规定。”</w:t>
            </w:r>
          </w:p>
        </w:tc>
        <w:tc>
          <w:tcPr>
            <w:tcW w:w="1100" w:type="dxa"/>
            <w:tcBorders>
              <w:top w:val="single" w:color="000000" w:sz="4" w:space="0"/>
              <w:left w:val="single" w:color="000000" w:sz="4" w:space="0"/>
              <w:bottom w:val="single" w:color="000000" w:sz="4" w:space="0"/>
              <w:right w:val="single" w:color="000000" w:sz="4" w:space="0"/>
            </w:tcBorders>
            <w:vAlign w:val="center"/>
          </w:tcPr>
          <w:p w14:paraId="52F456FF">
            <w:pPr>
              <w:autoSpaceDN w:val="0"/>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行政处罚</w:t>
            </w:r>
          </w:p>
        </w:tc>
        <w:tc>
          <w:tcPr>
            <w:tcW w:w="1250" w:type="dxa"/>
            <w:tcBorders>
              <w:top w:val="single" w:color="000000" w:sz="4" w:space="0"/>
              <w:left w:val="single" w:color="000000" w:sz="4" w:space="0"/>
              <w:bottom w:val="single" w:color="000000" w:sz="4" w:space="0"/>
              <w:right w:val="single" w:color="000000" w:sz="4" w:space="0"/>
            </w:tcBorders>
            <w:vAlign w:val="center"/>
          </w:tcPr>
          <w:p w14:paraId="5D7B3EA7">
            <w:pPr>
              <w:autoSpaceDN w:val="0"/>
              <w:jc w:val="both"/>
              <w:textAlignment w:val="center"/>
              <w:rPr>
                <w:rFonts w:hint="eastAsia" w:ascii="仿宋_GB2312" w:hAnsi="仿宋_GB2312" w:eastAsia="仿宋_GB2312"/>
                <w:color w:val="000000"/>
                <w:sz w:val="24"/>
                <w:szCs w:val="24"/>
              </w:rPr>
            </w:pPr>
          </w:p>
        </w:tc>
        <w:tc>
          <w:tcPr>
            <w:tcW w:w="1073" w:type="dxa"/>
            <w:tcBorders>
              <w:top w:val="single" w:color="000000" w:sz="4" w:space="0"/>
              <w:left w:val="single" w:color="000000" w:sz="4" w:space="0"/>
              <w:bottom w:val="single" w:color="000000" w:sz="4" w:space="0"/>
              <w:right w:val="single" w:color="000000" w:sz="4" w:space="0"/>
            </w:tcBorders>
            <w:vAlign w:val="center"/>
          </w:tcPr>
          <w:p w14:paraId="3129A3EC">
            <w:pPr>
              <w:autoSpaceDN w:val="0"/>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val="en-US" w:eastAsia="zh-CN"/>
              </w:rPr>
              <w:t>取消</w:t>
            </w:r>
          </w:p>
        </w:tc>
        <w:tc>
          <w:tcPr>
            <w:tcW w:w="1581" w:type="dxa"/>
            <w:tcBorders>
              <w:top w:val="single" w:color="000000" w:sz="4" w:space="0"/>
              <w:left w:val="single" w:color="000000" w:sz="4" w:space="0"/>
              <w:bottom w:val="single" w:color="000000" w:sz="4" w:space="0"/>
              <w:right w:val="single" w:color="000000" w:sz="4" w:space="0"/>
            </w:tcBorders>
            <w:vAlign w:val="top"/>
          </w:tcPr>
          <w:p w14:paraId="5A741730">
            <w:pPr>
              <w:autoSpaceDN w:val="0"/>
              <w:jc w:val="center"/>
              <w:textAlignment w:val="center"/>
              <w:rPr>
                <w:rFonts w:hint="eastAsia" w:ascii="仿宋" w:hAnsi="仿宋" w:eastAsia="仿宋" w:cs="仿宋"/>
                <w:sz w:val="28"/>
                <w:szCs w:val="28"/>
                <w:lang w:val="en-US" w:eastAsia="zh-CN"/>
              </w:rPr>
            </w:pPr>
          </w:p>
          <w:p w14:paraId="53DE78A5">
            <w:pPr>
              <w:autoSpaceDN w:val="0"/>
              <w:jc w:val="center"/>
              <w:textAlignment w:val="center"/>
              <w:rPr>
                <w:rFonts w:hint="eastAsia" w:ascii="仿宋" w:hAnsi="仿宋" w:eastAsia="仿宋" w:cs="仿宋"/>
                <w:sz w:val="28"/>
                <w:szCs w:val="28"/>
                <w:lang w:val="en-US" w:eastAsia="zh-CN"/>
              </w:rPr>
            </w:pPr>
          </w:p>
          <w:p w14:paraId="6319771A">
            <w:pPr>
              <w:autoSpaceDN w:val="0"/>
              <w:jc w:val="center"/>
              <w:textAlignment w:val="center"/>
              <w:rPr>
                <w:rFonts w:hint="default" w:ascii="仿宋" w:hAnsi="仿宋" w:eastAsia="仿宋" w:cs="仿宋"/>
                <w:sz w:val="28"/>
                <w:szCs w:val="28"/>
                <w:lang w:val="en-US" w:eastAsia="zh-CN"/>
              </w:rPr>
            </w:pPr>
            <w:r>
              <w:rPr>
                <w:rFonts w:hint="eastAsia" w:ascii="仿宋_GB2312" w:hAnsi="仿宋_GB2312" w:eastAsia="仿宋_GB2312" w:cs="仿宋_GB2312"/>
                <w:color w:val="000000"/>
                <w:sz w:val="18"/>
                <w:szCs w:val="18"/>
                <w:lang w:val="en-US" w:eastAsia="zh-CN"/>
              </w:rPr>
              <w:t>依据中共桐柏县委办公室 桐柏县人民政府办公室关于印发《桐柏县城市管理局职能配置、内设机构和人员编制规定的通知》第四条第七项承担住房城乡建设领域法律、法规、规章规定的全部行政处罚权。故取消事项</w:t>
            </w:r>
          </w:p>
          <w:p w14:paraId="7FE0BB62">
            <w:pPr>
              <w:autoSpaceDN w:val="0"/>
              <w:jc w:val="center"/>
              <w:textAlignment w:val="center"/>
              <w:rPr>
                <w:rFonts w:hint="default" w:ascii="仿宋" w:hAnsi="仿宋" w:eastAsia="仿宋" w:cs="仿宋"/>
                <w:sz w:val="28"/>
                <w:szCs w:val="28"/>
                <w:lang w:val="en-US" w:eastAsia="zh-CN"/>
              </w:rPr>
            </w:pPr>
          </w:p>
        </w:tc>
        <w:tc>
          <w:tcPr>
            <w:tcW w:w="948" w:type="dxa"/>
            <w:tcBorders>
              <w:top w:val="single" w:color="000000" w:sz="4" w:space="0"/>
              <w:left w:val="single" w:color="000000" w:sz="4" w:space="0"/>
              <w:bottom w:val="single" w:color="000000" w:sz="4" w:space="0"/>
              <w:right w:val="single" w:color="000000" w:sz="4" w:space="0"/>
            </w:tcBorders>
            <w:vAlign w:val="center"/>
          </w:tcPr>
          <w:p w14:paraId="2A4FA29A">
            <w:pPr>
              <w:autoSpaceDN w:val="0"/>
              <w:jc w:val="center"/>
              <w:textAlignment w:val="center"/>
              <w:rPr>
                <w:rFonts w:hint="eastAsia" w:ascii="仿宋" w:hAnsi="仿宋" w:eastAsia="仿宋" w:cs="仿宋"/>
                <w:sz w:val="28"/>
                <w:szCs w:val="28"/>
                <w:lang w:val="en-US" w:eastAsia="zh-CN"/>
              </w:rPr>
            </w:pPr>
          </w:p>
        </w:tc>
      </w:tr>
      <w:tr w14:paraId="3BD0FC79">
        <w:tblPrEx>
          <w:tblCellMar>
            <w:top w:w="0" w:type="dxa"/>
            <w:left w:w="15" w:type="dxa"/>
            <w:bottom w:w="0" w:type="dxa"/>
            <w:right w:w="15" w:type="dxa"/>
          </w:tblCellMar>
        </w:tblPrEx>
        <w:trPr>
          <w:trHeight w:val="3500"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14:paraId="6CFD7889">
            <w:pPr>
              <w:autoSpaceDN w:val="0"/>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11</w:t>
            </w:r>
          </w:p>
        </w:tc>
        <w:tc>
          <w:tcPr>
            <w:tcW w:w="2488" w:type="dxa"/>
            <w:tcBorders>
              <w:top w:val="single" w:color="000000" w:sz="4" w:space="0"/>
              <w:left w:val="single" w:color="000000" w:sz="4" w:space="0"/>
              <w:bottom w:val="single" w:color="000000" w:sz="4" w:space="0"/>
              <w:right w:val="single" w:color="000000" w:sz="4" w:space="0"/>
            </w:tcBorders>
            <w:vAlign w:val="center"/>
          </w:tcPr>
          <w:p w14:paraId="03369C1A">
            <w:pPr>
              <w:autoSpaceDN w:val="0"/>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对人防工程施工单位在施工中偷工减料或者使用不合格的建筑材料、建筑构配件和设备等的处罚</w:t>
            </w:r>
          </w:p>
        </w:tc>
        <w:tc>
          <w:tcPr>
            <w:tcW w:w="4839" w:type="dxa"/>
            <w:tcBorders>
              <w:top w:val="single" w:color="000000" w:sz="4" w:space="0"/>
              <w:left w:val="single" w:color="000000" w:sz="4" w:space="0"/>
              <w:bottom w:val="single" w:color="000000" w:sz="4" w:space="0"/>
              <w:right w:val="single" w:color="000000" w:sz="4" w:space="0"/>
            </w:tcBorders>
            <w:vAlign w:val="center"/>
          </w:tcPr>
          <w:p w14:paraId="4D0E82D0">
            <w:pPr>
              <w:autoSpaceDN w:val="0"/>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建设工程质量管理条例》(国务院令第279号)第六十四条:“违反本条例规定,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w:t>
            </w:r>
            <w:r>
              <w:rPr>
                <w:rFonts w:hint="eastAsia" w:ascii="仿宋" w:hAnsi="仿宋" w:eastAsia="仿宋" w:cs="仿宋"/>
                <w:color w:val="000000"/>
                <w:sz w:val="18"/>
                <w:szCs w:val="18"/>
                <w:lang w:val="en-US" w:eastAsia="zh-CN"/>
              </w:rPr>
              <w:br w:type="textWrapping"/>
            </w:r>
            <w:r>
              <w:rPr>
                <w:rFonts w:hint="eastAsia" w:ascii="仿宋" w:hAnsi="仿宋" w:eastAsia="仿宋" w:cs="仿宋"/>
                <w:color w:val="000000"/>
                <w:sz w:val="18"/>
                <w:szCs w:val="18"/>
                <w:lang w:val="en-US" w:eastAsia="zh-CN"/>
              </w:rPr>
              <w:t>《河南省人防防空工程管理办法》（河南省人民政府令第200号）第三十二条 ：“ 违反本办法规定，法律、法规已有法律责任规定的，从其规定。”</w:t>
            </w:r>
          </w:p>
        </w:tc>
        <w:tc>
          <w:tcPr>
            <w:tcW w:w="1100" w:type="dxa"/>
            <w:tcBorders>
              <w:top w:val="single" w:color="000000" w:sz="4" w:space="0"/>
              <w:left w:val="single" w:color="000000" w:sz="4" w:space="0"/>
              <w:bottom w:val="single" w:color="000000" w:sz="4" w:space="0"/>
              <w:right w:val="single" w:color="000000" w:sz="4" w:space="0"/>
            </w:tcBorders>
            <w:vAlign w:val="center"/>
          </w:tcPr>
          <w:p w14:paraId="43C4BCB7">
            <w:pPr>
              <w:autoSpaceDN w:val="0"/>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行政处罚</w:t>
            </w:r>
          </w:p>
        </w:tc>
        <w:tc>
          <w:tcPr>
            <w:tcW w:w="1250" w:type="dxa"/>
            <w:tcBorders>
              <w:top w:val="single" w:color="000000" w:sz="4" w:space="0"/>
              <w:left w:val="single" w:color="000000" w:sz="4" w:space="0"/>
              <w:bottom w:val="single" w:color="000000" w:sz="4" w:space="0"/>
              <w:right w:val="single" w:color="000000" w:sz="4" w:space="0"/>
            </w:tcBorders>
            <w:vAlign w:val="center"/>
          </w:tcPr>
          <w:p w14:paraId="7EE8E8B9">
            <w:pPr>
              <w:autoSpaceDN w:val="0"/>
              <w:jc w:val="center"/>
              <w:textAlignment w:val="center"/>
              <w:rPr>
                <w:rFonts w:hint="eastAsia" w:ascii="仿宋_GB2312" w:hAnsi="仿宋_GB2312" w:eastAsia="仿宋_GB2312"/>
                <w:color w:val="000000"/>
                <w:sz w:val="24"/>
                <w:szCs w:val="24"/>
              </w:rPr>
            </w:pPr>
          </w:p>
        </w:tc>
        <w:tc>
          <w:tcPr>
            <w:tcW w:w="1073" w:type="dxa"/>
            <w:tcBorders>
              <w:top w:val="single" w:color="000000" w:sz="4" w:space="0"/>
              <w:left w:val="single" w:color="000000" w:sz="4" w:space="0"/>
              <w:bottom w:val="single" w:color="000000" w:sz="4" w:space="0"/>
              <w:right w:val="single" w:color="000000" w:sz="4" w:space="0"/>
            </w:tcBorders>
            <w:vAlign w:val="center"/>
          </w:tcPr>
          <w:p w14:paraId="1A937CE2">
            <w:pPr>
              <w:autoSpaceDN w:val="0"/>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val="en-US" w:eastAsia="zh-CN"/>
              </w:rPr>
              <w:t>取消</w:t>
            </w:r>
          </w:p>
        </w:tc>
        <w:tc>
          <w:tcPr>
            <w:tcW w:w="1581" w:type="dxa"/>
            <w:tcBorders>
              <w:top w:val="single" w:color="000000" w:sz="4" w:space="0"/>
              <w:left w:val="single" w:color="000000" w:sz="4" w:space="0"/>
              <w:bottom w:val="single" w:color="000000" w:sz="4" w:space="0"/>
              <w:right w:val="single" w:color="000000" w:sz="4" w:space="0"/>
            </w:tcBorders>
            <w:vAlign w:val="top"/>
          </w:tcPr>
          <w:p w14:paraId="544720C6">
            <w:pPr>
              <w:autoSpaceDN w:val="0"/>
              <w:jc w:val="center"/>
              <w:textAlignment w:val="center"/>
              <w:rPr>
                <w:rFonts w:hint="eastAsia" w:ascii="仿宋" w:hAnsi="仿宋" w:eastAsia="仿宋" w:cs="仿宋"/>
                <w:sz w:val="28"/>
                <w:szCs w:val="28"/>
                <w:lang w:val="en-US" w:eastAsia="zh-CN"/>
              </w:rPr>
            </w:pPr>
          </w:p>
          <w:p w14:paraId="098E79A3">
            <w:pPr>
              <w:autoSpaceDN w:val="0"/>
              <w:jc w:val="center"/>
              <w:textAlignment w:val="center"/>
              <w:rPr>
                <w:rFonts w:hint="eastAsia" w:ascii="仿宋" w:hAnsi="仿宋" w:eastAsia="仿宋" w:cs="仿宋"/>
                <w:sz w:val="28"/>
                <w:szCs w:val="28"/>
                <w:lang w:val="en-US" w:eastAsia="zh-CN"/>
              </w:rPr>
            </w:pPr>
          </w:p>
          <w:p w14:paraId="6E057ED2">
            <w:pPr>
              <w:autoSpaceDN w:val="0"/>
              <w:jc w:val="center"/>
              <w:textAlignment w:val="center"/>
              <w:rPr>
                <w:rFonts w:hint="default" w:ascii="仿宋" w:hAnsi="仿宋" w:eastAsia="仿宋" w:cs="仿宋"/>
                <w:sz w:val="28"/>
                <w:szCs w:val="28"/>
                <w:lang w:val="en-US" w:eastAsia="zh-CN"/>
              </w:rPr>
            </w:pPr>
            <w:r>
              <w:rPr>
                <w:rFonts w:hint="eastAsia" w:ascii="仿宋_GB2312" w:hAnsi="仿宋_GB2312" w:eastAsia="仿宋_GB2312" w:cs="仿宋_GB2312"/>
                <w:color w:val="000000"/>
                <w:sz w:val="18"/>
                <w:szCs w:val="18"/>
                <w:lang w:val="en-US" w:eastAsia="zh-CN"/>
              </w:rPr>
              <w:t>依据中共桐柏县委办公室 桐柏县人民政府办公室关于印发《桐柏县城市管理局职能配置、内设机构和人员编制规定的通知》第四条第七项承担住房城乡建设领域法律、法规、规章规定的全部行政处罚权。故取消事项</w:t>
            </w:r>
          </w:p>
          <w:p w14:paraId="16FA3149">
            <w:pPr>
              <w:autoSpaceDN w:val="0"/>
              <w:jc w:val="center"/>
              <w:textAlignment w:val="center"/>
              <w:rPr>
                <w:rFonts w:hint="default" w:ascii="仿宋" w:hAnsi="仿宋" w:eastAsia="仿宋" w:cs="仿宋"/>
                <w:sz w:val="28"/>
                <w:szCs w:val="28"/>
                <w:lang w:val="en-US" w:eastAsia="zh-CN"/>
              </w:rPr>
            </w:pPr>
          </w:p>
        </w:tc>
        <w:tc>
          <w:tcPr>
            <w:tcW w:w="948" w:type="dxa"/>
            <w:tcBorders>
              <w:top w:val="single" w:color="000000" w:sz="4" w:space="0"/>
              <w:left w:val="single" w:color="000000" w:sz="4" w:space="0"/>
              <w:bottom w:val="single" w:color="000000" w:sz="4" w:space="0"/>
              <w:right w:val="single" w:color="000000" w:sz="4" w:space="0"/>
            </w:tcBorders>
            <w:vAlign w:val="center"/>
          </w:tcPr>
          <w:p w14:paraId="52C14117">
            <w:pPr>
              <w:autoSpaceDN w:val="0"/>
              <w:jc w:val="center"/>
              <w:textAlignment w:val="center"/>
              <w:rPr>
                <w:rFonts w:hint="eastAsia" w:ascii="仿宋" w:hAnsi="仿宋" w:eastAsia="仿宋" w:cs="仿宋"/>
                <w:sz w:val="28"/>
                <w:szCs w:val="28"/>
                <w:lang w:val="en-US" w:eastAsia="zh-CN"/>
              </w:rPr>
            </w:pPr>
          </w:p>
        </w:tc>
      </w:tr>
      <w:tr w14:paraId="6754B40C">
        <w:tblPrEx>
          <w:tblCellMar>
            <w:top w:w="0" w:type="dxa"/>
            <w:left w:w="15" w:type="dxa"/>
            <w:bottom w:w="0" w:type="dxa"/>
            <w:right w:w="15" w:type="dxa"/>
          </w:tblCellMar>
        </w:tblPrEx>
        <w:trPr>
          <w:trHeight w:val="1626"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14:paraId="2010E87E">
            <w:pPr>
              <w:autoSpaceDN w:val="0"/>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12</w:t>
            </w:r>
          </w:p>
        </w:tc>
        <w:tc>
          <w:tcPr>
            <w:tcW w:w="2488" w:type="dxa"/>
            <w:tcBorders>
              <w:top w:val="single" w:color="000000" w:sz="4" w:space="0"/>
              <w:left w:val="single" w:color="000000" w:sz="4" w:space="0"/>
              <w:bottom w:val="single" w:color="000000" w:sz="4" w:space="0"/>
              <w:right w:val="single" w:color="000000" w:sz="4" w:space="0"/>
            </w:tcBorders>
            <w:vAlign w:val="center"/>
          </w:tcPr>
          <w:p w14:paraId="61A427F2">
            <w:pPr>
              <w:autoSpaceDN w:val="0"/>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对人防工程施工单位未对建筑材料、建筑构配件、设备和商品混凝土进行检验，或者未对涉及结构安全的试块、试件以及有关材料取样检测的处罚</w:t>
            </w:r>
          </w:p>
        </w:tc>
        <w:tc>
          <w:tcPr>
            <w:tcW w:w="4839" w:type="dxa"/>
            <w:tcBorders>
              <w:top w:val="single" w:color="000000" w:sz="4" w:space="0"/>
              <w:left w:val="single" w:color="000000" w:sz="4" w:space="0"/>
              <w:bottom w:val="single" w:color="000000" w:sz="4" w:space="0"/>
              <w:right w:val="single" w:color="000000" w:sz="4" w:space="0"/>
            </w:tcBorders>
            <w:vAlign w:val="center"/>
          </w:tcPr>
          <w:p w14:paraId="7E09C532">
            <w:pPr>
              <w:autoSpaceDN w:val="0"/>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【行政法规】《建设工程质量管理条例》</w:t>
            </w:r>
            <w:r>
              <w:rPr>
                <w:rFonts w:hint="eastAsia" w:ascii="仿宋" w:hAnsi="仿宋" w:eastAsia="仿宋" w:cs="仿宋"/>
                <w:color w:val="000000"/>
                <w:sz w:val="18"/>
                <w:szCs w:val="18"/>
                <w:lang w:val="en-US" w:eastAsia="zh-CN"/>
              </w:rPr>
              <w:br w:type="textWrapping"/>
            </w:r>
            <w:r>
              <w:rPr>
                <w:rFonts w:hint="eastAsia" w:ascii="仿宋" w:hAnsi="仿宋" w:eastAsia="仿宋" w:cs="仿宋"/>
                <w:color w:val="000000"/>
                <w:sz w:val="18"/>
                <w:szCs w:val="18"/>
                <w:lang w:val="en-US" w:eastAsia="zh-CN"/>
              </w:rPr>
              <w:t>　　第六十五条   违反本条例规定，施工单位未对建筑材料、建筑构配件、设备和商品混凝土进行检验，或者未对涉及结构安全的试块、试件以及有关材料取样检测的，责令改正，处10万元以上20万元以下的罚款；情节严重的，责令停业整顿，降低资质等级或者吊销资质证书；造成损失的，依法承担赔偿责任。</w:t>
            </w:r>
            <w:r>
              <w:rPr>
                <w:rFonts w:hint="eastAsia" w:ascii="仿宋" w:hAnsi="仿宋" w:eastAsia="仿宋" w:cs="仿宋"/>
                <w:color w:val="000000"/>
                <w:sz w:val="18"/>
                <w:szCs w:val="18"/>
                <w:lang w:val="en-US" w:eastAsia="zh-CN"/>
              </w:rPr>
              <w:br w:type="textWrapping"/>
            </w:r>
            <w:r>
              <w:rPr>
                <w:rFonts w:hint="eastAsia" w:ascii="仿宋" w:hAnsi="仿宋" w:eastAsia="仿宋" w:cs="仿宋"/>
                <w:color w:val="FF0000"/>
                <w:sz w:val="18"/>
                <w:szCs w:val="18"/>
                <w:lang w:val="en-US" w:eastAsia="zh-CN"/>
              </w:rPr>
              <w:t>　</w:t>
            </w:r>
            <w:r>
              <w:rPr>
                <w:rFonts w:hint="eastAsia" w:ascii="仿宋" w:hAnsi="仿宋" w:eastAsia="仿宋" w:cs="仿宋"/>
                <w:color w:val="000000"/>
                <w:sz w:val="18"/>
                <w:szCs w:val="18"/>
                <w:lang w:val="en-US" w:eastAsia="zh-CN"/>
              </w:rPr>
              <w:t>《河南省人防防空工程管理办法》（河南省人民政府令第200号）第三十二条 ：“ 违反本办法规定，法律、法规已有法律责任规定的，从其规定。”</w:t>
            </w:r>
          </w:p>
        </w:tc>
        <w:tc>
          <w:tcPr>
            <w:tcW w:w="1100" w:type="dxa"/>
            <w:tcBorders>
              <w:top w:val="single" w:color="000000" w:sz="4" w:space="0"/>
              <w:left w:val="single" w:color="000000" w:sz="4" w:space="0"/>
              <w:bottom w:val="single" w:color="000000" w:sz="4" w:space="0"/>
              <w:right w:val="single" w:color="000000" w:sz="4" w:space="0"/>
            </w:tcBorders>
            <w:vAlign w:val="center"/>
          </w:tcPr>
          <w:p w14:paraId="43BA78FC">
            <w:pPr>
              <w:autoSpaceDN w:val="0"/>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行政处罚</w:t>
            </w:r>
          </w:p>
        </w:tc>
        <w:tc>
          <w:tcPr>
            <w:tcW w:w="1250" w:type="dxa"/>
            <w:tcBorders>
              <w:top w:val="single" w:color="000000" w:sz="4" w:space="0"/>
              <w:left w:val="single" w:color="000000" w:sz="4" w:space="0"/>
              <w:bottom w:val="single" w:color="000000" w:sz="4" w:space="0"/>
              <w:right w:val="single" w:color="000000" w:sz="4" w:space="0"/>
            </w:tcBorders>
            <w:vAlign w:val="center"/>
          </w:tcPr>
          <w:p w14:paraId="3B07824D">
            <w:pPr>
              <w:autoSpaceDN w:val="0"/>
              <w:jc w:val="both"/>
              <w:textAlignment w:val="center"/>
              <w:rPr>
                <w:rFonts w:hint="eastAsia" w:ascii="仿宋_GB2312" w:hAnsi="仿宋_GB2312" w:eastAsia="仿宋_GB2312"/>
                <w:color w:val="000000"/>
                <w:sz w:val="24"/>
                <w:szCs w:val="24"/>
              </w:rPr>
            </w:pPr>
          </w:p>
        </w:tc>
        <w:tc>
          <w:tcPr>
            <w:tcW w:w="1073" w:type="dxa"/>
            <w:tcBorders>
              <w:top w:val="single" w:color="000000" w:sz="4" w:space="0"/>
              <w:left w:val="single" w:color="000000" w:sz="4" w:space="0"/>
              <w:bottom w:val="single" w:color="000000" w:sz="4" w:space="0"/>
              <w:right w:val="single" w:color="000000" w:sz="4" w:space="0"/>
            </w:tcBorders>
            <w:vAlign w:val="center"/>
          </w:tcPr>
          <w:p w14:paraId="0906429E">
            <w:pPr>
              <w:autoSpaceDN w:val="0"/>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val="en-US" w:eastAsia="zh-CN"/>
              </w:rPr>
              <w:t>取消</w:t>
            </w:r>
          </w:p>
        </w:tc>
        <w:tc>
          <w:tcPr>
            <w:tcW w:w="1581" w:type="dxa"/>
            <w:tcBorders>
              <w:top w:val="single" w:color="000000" w:sz="4" w:space="0"/>
              <w:left w:val="single" w:color="000000" w:sz="4" w:space="0"/>
              <w:bottom w:val="single" w:color="000000" w:sz="4" w:space="0"/>
              <w:right w:val="single" w:color="000000" w:sz="4" w:space="0"/>
            </w:tcBorders>
            <w:vAlign w:val="top"/>
          </w:tcPr>
          <w:p w14:paraId="68C63249">
            <w:pPr>
              <w:autoSpaceDN w:val="0"/>
              <w:jc w:val="center"/>
              <w:textAlignment w:val="center"/>
              <w:rPr>
                <w:rFonts w:hint="eastAsia" w:ascii="仿宋" w:hAnsi="仿宋" w:eastAsia="仿宋" w:cs="仿宋"/>
                <w:sz w:val="28"/>
                <w:szCs w:val="28"/>
                <w:lang w:val="en-US" w:eastAsia="zh-CN"/>
              </w:rPr>
            </w:pPr>
          </w:p>
          <w:p w14:paraId="5D2ACBFC">
            <w:pPr>
              <w:autoSpaceDN w:val="0"/>
              <w:jc w:val="center"/>
              <w:textAlignment w:val="center"/>
              <w:rPr>
                <w:rFonts w:hint="eastAsia" w:ascii="仿宋" w:hAnsi="仿宋" w:eastAsia="仿宋" w:cs="仿宋"/>
                <w:sz w:val="28"/>
                <w:szCs w:val="28"/>
                <w:lang w:val="en-US" w:eastAsia="zh-CN"/>
              </w:rPr>
            </w:pPr>
          </w:p>
          <w:p w14:paraId="138DAF8B">
            <w:pPr>
              <w:autoSpaceDN w:val="0"/>
              <w:jc w:val="center"/>
              <w:textAlignment w:val="center"/>
              <w:rPr>
                <w:rFonts w:hint="default" w:ascii="仿宋" w:hAnsi="仿宋" w:eastAsia="仿宋" w:cs="仿宋"/>
                <w:sz w:val="28"/>
                <w:szCs w:val="28"/>
                <w:lang w:val="en-US" w:eastAsia="zh-CN"/>
              </w:rPr>
            </w:pPr>
            <w:r>
              <w:rPr>
                <w:rFonts w:hint="eastAsia" w:ascii="仿宋_GB2312" w:hAnsi="仿宋_GB2312" w:eastAsia="仿宋_GB2312" w:cs="仿宋_GB2312"/>
                <w:color w:val="000000"/>
                <w:sz w:val="18"/>
                <w:szCs w:val="18"/>
                <w:lang w:val="en-US" w:eastAsia="zh-CN"/>
              </w:rPr>
              <w:t>依据中共桐柏县委办公室 桐柏县人民政府办公室关于印发《桐柏县城市管理局职能配置、内设机构和人员编制规定的通知》第四条第七项承担住房城乡建设领域法律、法规、规章规定的全部行政处罚权。故取消事项</w:t>
            </w:r>
          </w:p>
          <w:p w14:paraId="3A0DA3FF">
            <w:pPr>
              <w:autoSpaceDN w:val="0"/>
              <w:jc w:val="center"/>
              <w:textAlignment w:val="center"/>
              <w:rPr>
                <w:rFonts w:hint="eastAsia" w:ascii="仿宋" w:hAnsi="仿宋" w:eastAsia="仿宋" w:cs="仿宋"/>
                <w:sz w:val="28"/>
                <w:szCs w:val="28"/>
                <w:lang w:val="en-US" w:eastAsia="zh-CN"/>
              </w:rPr>
            </w:pPr>
          </w:p>
        </w:tc>
        <w:tc>
          <w:tcPr>
            <w:tcW w:w="948" w:type="dxa"/>
            <w:tcBorders>
              <w:top w:val="single" w:color="000000" w:sz="4" w:space="0"/>
              <w:left w:val="single" w:color="000000" w:sz="4" w:space="0"/>
              <w:bottom w:val="single" w:color="000000" w:sz="4" w:space="0"/>
              <w:right w:val="single" w:color="000000" w:sz="4" w:space="0"/>
            </w:tcBorders>
            <w:vAlign w:val="center"/>
          </w:tcPr>
          <w:p w14:paraId="28CE0E4C">
            <w:pPr>
              <w:autoSpaceDN w:val="0"/>
              <w:jc w:val="center"/>
              <w:textAlignment w:val="center"/>
              <w:rPr>
                <w:rFonts w:hint="eastAsia" w:ascii="仿宋" w:hAnsi="仿宋" w:eastAsia="仿宋" w:cs="仿宋"/>
                <w:sz w:val="28"/>
                <w:szCs w:val="28"/>
                <w:lang w:val="en-US" w:eastAsia="zh-CN"/>
              </w:rPr>
            </w:pPr>
          </w:p>
        </w:tc>
      </w:tr>
      <w:tr w14:paraId="3F08A643">
        <w:tblPrEx>
          <w:tblCellMar>
            <w:top w:w="0" w:type="dxa"/>
            <w:left w:w="15" w:type="dxa"/>
            <w:bottom w:w="0" w:type="dxa"/>
            <w:right w:w="15" w:type="dxa"/>
          </w:tblCellMar>
        </w:tblPrEx>
        <w:trPr>
          <w:trHeight w:val="1626"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14:paraId="0BC4C2F0">
            <w:pPr>
              <w:autoSpaceDN w:val="0"/>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13</w:t>
            </w:r>
          </w:p>
        </w:tc>
        <w:tc>
          <w:tcPr>
            <w:tcW w:w="2488" w:type="dxa"/>
            <w:tcBorders>
              <w:top w:val="single" w:color="000000" w:sz="4" w:space="0"/>
              <w:left w:val="single" w:color="000000" w:sz="4" w:space="0"/>
              <w:bottom w:val="single" w:color="000000" w:sz="4" w:space="0"/>
              <w:right w:val="single" w:color="000000" w:sz="4" w:space="0"/>
            </w:tcBorders>
            <w:vAlign w:val="center"/>
          </w:tcPr>
          <w:p w14:paraId="7AD3D697">
            <w:pPr>
              <w:autoSpaceDN w:val="0"/>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施工单位不履行人防工程保修义务或者拖延履行保修义务的处罚</w:t>
            </w:r>
          </w:p>
        </w:tc>
        <w:tc>
          <w:tcPr>
            <w:tcW w:w="4839" w:type="dxa"/>
            <w:tcBorders>
              <w:top w:val="single" w:color="000000" w:sz="4" w:space="0"/>
              <w:left w:val="single" w:color="000000" w:sz="4" w:space="0"/>
              <w:bottom w:val="single" w:color="000000" w:sz="4" w:space="0"/>
              <w:right w:val="single" w:color="000000" w:sz="4" w:space="0"/>
            </w:tcBorders>
            <w:vAlign w:val="center"/>
          </w:tcPr>
          <w:p w14:paraId="22420FA6">
            <w:pPr>
              <w:autoSpaceDN w:val="0"/>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 xml:space="preserve">【行政法规】《建设工程质量管理条例》 </w:t>
            </w:r>
            <w:r>
              <w:rPr>
                <w:rFonts w:hint="eastAsia" w:ascii="仿宋" w:hAnsi="仿宋" w:eastAsia="仿宋" w:cs="仿宋"/>
                <w:color w:val="000000"/>
                <w:sz w:val="18"/>
                <w:szCs w:val="18"/>
                <w:lang w:val="en-US" w:eastAsia="zh-CN"/>
              </w:rPr>
              <w:br w:type="textWrapping"/>
            </w:r>
            <w:r>
              <w:rPr>
                <w:rFonts w:hint="eastAsia" w:ascii="仿宋" w:hAnsi="仿宋" w:eastAsia="仿宋" w:cs="仿宋"/>
                <w:color w:val="000000"/>
                <w:sz w:val="18"/>
                <w:szCs w:val="18"/>
                <w:lang w:val="en-US" w:eastAsia="zh-CN"/>
              </w:rPr>
              <w:t>　　第六十六条   违反本条例规定，施工单位不履行保修义务或者拖延履行保修义务的，责令改正，处10万元以上20万元以下的罚款，并对在保修期内因质量缺陷造成的损失承担赔偿责任。</w:t>
            </w:r>
            <w:r>
              <w:rPr>
                <w:rFonts w:hint="eastAsia" w:ascii="仿宋" w:hAnsi="仿宋" w:eastAsia="仿宋" w:cs="仿宋"/>
                <w:color w:val="000000"/>
                <w:sz w:val="18"/>
                <w:szCs w:val="18"/>
                <w:lang w:val="en-US" w:eastAsia="zh-CN"/>
              </w:rPr>
              <w:br w:type="textWrapping"/>
            </w:r>
            <w:r>
              <w:rPr>
                <w:rFonts w:hint="eastAsia" w:ascii="仿宋" w:hAnsi="仿宋" w:eastAsia="仿宋" w:cs="仿宋"/>
                <w:color w:val="000000"/>
                <w:sz w:val="18"/>
                <w:szCs w:val="18"/>
                <w:lang w:val="en-US" w:eastAsia="zh-CN"/>
              </w:rPr>
              <w:t>《河南省人防防空工程管理办法》（河南省人民政府令第200号）第三十二条 ：“ 违反本办法规定，法律、法规已有法律责任规定的，从其规定。”</w:t>
            </w:r>
          </w:p>
        </w:tc>
        <w:tc>
          <w:tcPr>
            <w:tcW w:w="1100" w:type="dxa"/>
            <w:tcBorders>
              <w:top w:val="single" w:color="000000" w:sz="4" w:space="0"/>
              <w:left w:val="single" w:color="000000" w:sz="4" w:space="0"/>
              <w:bottom w:val="single" w:color="000000" w:sz="4" w:space="0"/>
              <w:right w:val="single" w:color="000000" w:sz="4" w:space="0"/>
            </w:tcBorders>
            <w:vAlign w:val="center"/>
          </w:tcPr>
          <w:p w14:paraId="660C2849">
            <w:pPr>
              <w:autoSpaceDN w:val="0"/>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行政处罚</w:t>
            </w:r>
          </w:p>
        </w:tc>
        <w:tc>
          <w:tcPr>
            <w:tcW w:w="1250" w:type="dxa"/>
            <w:tcBorders>
              <w:top w:val="single" w:color="000000" w:sz="4" w:space="0"/>
              <w:left w:val="single" w:color="000000" w:sz="4" w:space="0"/>
              <w:bottom w:val="single" w:color="000000" w:sz="4" w:space="0"/>
              <w:right w:val="single" w:color="000000" w:sz="4" w:space="0"/>
            </w:tcBorders>
            <w:vAlign w:val="center"/>
          </w:tcPr>
          <w:p w14:paraId="261A9A2F">
            <w:pPr>
              <w:autoSpaceDN w:val="0"/>
              <w:jc w:val="center"/>
              <w:textAlignment w:val="center"/>
              <w:rPr>
                <w:rFonts w:hint="eastAsia" w:ascii="仿宋_GB2312" w:hAnsi="仿宋_GB2312" w:eastAsia="仿宋_GB2312"/>
                <w:color w:val="000000"/>
                <w:sz w:val="24"/>
                <w:szCs w:val="24"/>
              </w:rPr>
            </w:pPr>
          </w:p>
        </w:tc>
        <w:tc>
          <w:tcPr>
            <w:tcW w:w="1073" w:type="dxa"/>
            <w:tcBorders>
              <w:top w:val="single" w:color="000000" w:sz="4" w:space="0"/>
              <w:left w:val="single" w:color="000000" w:sz="4" w:space="0"/>
              <w:bottom w:val="single" w:color="000000" w:sz="4" w:space="0"/>
              <w:right w:val="single" w:color="000000" w:sz="4" w:space="0"/>
            </w:tcBorders>
            <w:vAlign w:val="center"/>
          </w:tcPr>
          <w:p w14:paraId="121B96F2">
            <w:pPr>
              <w:autoSpaceDN w:val="0"/>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val="en-US" w:eastAsia="zh-CN"/>
              </w:rPr>
              <w:t>取消</w:t>
            </w:r>
          </w:p>
        </w:tc>
        <w:tc>
          <w:tcPr>
            <w:tcW w:w="1581" w:type="dxa"/>
            <w:tcBorders>
              <w:top w:val="single" w:color="000000" w:sz="4" w:space="0"/>
              <w:left w:val="single" w:color="000000" w:sz="4" w:space="0"/>
              <w:bottom w:val="single" w:color="000000" w:sz="4" w:space="0"/>
              <w:right w:val="single" w:color="000000" w:sz="4" w:space="0"/>
            </w:tcBorders>
            <w:vAlign w:val="top"/>
          </w:tcPr>
          <w:p w14:paraId="07903DAD">
            <w:pPr>
              <w:autoSpaceDN w:val="0"/>
              <w:jc w:val="center"/>
              <w:textAlignment w:val="center"/>
              <w:rPr>
                <w:rFonts w:hint="eastAsia" w:ascii="仿宋" w:hAnsi="仿宋" w:eastAsia="仿宋" w:cs="仿宋"/>
                <w:sz w:val="28"/>
                <w:szCs w:val="28"/>
                <w:lang w:val="en-US" w:eastAsia="zh-CN"/>
              </w:rPr>
            </w:pPr>
          </w:p>
          <w:p w14:paraId="1BA224A3">
            <w:pPr>
              <w:autoSpaceDN w:val="0"/>
              <w:jc w:val="center"/>
              <w:textAlignment w:val="center"/>
              <w:rPr>
                <w:rFonts w:hint="eastAsia" w:ascii="仿宋" w:hAnsi="仿宋" w:eastAsia="仿宋" w:cs="仿宋"/>
                <w:sz w:val="28"/>
                <w:szCs w:val="28"/>
                <w:lang w:val="en-US" w:eastAsia="zh-CN"/>
              </w:rPr>
            </w:pPr>
          </w:p>
          <w:p w14:paraId="11886184">
            <w:pPr>
              <w:autoSpaceDN w:val="0"/>
              <w:jc w:val="center"/>
              <w:textAlignment w:val="center"/>
              <w:rPr>
                <w:rFonts w:hint="default" w:ascii="仿宋" w:hAnsi="仿宋" w:eastAsia="仿宋" w:cs="仿宋"/>
                <w:sz w:val="28"/>
                <w:szCs w:val="28"/>
                <w:lang w:val="en-US" w:eastAsia="zh-CN"/>
              </w:rPr>
            </w:pPr>
            <w:r>
              <w:rPr>
                <w:rFonts w:hint="eastAsia" w:ascii="仿宋_GB2312" w:hAnsi="仿宋_GB2312" w:eastAsia="仿宋_GB2312" w:cs="仿宋_GB2312"/>
                <w:color w:val="000000"/>
                <w:sz w:val="18"/>
                <w:szCs w:val="18"/>
                <w:lang w:val="en-US" w:eastAsia="zh-CN"/>
              </w:rPr>
              <w:t>依据中共桐柏县委办公室 桐柏县人民政府办公室关于印发《桐柏县城市管理局职能配置、内设机构和人员编制规定的通知》第四条第七项承担住房城乡建设领域法律、法规、规章规定的全部行政处罚权。故取消事项</w:t>
            </w:r>
          </w:p>
          <w:p w14:paraId="77D74504">
            <w:pPr>
              <w:autoSpaceDN w:val="0"/>
              <w:jc w:val="center"/>
              <w:textAlignment w:val="center"/>
              <w:rPr>
                <w:rFonts w:hint="eastAsia" w:ascii="仿宋" w:hAnsi="仿宋" w:eastAsia="仿宋" w:cs="仿宋"/>
                <w:sz w:val="28"/>
                <w:szCs w:val="28"/>
                <w:lang w:val="en-US" w:eastAsia="zh-CN"/>
              </w:rPr>
            </w:pPr>
          </w:p>
        </w:tc>
        <w:tc>
          <w:tcPr>
            <w:tcW w:w="948" w:type="dxa"/>
            <w:tcBorders>
              <w:top w:val="single" w:color="000000" w:sz="4" w:space="0"/>
              <w:left w:val="single" w:color="000000" w:sz="4" w:space="0"/>
              <w:bottom w:val="single" w:color="000000" w:sz="4" w:space="0"/>
              <w:right w:val="single" w:color="000000" w:sz="4" w:space="0"/>
            </w:tcBorders>
            <w:vAlign w:val="center"/>
          </w:tcPr>
          <w:p w14:paraId="4E215B0C">
            <w:pPr>
              <w:autoSpaceDN w:val="0"/>
              <w:jc w:val="center"/>
              <w:textAlignment w:val="center"/>
              <w:rPr>
                <w:rFonts w:hint="eastAsia" w:ascii="仿宋" w:hAnsi="仿宋" w:eastAsia="仿宋" w:cs="仿宋"/>
                <w:sz w:val="28"/>
                <w:szCs w:val="28"/>
                <w:lang w:val="en-US" w:eastAsia="zh-CN"/>
              </w:rPr>
            </w:pPr>
          </w:p>
        </w:tc>
      </w:tr>
      <w:tr w14:paraId="2D961C65">
        <w:tblPrEx>
          <w:tblCellMar>
            <w:top w:w="0" w:type="dxa"/>
            <w:left w:w="15" w:type="dxa"/>
            <w:bottom w:w="0" w:type="dxa"/>
            <w:right w:w="15" w:type="dxa"/>
          </w:tblCellMar>
        </w:tblPrEx>
        <w:trPr>
          <w:trHeight w:val="1626"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14:paraId="3C9944FD">
            <w:pPr>
              <w:autoSpaceDN w:val="0"/>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14</w:t>
            </w:r>
          </w:p>
        </w:tc>
        <w:tc>
          <w:tcPr>
            <w:tcW w:w="2488" w:type="dxa"/>
            <w:tcBorders>
              <w:top w:val="single" w:color="000000" w:sz="4" w:space="0"/>
              <w:left w:val="single" w:color="000000" w:sz="4" w:space="0"/>
              <w:bottom w:val="single" w:color="000000" w:sz="4" w:space="0"/>
              <w:right w:val="single" w:color="000000" w:sz="4" w:space="0"/>
            </w:tcBorders>
            <w:vAlign w:val="center"/>
          </w:tcPr>
          <w:p w14:paraId="4718328A">
            <w:pPr>
              <w:autoSpaceDN w:val="0"/>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人防工程监理单位与建设单位或者施工单位串通，弄虚作假、降低工程质量或者将不合格的建设工程、建筑材料、建筑构配件和设备按照合格签字的处罚</w:t>
            </w:r>
          </w:p>
        </w:tc>
        <w:tc>
          <w:tcPr>
            <w:tcW w:w="4839" w:type="dxa"/>
            <w:tcBorders>
              <w:top w:val="single" w:color="000000" w:sz="4" w:space="0"/>
              <w:left w:val="single" w:color="000000" w:sz="4" w:space="0"/>
              <w:bottom w:val="single" w:color="000000" w:sz="4" w:space="0"/>
              <w:right w:val="single" w:color="000000" w:sz="4" w:space="0"/>
            </w:tcBorders>
            <w:vAlign w:val="center"/>
          </w:tcPr>
          <w:p w14:paraId="76419545">
            <w:pPr>
              <w:autoSpaceDN w:val="0"/>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【行政法规】《建设工程质量管理条例》</w:t>
            </w:r>
            <w:r>
              <w:rPr>
                <w:rFonts w:hint="eastAsia" w:ascii="仿宋" w:hAnsi="仿宋" w:eastAsia="仿宋" w:cs="仿宋"/>
                <w:color w:val="000000"/>
                <w:sz w:val="18"/>
                <w:szCs w:val="18"/>
                <w:lang w:val="en-US" w:eastAsia="zh-CN"/>
              </w:rPr>
              <w:br w:type="textWrapping"/>
            </w:r>
            <w:r>
              <w:rPr>
                <w:rFonts w:hint="eastAsia" w:ascii="仿宋" w:hAnsi="仿宋" w:eastAsia="仿宋" w:cs="仿宋"/>
                <w:color w:val="000000"/>
                <w:sz w:val="18"/>
                <w:szCs w:val="18"/>
                <w:lang w:val="en-US" w:eastAsia="zh-CN"/>
              </w:rPr>
              <w:t>第六十七条   工程监理单位有下列行为之一的，责令改正，处50万元以上100万元以下的罚款，降低资质等级或者吊销资质证书；有违法所得的，予以没收；造成损失的，承担连带赔偿责任：</w:t>
            </w:r>
            <w:r>
              <w:rPr>
                <w:rFonts w:hint="eastAsia" w:ascii="仿宋" w:hAnsi="仿宋" w:eastAsia="仿宋" w:cs="仿宋"/>
                <w:color w:val="000000"/>
                <w:sz w:val="18"/>
                <w:szCs w:val="18"/>
                <w:lang w:val="en-US" w:eastAsia="zh-CN"/>
              </w:rPr>
              <w:br w:type="textWrapping"/>
            </w:r>
            <w:r>
              <w:rPr>
                <w:rFonts w:hint="eastAsia" w:ascii="仿宋" w:hAnsi="仿宋" w:eastAsia="仿宋" w:cs="仿宋"/>
                <w:color w:val="000000"/>
                <w:sz w:val="18"/>
                <w:szCs w:val="18"/>
                <w:lang w:val="en-US" w:eastAsia="zh-CN"/>
              </w:rPr>
              <w:t>（一）与建设单位或者施工单位串通，弄虚作假、降低工程质量的；</w:t>
            </w:r>
            <w:r>
              <w:rPr>
                <w:rFonts w:hint="eastAsia" w:ascii="仿宋" w:hAnsi="仿宋" w:eastAsia="仿宋" w:cs="仿宋"/>
                <w:color w:val="000000"/>
                <w:sz w:val="18"/>
                <w:szCs w:val="18"/>
                <w:lang w:val="en-US" w:eastAsia="zh-CN"/>
              </w:rPr>
              <w:br w:type="textWrapping"/>
            </w:r>
            <w:r>
              <w:rPr>
                <w:rFonts w:hint="eastAsia" w:ascii="仿宋" w:hAnsi="仿宋" w:eastAsia="仿宋" w:cs="仿宋"/>
                <w:color w:val="000000"/>
                <w:sz w:val="18"/>
                <w:szCs w:val="18"/>
                <w:lang w:val="en-US" w:eastAsia="zh-CN"/>
              </w:rPr>
              <w:t>（二）将不合格的建设工程、建筑材料、建筑构配件和设备按照合格签字的。</w:t>
            </w:r>
            <w:r>
              <w:rPr>
                <w:rFonts w:hint="eastAsia" w:ascii="仿宋" w:hAnsi="仿宋" w:eastAsia="仿宋" w:cs="仿宋"/>
                <w:color w:val="000000"/>
                <w:sz w:val="18"/>
                <w:szCs w:val="18"/>
                <w:lang w:val="en-US" w:eastAsia="zh-CN"/>
              </w:rPr>
              <w:br w:type="textWrapping"/>
            </w:r>
            <w:r>
              <w:rPr>
                <w:rFonts w:hint="eastAsia" w:ascii="仿宋" w:hAnsi="仿宋" w:eastAsia="仿宋" w:cs="仿宋"/>
                <w:color w:val="000000"/>
                <w:sz w:val="18"/>
                <w:szCs w:val="18"/>
                <w:lang w:val="en-US" w:eastAsia="zh-CN"/>
              </w:rPr>
              <w:t>《河南省人防防空工程管理办法》（河南省人民政府令第200号）第三十二条 ：“ 违反本办法规定，法律、法规已有法律责任规定的，从其规定。”</w:t>
            </w:r>
          </w:p>
        </w:tc>
        <w:tc>
          <w:tcPr>
            <w:tcW w:w="1100" w:type="dxa"/>
            <w:tcBorders>
              <w:top w:val="single" w:color="000000" w:sz="4" w:space="0"/>
              <w:left w:val="single" w:color="000000" w:sz="4" w:space="0"/>
              <w:bottom w:val="single" w:color="000000" w:sz="4" w:space="0"/>
              <w:right w:val="single" w:color="000000" w:sz="4" w:space="0"/>
            </w:tcBorders>
            <w:vAlign w:val="center"/>
          </w:tcPr>
          <w:p w14:paraId="13BFB556">
            <w:pPr>
              <w:autoSpaceDN w:val="0"/>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行政处罚</w:t>
            </w:r>
          </w:p>
        </w:tc>
        <w:tc>
          <w:tcPr>
            <w:tcW w:w="1250" w:type="dxa"/>
            <w:tcBorders>
              <w:top w:val="single" w:color="000000" w:sz="4" w:space="0"/>
              <w:left w:val="single" w:color="000000" w:sz="4" w:space="0"/>
              <w:bottom w:val="single" w:color="000000" w:sz="4" w:space="0"/>
              <w:right w:val="single" w:color="000000" w:sz="4" w:space="0"/>
            </w:tcBorders>
            <w:vAlign w:val="center"/>
          </w:tcPr>
          <w:p w14:paraId="7C262295">
            <w:pPr>
              <w:autoSpaceDN w:val="0"/>
              <w:jc w:val="both"/>
              <w:textAlignment w:val="center"/>
              <w:rPr>
                <w:rFonts w:hint="eastAsia" w:ascii="仿宋_GB2312" w:hAnsi="仿宋_GB2312" w:eastAsia="仿宋_GB2312"/>
                <w:color w:val="000000"/>
                <w:sz w:val="24"/>
                <w:szCs w:val="24"/>
              </w:rPr>
            </w:pPr>
          </w:p>
        </w:tc>
        <w:tc>
          <w:tcPr>
            <w:tcW w:w="1073" w:type="dxa"/>
            <w:tcBorders>
              <w:top w:val="single" w:color="000000" w:sz="4" w:space="0"/>
              <w:left w:val="single" w:color="000000" w:sz="4" w:space="0"/>
              <w:bottom w:val="single" w:color="000000" w:sz="4" w:space="0"/>
              <w:right w:val="single" w:color="000000" w:sz="4" w:space="0"/>
            </w:tcBorders>
            <w:vAlign w:val="center"/>
          </w:tcPr>
          <w:p w14:paraId="53B63528">
            <w:pPr>
              <w:autoSpaceDN w:val="0"/>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val="en-US" w:eastAsia="zh-CN"/>
              </w:rPr>
              <w:t>取消</w:t>
            </w:r>
          </w:p>
        </w:tc>
        <w:tc>
          <w:tcPr>
            <w:tcW w:w="1581" w:type="dxa"/>
            <w:tcBorders>
              <w:top w:val="single" w:color="000000" w:sz="4" w:space="0"/>
              <w:left w:val="single" w:color="000000" w:sz="4" w:space="0"/>
              <w:bottom w:val="single" w:color="000000" w:sz="4" w:space="0"/>
              <w:right w:val="single" w:color="000000" w:sz="4" w:space="0"/>
            </w:tcBorders>
            <w:vAlign w:val="top"/>
          </w:tcPr>
          <w:p w14:paraId="101410B0">
            <w:pPr>
              <w:autoSpaceDN w:val="0"/>
              <w:jc w:val="center"/>
              <w:textAlignment w:val="center"/>
              <w:rPr>
                <w:rFonts w:hint="eastAsia" w:ascii="仿宋" w:hAnsi="仿宋" w:eastAsia="仿宋" w:cs="仿宋"/>
                <w:sz w:val="28"/>
                <w:szCs w:val="28"/>
                <w:lang w:val="en-US" w:eastAsia="zh-CN"/>
              </w:rPr>
            </w:pPr>
          </w:p>
          <w:p w14:paraId="642867F3">
            <w:pPr>
              <w:autoSpaceDN w:val="0"/>
              <w:jc w:val="center"/>
              <w:textAlignment w:val="center"/>
              <w:rPr>
                <w:rFonts w:hint="eastAsia" w:ascii="仿宋" w:hAnsi="仿宋" w:eastAsia="仿宋" w:cs="仿宋"/>
                <w:sz w:val="28"/>
                <w:szCs w:val="28"/>
                <w:lang w:val="en-US" w:eastAsia="zh-CN"/>
              </w:rPr>
            </w:pPr>
          </w:p>
          <w:p w14:paraId="5E8BC529">
            <w:pPr>
              <w:autoSpaceDN w:val="0"/>
              <w:jc w:val="center"/>
              <w:textAlignment w:val="center"/>
              <w:rPr>
                <w:rFonts w:hint="default" w:ascii="仿宋" w:hAnsi="仿宋" w:eastAsia="仿宋" w:cs="仿宋"/>
                <w:sz w:val="28"/>
                <w:szCs w:val="28"/>
                <w:lang w:val="en-US" w:eastAsia="zh-CN"/>
              </w:rPr>
            </w:pPr>
            <w:r>
              <w:rPr>
                <w:rFonts w:hint="eastAsia" w:ascii="仿宋_GB2312" w:hAnsi="仿宋_GB2312" w:eastAsia="仿宋_GB2312" w:cs="仿宋_GB2312"/>
                <w:color w:val="000000"/>
                <w:sz w:val="18"/>
                <w:szCs w:val="18"/>
                <w:lang w:val="en-US" w:eastAsia="zh-CN"/>
              </w:rPr>
              <w:t>依据中共桐柏县委办公室 桐柏县人民政府办公室关于印发《桐柏县城市管理局职能配置、内设机构和人员编制规定的通知》第四条第七项承担住房城乡建设领域法律、法规、规章规定的全部行政处罚权。故取消事项</w:t>
            </w:r>
          </w:p>
          <w:p w14:paraId="20B523B5">
            <w:pPr>
              <w:autoSpaceDN w:val="0"/>
              <w:jc w:val="center"/>
              <w:textAlignment w:val="center"/>
              <w:rPr>
                <w:rFonts w:hint="eastAsia" w:ascii="仿宋" w:hAnsi="仿宋" w:eastAsia="仿宋" w:cs="仿宋"/>
                <w:sz w:val="28"/>
                <w:szCs w:val="28"/>
                <w:lang w:val="en-US" w:eastAsia="zh-CN"/>
              </w:rPr>
            </w:pPr>
          </w:p>
        </w:tc>
        <w:tc>
          <w:tcPr>
            <w:tcW w:w="948" w:type="dxa"/>
            <w:tcBorders>
              <w:top w:val="single" w:color="000000" w:sz="4" w:space="0"/>
              <w:left w:val="single" w:color="000000" w:sz="4" w:space="0"/>
              <w:bottom w:val="single" w:color="000000" w:sz="4" w:space="0"/>
              <w:right w:val="single" w:color="000000" w:sz="4" w:space="0"/>
            </w:tcBorders>
            <w:vAlign w:val="center"/>
          </w:tcPr>
          <w:p w14:paraId="0DC6D9E9">
            <w:pPr>
              <w:autoSpaceDN w:val="0"/>
              <w:jc w:val="center"/>
              <w:textAlignment w:val="center"/>
              <w:rPr>
                <w:rFonts w:hint="eastAsia" w:ascii="仿宋" w:hAnsi="仿宋" w:eastAsia="仿宋" w:cs="仿宋"/>
                <w:sz w:val="28"/>
                <w:szCs w:val="28"/>
                <w:lang w:val="en-US" w:eastAsia="zh-CN"/>
              </w:rPr>
            </w:pPr>
          </w:p>
        </w:tc>
      </w:tr>
      <w:tr w14:paraId="1DED27E5">
        <w:tblPrEx>
          <w:tblCellMar>
            <w:top w:w="0" w:type="dxa"/>
            <w:left w:w="15" w:type="dxa"/>
            <w:bottom w:w="0" w:type="dxa"/>
            <w:right w:w="15" w:type="dxa"/>
          </w:tblCellMar>
        </w:tblPrEx>
        <w:trPr>
          <w:trHeight w:val="1626"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14:paraId="3E5362D7">
            <w:pPr>
              <w:autoSpaceDN w:val="0"/>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15</w:t>
            </w:r>
          </w:p>
        </w:tc>
        <w:tc>
          <w:tcPr>
            <w:tcW w:w="2488" w:type="dxa"/>
            <w:tcBorders>
              <w:top w:val="single" w:color="000000" w:sz="4" w:space="0"/>
              <w:left w:val="single" w:color="000000" w:sz="4" w:space="0"/>
              <w:bottom w:val="single" w:color="000000" w:sz="4" w:space="0"/>
              <w:right w:val="single" w:color="000000" w:sz="4" w:space="0"/>
            </w:tcBorders>
            <w:vAlign w:val="center"/>
          </w:tcPr>
          <w:p w14:paraId="6F4EF90B">
            <w:pPr>
              <w:autoSpaceDN w:val="0"/>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监理单位与被监理人防工程的施工承包单位以及建筑材料、建筑构配件和设备供应单位有隶属关系或者其他利害关系承担监理项目建设工程的监理业务的处罚</w:t>
            </w:r>
          </w:p>
        </w:tc>
        <w:tc>
          <w:tcPr>
            <w:tcW w:w="4839" w:type="dxa"/>
            <w:tcBorders>
              <w:top w:val="single" w:color="000000" w:sz="4" w:space="0"/>
              <w:left w:val="single" w:color="000000" w:sz="4" w:space="0"/>
              <w:bottom w:val="single" w:color="000000" w:sz="4" w:space="0"/>
              <w:right w:val="single" w:color="000000" w:sz="4" w:space="0"/>
            </w:tcBorders>
            <w:vAlign w:val="center"/>
          </w:tcPr>
          <w:p w14:paraId="6493AB64">
            <w:pPr>
              <w:autoSpaceDN w:val="0"/>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 xml:space="preserve">【行政法规】《建设工程质量管理条例》(国务院令第279号) </w:t>
            </w:r>
            <w:r>
              <w:rPr>
                <w:rFonts w:hint="eastAsia" w:ascii="仿宋" w:hAnsi="仿宋" w:eastAsia="仿宋" w:cs="仿宋"/>
                <w:color w:val="000000"/>
                <w:sz w:val="18"/>
                <w:szCs w:val="18"/>
                <w:lang w:val="en-US" w:eastAsia="zh-CN"/>
              </w:rPr>
              <w:br w:type="textWrapping"/>
            </w:r>
            <w:r>
              <w:rPr>
                <w:rFonts w:hint="eastAsia" w:ascii="仿宋" w:hAnsi="仿宋" w:eastAsia="仿宋" w:cs="仿宋"/>
                <w:color w:val="000000"/>
                <w:sz w:val="18"/>
                <w:szCs w:val="18"/>
                <w:lang w:val="en-US" w:eastAsia="zh-CN"/>
              </w:rPr>
              <w:t>　　第六十八条   违反本条例规定，工程监理单位与被监理工程的施工承包单位以及建筑材料、建筑构配件和设备供应单位有隶属关系或者有其他利害关系承担该项建设工程的监理业务的，责令改正，处5万元以上10万元以下的罚款，降低资质等级或者吊销资质证书；有违法所得的，予以没收。</w:t>
            </w:r>
            <w:r>
              <w:rPr>
                <w:rFonts w:hint="eastAsia" w:ascii="仿宋" w:hAnsi="仿宋" w:eastAsia="仿宋" w:cs="仿宋"/>
                <w:color w:val="000000"/>
                <w:sz w:val="18"/>
                <w:szCs w:val="18"/>
                <w:lang w:val="en-US" w:eastAsia="zh-CN"/>
              </w:rPr>
              <w:br w:type="textWrapping"/>
            </w:r>
            <w:r>
              <w:rPr>
                <w:rFonts w:hint="eastAsia" w:ascii="仿宋" w:hAnsi="仿宋" w:eastAsia="仿宋" w:cs="仿宋"/>
                <w:color w:val="000000"/>
                <w:sz w:val="18"/>
                <w:szCs w:val="18"/>
                <w:lang w:val="en-US" w:eastAsia="zh-CN"/>
              </w:rPr>
              <w:t>　《河南省人防防空工程管理办法》（河南省人民政府令第200号）第三十二条 ：“ 违反本办法规定，法律、法规已有法律责任规定的，从其规定。”</w:t>
            </w:r>
          </w:p>
        </w:tc>
        <w:tc>
          <w:tcPr>
            <w:tcW w:w="1100" w:type="dxa"/>
            <w:tcBorders>
              <w:top w:val="single" w:color="000000" w:sz="4" w:space="0"/>
              <w:left w:val="single" w:color="000000" w:sz="4" w:space="0"/>
              <w:bottom w:val="single" w:color="000000" w:sz="4" w:space="0"/>
              <w:right w:val="single" w:color="000000" w:sz="4" w:space="0"/>
            </w:tcBorders>
            <w:vAlign w:val="center"/>
          </w:tcPr>
          <w:p w14:paraId="0F6BB808">
            <w:pPr>
              <w:autoSpaceDN w:val="0"/>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行政处罚</w:t>
            </w:r>
          </w:p>
        </w:tc>
        <w:tc>
          <w:tcPr>
            <w:tcW w:w="1250" w:type="dxa"/>
            <w:tcBorders>
              <w:top w:val="single" w:color="000000" w:sz="4" w:space="0"/>
              <w:left w:val="single" w:color="000000" w:sz="4" w:space="0"/>
              <w:bottom w:val="single" w:color="000000" w:sz="4" w:space="0"/>
              <w:right w:val="single" w:color="000000" w:sz="4" w:space="0"/>
            </w:tcBorders>
            <w:vAlign w:val="center"/>
          </w:tcPr>
          <w:p w14:paraId="0102DE39">
            <w:pPr>
              <w:autoSpaceDN w:val="0"/>
              <w:jc w:val="center"/>
              <w:textAlignment w:val="center"/>
              <w:rPr>
                <w:rFonts w:hint="eastAsia" w:ascii="仿宋_GB2312" w:hAnsi="仿宋_GB2312" w:eastAsia="仿宋_GB2312"/>
                <w:color w:val="000000"/>
                <w:sz w:val="24"/>
                <w:szCs w:val="24"/>
              </w:rPr>
            </w:pPr>
          </w:p>
        </w:tc>
        <w:tc>
          <w:tcPr>
            <w:tcW w:w="1073" w:type="dxa"/>
            <w:tcBorders>
              <w:top w:val="single" w:color="000000" w:sz="4" w:space="0"/>
              <w:left w:val="single" w:color="000000" w:sz="4" w:space="0"/>
              <w:bottom w:val="single" w:color="000000" w:sz="4" w:space="0"/>
              <w:right w:val="single" w:color="000000" w:sz="4" w:space="0"/>
            </w:tcBorders>
            <w:vAlign w:val="center"/>
          </w:tcPr>
          <w:p w14:paraId="3B93388E">
            <w:pPr>
              <w:autoSpaceDN w:val="0"/>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val="en-US" w:eastAsia="zh-CN"/>
              </w:rPr>
              <w:t>取消</w:t>
            </w:r>
          </w:p>
        </w:tc>
        <w:tc>
          <w:tcPr>
            <w:tcW w:w="1581" w:type="dxa"/>
            <w:tcBorders>
              <w:top w:val="single" w:color="000000" w:sz="4" w:space="0"/>
              <w:left w:val="single" w:color="000000" w:sz="4" w:space="0"/>
              <w:bottom w:val="single" w:color="000000" w:sz="4" w:space="0"/>
              <w:right w:val="single" w:color="000000" w:sz="4" w:space="0"/>
            </w:tcBorders>
            <w:vAlign w:val="top"/>
          </w:tcPr>
          <w:p w14:paraId="49536857">
            <w:pPr>
              <w:autoSpaceDN w:val="0"/>
              <w:jc w:val="center"/>
              <w:textAlignment w:val="center"/>
              <w:rPr>
                <w:rFonts w:hint="eastAsia" w:ascii="仿宋" w:hAnsi="仿宋" w:eastAsia="仿宋" w:cs="仿宋"/>
                <w:sz w:val="28"/>
                <w:szCs w:val="28"/>
                <w:lang w:val="en-US" w:eastAsia="zh-CN"/>
              </w:rPr>
            </w:pPr>
          </w:p>
          <w:p w14:paraId="52F4FC4C">
            <w:pPr>
              <w:autoSpaceDN w:val="0"/>
              <w:jc w:val="center"/>
              <w:textAlignment w:val="center"/>
              <w:rPr>
                <w:rFonts w:hint="eastAsia" w:ascii="仿宋" w:hAnsi="仿宋" w:eastAsia="仿宋" w:cs="仿宋"/>
                <w:sz w:val="28"/>
                <w:szCs w:val="28"/>
                <w:lang w:val="en-US" w:eastAsia="zh-CN"/>
              </w:rPr>
            </w:pPr>
          </w:p>
          <w:p w14:paraId="66CA7DD6">
            <w:pPr>
              <w:autoSpaceDN w:val="0"/>
              <w:jc w:val="center"/>
              <w:textAlignment w:val="center"/>
              <w:rPr>
                <w:rFonts w:hint="default" w:ascii="仿宋" w:hAnsi="仿宋" w:eastAsia="仿宋" w:cs="仿宋"/>
                <w:sz w:val="28"/>
                <w:szCs w:val="28"/>
                <w:lang w:val="en-US" w:eastAsia="zh-CN"/>
              </w:rPr>
            </w:pPr>
            <w:r>
              <w:rPr>
                <w:rFonts w:hint="eastAsia" w:ascii="仿宋_GB2312" w:hAnsi="仿宋_GB2312" w:eastAsia="仿宋_GB2312" w:cs="仿宋_GB2312"/>
                <w:color w:val="000000"/>
                <w:sz w:val="18"/>
                <w:szCs w:val="18"/>
                <w:lang w:val="en-US" w:eastAsia="zh-CN"/>
              </w:rPr>
              <w:t>依据中共桐柏县委办公室 桐柏县人民政府办公室关于印发《桐柏县城市管理局职能配置、内设机构和人员编制规定的通知》第四条第七项承担住房城乡建设领域法律、法规、规章规定的全部行政处罚权。故取消事项</w:t>
            </w:r>
          </w:p>
          <w:p w14:paraId="32B9385F">
            <w:pPr>
              <w:autoSpaceDN w:val="0"/>
              <w:jc w:val="center"/>
              <w:textAlignment w:val="center"/>
              <w:rPr>
                <w:rFonts w:hint="eastAsia" w:ascii="仿宋" w:hAnsi="仿宋" w:eastAsia="仿宋" w:cs="仿宋"/>
                <w:sz w:val="28"/>
                <w:szCs w:val="28"/>
                <w:lang w:val="en-US" w:eastAsia="zh-CN"/>
              </w:rPr>
            </w:pPr>
          </w:p>
        </w:tc>
        <w:tc>
          <w:tcPr>
            <w:tcW w:w="948" w:type="dxa"/>
            <w:tcBorders>
              <w:top w:val="single" w:color="000000" w:sz="4" w:space="0"/>
              <w:left w:val="single" w:color="000000" w:sz="4" w:space="0"/>
              <w:bottom w:val="single" w:color="000000" w:sz="4" w:space="0"/>
              <w:right w:val="single" w:color="000000" w:sz="4" w:space="0"/>
            </w:tcBorders>
            <w:vAlign w:val="center"/>
          </w:tcPr>
          <w:p w14:paraId="2D72C993">
            <w:pPr>
              <w:autoSpaceDN w:val="0"/>
              <w:jc w:val="center"/>
              <w:textAlignment w:val="center"/>
              <w:rPr>
                <w:rFonts w:hint="eastAsia" w:ascii="仿宋" w:hAnsi="仿宋" w:eastAsia="仿宋" w:cs="仿宋"/>
                <w:sz w:val="28"/>
                <w:szCs w:val="28"/>
                <w:lang w:val="en-US" w:eastAsia="zh-CN"/>
              </w:rPr>
            </w:pPr>
          </w:p>
        </w:tc>
      </w:tr>
      <w:tr w14:paraId="19FC1917">
        <w:tblPrEx>
          <w:tblCellMar>
            <w:top w:w="0" w:type="dxa"/>
            <w:left w:w="15" w:type="dxa"/>
            <w:bottom w:w="0" w:type="dxa"/>
            <w:right w:w="15" w:type="dxa"/>
          </w:tblCellMar>
        </w:tblPrEx>
        <w:trPr>
          <w:trHeight w:val="1626"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14:paraId="77BAB5B0">
            <w:pPr>
              <w:autoSpaceDN w:val="0"/>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16</w:t>
            </w:r>
          </w:p>
        </w:tc>
        <w:tc>
          <w:tcPr>
            <w:tcW w:w="2488" w:type="dxa"/>
            <w:tcBorders>
              <w:top w:val="single" w:color="000000" w:sz="4" w:space="0"/>
              <w:left w:val="single" w:color="000000" w:sz="4" w:space="0"/>
              <w:bottom w:val="single" w:color="000000" w:sz="4" w:space="0"/>
              <w:right w:val="single" w:color="000000" w:sz="4" w:space="0"/>
            </w:tcBorders>
            <w:vAlign w:val="center"/>
          </w:tcPr>
          <w:p w14:paraId="5157C2EA">
            <w:pPr>
              <w:autoSpaceDN w:val="0"/>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不建防空地下室的处罚</w:t>
            </w:r>
          </w:p>
        </w:tc>
        <w:tc>
          <w:tcPr>
            <w:tcW w:w="4839" w:type="dxa"/>
            <w:tcBorders>
              <w:top w:val="single" w:color="000000" w:sz="4" w:space="0"/>
              <w:left w:val="single" w:color="000000" w:sz="4" w:space="0"/>
              <w:bottom w:val="single" w:color="000000" w:sz="4" w:space="0"/>
              <w:right w:val="single" w:color="000000" w:sz="4" w:space="0"/>
            </w:tcBorders>
            <w:vAlign w:val="center"/>
          </w:tcPr>
          <w:p w14:paraId="29A85F67">
            <w:pPr>
              <w:autoSpaceDN w:val="0"/>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中华人民共和国人民防空法》第四十八条：“城市新建民用建筑，违反国家有关规定不修建战时可用于防空的地下室的，由县级以上人民政府人民防空主管部门对当事人给予警告，并责令限期修建，可以并处十万元以下的罚款。”</w:t>
            </w:r>
            <w:r>
              <w:rPr>
                <w:rFonts w:hint="eastAsia" w:ascii="仿宋" w:hAnsi="仿宋" w:eastAsia="仿宋" w:cs="仿宋"/>
                <w:color w:val="000000"/>
                <w:sz w:val="18"/>
                <w:szCs w:val="18"/>
                <w:lang w:val="en-US" w:eastAsia="zh-CN"/>
              </w:rPr>
              <w:br w:type="textWrapping"/>
            </w:r>
            <w:r>
              <w:rPr>
                <w:rFonts w:hint="eastAsia" w:ascii="仿宋" w:hAnsi="仿宋" w:eastAsia="仿宋" w:cs="仿宋"/>
                <w:color w:val="000000"/>
                <w:sz w:val="18"/>
                <w:szCs w:val="18"/>
                <w:lang w:val="en-US" w:eastAsia="zh-CN"/>
              </w:rPr>
              <w:t>《河南省实施&lt;中华人民共和国人民防空法&gt;办法》（1998年7月24日河南省第九届人民代表大会常务委员会第四次会议通过）第二十八条：“ 城市新建民用建筑，违反《中华人民共和国人民防空法》和本办法第十二条规定不修建战时可用于防空的地下室、又不缴纳易地建设费的，由县级以上人民防空主管部门对当事人给予警告，责令限期修建或补缴易地建设费，可以并处应当修建防空地下室建筑面积每平方米三十元以上五十元以下的罚款，但罚款最高不超过十万元。</w:t>
            </w:r>
          </w:p>
        </w:tc>
        <w:tc>
          <w:tcPr>
            <w:tcW w:w="1100" w:type="dxa"/>
            <w:tcBorders>
              <w:top w:val="single" w:color="000000" w:sz="4" w:space="0"/>
              <w:left w:val="single" w:color="000000" w:sz="4" w:space="0"/>
              <w:bottom w:val="single" w:color="000000" w:sz="4" w:space="0"/>
              <w:right w:val="single" w:color="000000" w:sz="4" w:space="0"/>
            </w:tcBorders>
            <w:vAlign w:val="center"/>
          </w:tcPr>
          <w:p w14:paraId="5B4A5462">
            <w:pPr>
              <w:autoSpaceDN w:val="0"/>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行政处罚</w:t>
            </w:r>
          </w:p>
        </w:tc>
        <w:tc>
          <w:tcPr>
            <w:tcW w:w="1250" w:type="dxa"/>
            <w:tcBorders>
              <w:top w:val="single" w:color="000000" w:sz="4" w:space="0"/>
              <w:left w:val="single" w:color="000000" w:sz="4" w:space="0"/>
              <w:bottom w:val="single" w:color="000000" w:sz="4" w:space="0"/>
              <w:right w:val="single" w:color="000000" w:sz="4" w:space="0"/>
            </w:tcBorders>
            <w:vAlign w:val="center"/>
          </w:tcPr>
          <w:p w14:paraId="32463029">
            <w:pPr>
              <w:autoSpaceDN w:val="0"/>
              <w:jc w:val="both"/>
              <w:textAlignment w:val="center"/>
              <w:rPr>
                <w:rFonts w:hint="eastAsia" w:ascii="仿宋_GB2312" w:hAnsi="仿宋_GB2312" w:eastAsia="仿宋_GB2312"/>
                <w:color w:val="000000"/>
                <w:sz w:val="24"/>
                <w:szCs w:val="24"/>
              </w:rPr>
            </w:pPr>
          </w:p>
        </w:tc>
        <w:tc>
          <w:tcPr>
            <w:tcW w:w="1073" w:type="dxa"/>
            <w:tcBorders>
              <w:top w:val="single" w:color="000000" w:sz="4" w:space="0"/>
              <w:left w:val="single" w:color="000000" w:sz="4" w:space="0"/>
              <w:bottom w:val="single" w:color="000000" w:sz="4" w:space="0"/>
              <w:right w:val="single" w:color="000000" w:sz="4" w:space="0"/>
            </w:tcBorders>
            <w:vAlign w:val="center"/>
          </w:tcPr>
          <w:p w14:paraId="7575B177">
            <w:pPr>
              <w:autoSpaceDN w:val="0"/>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val="en-US" w:eastAsia="zh-CN"/>
              </w:rPr>
              <w:t>取消</w:t>
            </w:r>
          </w:p>
        </w:tc>
        <w:tc>
          <w:tcPr>
            <w:tcW w:w="1581" w:type="dxa"/>
            <w:tcBorders>
              <w:top w:val="single" w:color="000000" w:sz="4" w:space="0"/>
              <w:left w:val="single" w:color="000000" w:sz="4" w:space="0"/>
              <w:bottom w:val="single" w:color="000000" w:sz="4" w:space="0"/>
              <w:right w:val="single" w:color="000000" w:sz="4" w:space="0"/>
            </w:tcBorders>
            <w:vAlign w:val="top"/>
          </w:tcPr>
          <w:p w14:paraId="6597AAD6">
            <w:pPr>
              <w:autoSpaceDN w:val="0"/>
              <w:jc w:val="center"/>
              <w:textAlignment w:val="center"/>
              <w:rPr>
                <w:rFonts w:hint="eastAsia" w:ascii="仿宋" w:hAnsi="仿宋" w:eastAsia="仿宋" w:cs="仿宋"/>
                <w:sz w:val="28"/>
                <w:szCs w:val="28"/>
                <w:lang w:val="en-US" w:eastAsia="zh-CN"/>
              </w:rPr>
            </w:pPr>
          </w:p>
          <w:p w14:paraId="7D5D60EE">
            <w:pPr>
              <w:autoSpaceDN w:val="0"/>
              <w:jc w:val="center"/>
              <w:textAlignment w:val="center"/>
              <w:rPr>
                <w:rFonts w:hint="eastAsia" w:ascii="仿宋" w:hAnsi="仿宋" w:eastAsia="仿宋" w:cs="仿宋"/>
                <w:sz w:val="28"/>
                <w:szCs w:val="28"/>
                <w:lang w:val="en-US" w:eastAsia="zh-CN"/>
              </w:rPr>
            </w:pPr>
          </w:p>
          <w:p w14:paraId="74D049A5">
            <w:pPr>
              <w:autoSpaceDN w:val="0"/>
              <w:jc w:val="center"/>
              <w:textAlignment w:val="center"/>
              <w:rPr>
                <w:rFonts w:hint="default" w:ascii="仿宋" w:hAnsi="仿宋" w:eastAsia="仿宋" w:cs="仿宋"/>
                <w:sz w:val="28"/>
                <w:szCs w:val="28"/>
                <w:lang w:val="en-US" w:eastAsia="zh-CN"/>
              </w:rPr>
            </w:pPr>
            <w:r>
              <w:rPr>
                <w:rFonts w:hint="eastAsia" w:ascii="仿宋_GB2312" w:hAnsi="仿宋_GB2312" w:eastAsia="仿宋_GB2312" w:cs="仿宋_GB2312"/>
                <w:color w:val="000000"/>
                <w:sz w:val="18"/>
                <w:szCs w:val="18"/>
                <w:lang w:val="en-US" w:eastAsia="zh-CN"/>
              </w:rPr>
              <w:t>依据中共桐柏县委办公室 桐柏县人民政府办公室关于印发《桐柏县城市管理局职能配置、内设机构和人员编制规定的通知》第四条第七项承担住房城乡建设领域法律、法规、规章规定的全部行政处罚权。故取消事项</w:t>
            </w:r>
          </w:p>
          <w:p w14:paraId="451ACB9B">
            <w:pPr>
              <w:autoSpaceDN w:val="0"/>
              <w:jc w:val="center"/>
              <w:textAlignment w:val="center"/>
              <w:rPr>
                <w:rFonts w:hint="eastAsia" w:ascii="仿宋" w:hAnsi="仿宋" w:eastAsia="仿宋" w:cs="仿宋"/>
                <w:sz w:val="28"/>
                <w:szCs w:val="28"/>
                <w:lang w:val="en-US" w:eastAsia="zh-CN"/>
              </w:rPr>
            </w:pPr>
          </w:p>
        </w:tc>
        <w:tc>
          <w:tcPr>
            <w:tcW w:w="948" w:type="dxa"/>
            <w:tcBorders>
              <w:top w:val="single" w:color="000000" w:sz="4" w:space="0"/>
              <w:left w:val="single" w:color="000000" w:sz="4" w:space="0"/>
              <w:bottom w:val="single" w:color="000000" w:sz="4" w:space="0"/>
              <w:right w:val="single" w:color="000000" w:sz="4" w:space="0"/>
            </w:tcBorders>
            <w:vAlign w:val="center"/>
          </w:tcPr>
          <w:p w14:paraId="7B100B34">
            <w:pPr>
              <w:autoSpaceDN w:val="0"/>
              <w:jc w:val="center"/>
              <w:textAlignment w:val="center"/>
              <w:rPr>
                <w:rFonts w:hint="eastAsia" w:ascii="仿宋" w:hAnsi="仿宋" w:eastAsia="仿宋" w:cs="仿宋"/>
                <w:sz w:val="28"/>
                <w:szCs w:val="28"/>
                <w:lang w:val="en-US" w:eastAsia="zh-CN"/>
              </w:rPr>
            </w:pPr>
          </w:p>
        </w:tc>
      </w:tr>
      <w:tr w14:paraId="35DBD3EB">
        <w:tblPrEx>
          <w:tblCellMar>
            <w:top w:w="0" w:type="dxa"/>
            <w:left w:w="15" w:type="dxa"/>
            <w:bottom w:w="0" w:type="dxa"/>
            <w:right w:w="15" w:type="dxa"/>
          </w:tblCellMar>
        </w:tblPrEx>
        <w:trPr>
          <w:trHeight w:val="1626"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14:paraId="501DE86F">
            <w:pPr>
              <w:autoSpaceDN w:val="0"/>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17</w:t>
            </w:r>
          </w:p>
        </w:tc>
        <w:tc>
          <w:tcPr>
            <w:tcW w:w="2488" w:type="dxa"/>
            <w:tcBorders>
              <w:top w:val="single" w:color="000000" w:sz="4" w:space="0"/>
              <w:left w:val="single" w:color="000000" w:sz="4" w:space="0"/>
              <w:bottom w:val="single" w:color="000000" w:sz="4" w:space="0"/>
              <w:right w:val="single" w:color="000000" w:sz="4" w:space="0"/>
            </w:tcBorders>
            <w:vAlign w:val="center"/>
          </w:tcPr>
          <w:p w14:paraId="3F2F34F9">
            <w:pPr>
              <w:autoSpaceDN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建设单位未按照国家规定将人防工程竣工验收报告、有关认可文件或者准许使用文件报送人防部门备案等的处罚</w:t>
            </w:r>
          </w:p>
        </w:tc>
        <w:tc>
          <w:tcPr>
            <w:tcW w:w="4839" w:type="dxa"/>
            <w:tcBorders>
              <w:top w:val="single" w:color="000000" w:sz="4" w:space="0"/>
              <w:left w:val="single" w:color="000000" w:sz="4" w:space="0"/>
              <w:bottom w:val="single" w:color="000000" w:sz="4" w:space="0"/>
              <w:right w:val="single" w:color="000000" w:sz="4" w:space="0"/>
            </w:tcBorders>
            <w:vAlign w:val="center"/>
          </w:tcPr>
          <w:p w14:paraId="77277B5D">
            <w:pPr>
              <w:autoSpaceDN w:val="0"/>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法规】《建设工程质量管理条例》（国务院令第714号第二次修改）第五十六条：“违反本条规定，建设单位有下列行为之一的，责令改正，处20万元以上50万元以下的罚款：（一）迫使承包方以低于成本的价格竞标的；（二）任意压缩合理工期的：（三）明示或暗示设计单位或者施工单位违反工程建设强制性标准，降低工程质量的；（四）施工图设计文件未经审查或者审查不合格，擅自施工的；（五）建设项目必须实行工程监理而未实行工程监理的；（六）未按照国家规定办理工程质量监督手续的；（七） 明示或者暗示施工单位使用不合格的建筑材料、建筑构配件和设备的；（八）为按照国家规定将竣工验收报告、有关认可文件或者准许使用文件报送备案的。”</w:t>
            </w:r>
          </w:p>
        </w:tc>
        <w:tc>
          <w:tcPr>
            <w:tcW w:w="1100" w:type="dxa"/>
            <w:tcBorders>
              <w:top w:val="single" w:color="000000" w:sz="4" w:space="0"/>
              <w:left w:val="single" w:color="000000" w:sz="4" w:space="0"/>
              <w:bottom w:val="single" w:color="000000" w:sz="4" w:space="0"/>
              <w:right w:val="single" w:color="000000" w:sz="4" w:space="0"/>
            </w:tcBorders>
            <w:vAlign w:val="center"/>
          </w:tcPr>
          <w:p w14:paraId="00FC6EC7">
            <w:pPr>
              <w:autoSpaceDN w:val="0"/>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行政处罚</w:t>
            </w:r>
          </w:p>
        </w:tc>
        <w:tc>
          <w:tcPr>
            <w:tcW w:w="1250" w:type="dxa"/>
            <w:tcBorders>
              <w:top w:val="single" w:color="000000" w:sz="4" w:space="0"/>
              <w:left w:val="single" w:color="000000" w:sz="4" w:space="0"/>
              <w:bottom w:val="single" w:color="000000" w:sz="4" w:space="0"/>
              <w:right w:val="single" w:color="000000" w:sz="4" w:space="0"/>
            </w:tcBorders>
            <w:vAlign w:val="center"/>
          </w:tcPr>
          <w:p w14:paraId="73067062">
            <w:pPr>
              <w:autoSpaceDN w:val="0"/>
              <w:jc w:val="center"/>
              <w:textAlignment w:val="center"/>
              <w:rPr>
                <w:rFonts w:hint="eastAsia" w:ascii="仿宋_GB2312" w:hAnsi="仿宋_GB2312" w:eastAsia="仿宋_GB2312"/>
                <w:color w:val="000000"/>
                <w:sz w:val="24"/>
                <w:szCs w:val="24"/>
              </w:rPr>
            </w:pPr>
          </w:p>
        </w:tc>
        <w:tc>
          <w:tcPr>
            <w:tcW w:w="1073" w:type="dxa"/>
            <w:tcBorders>
              <w:top w:val="single" w:color="000000" w:sz="4" w:space="0"/>
              <w:left w:val="single" w:color="000000" w:sz="4" w:space="0"/>
              <w:bottom w:val="single" w:color="000000" w:sz="4" w:space="0"/>
              <w:right w:val="single" w:color="000000" w:sz="4" w:space="0"/>
            </w:tcBorders>
            <w:vAlign w:val="center"/>
          </w:tcPr>
          <w:p w14:paraId="3FD8E7D0">
            <w:pPr>
              <w:autoSpaceDN w:val="0"/>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val="en-US" w:eastAsia="zh-CN"/>
              </w:rPr>
              <w:t>取消</w:t>
            </w:r>
          </w:p>
        </w:tc>
        <w:tc>
          <w:tcPr>
            <w:tcW w:w="1581" w:type="dxa"/>
            <w:tcBorders>
              <w:top w:val="single" w:color="000000" w:sz="4" w:space="0"/>
              <w:left w:val="single" w:color="000000" w:sz="4" w:space="0"/>
              <w:bottom w:val="single" w:color="000000" w:sz="4" w:space="0"/>
              <w:right w:val="single" w:color="000000" w:sz="4" w:space="0"/>
            </w:tcBorders>
            <w:vAlign w:val="top"/>
          </w:tcPr>
          <w:p w14:paraId="4DD8025E">
            <w:pPr>
              <w:autoSpaceDN w:val="0"/>
              <w:jc w:val="center"/>
              <w:textAlignment w:val="center"/>
              <w:rPr>
                <w:rFonts w:hint="eastAsia" w:ascii="仿宋" w:hAnsi="仿宋" w:eastAsia="仿宋" w:cs="仿宋"/>
                <w:sz w:val="28"/>
                <w:szCs w:val="28"/>
                <w:lang w:val="en-US" w:eastAsia="zh-CN"/>
              </w:rPr>
            </w:pPr>
          </w:p>
          <w:p w14:paraId="61391C7A">
            <w:pPr>
              <w:autoSpaceDN w:val="0"/>
              <w:jc w:val="center"/>
              <w:textAlignment w:val="center"/>
              <w:rPr>
                <w:rFonts w:hint="eastAsia" w:ascii="仿宋" w:hAnsi="仿宋" w:eastAsia="仿宋" w:cs="仿宋"/>
                <w:sz w:val="28"/>
                <w:szCs w:val="28"/>
                <w:lang w:val="en-US" w:eastAsia="zh-CN"/>
              </w:rPr>
            </w:pPr>
          </w:p>
          <w:p w14:paraId="688063FD">
            <w:pPr>
              <w:autoSpaceDN w:val="0"/>
              <w:jc w:val="center"/>
              <w:textAlignment w:val="center"/>
              <w:rPr>
                <w:rFonts w:hint="default" w:ascii="仿宋" w:hAnsi="仿宋" w:eastAsia="仿宋" w:cs="仿宋"/>
                <w:sz w:val="28"/>
                <w:szCs w:val="28"/>
                <w:lang w:val="en-US" w:eastAsia="zh-CN"/>
              </w:rPr>
            </w:pPr>
            <w:r>
              <w:rPr>
                <w:rFonts w:hint="eastAsia" w:ascii="仿宋_GB2312" w:hAnsi="仿宋_GB2312" w:eastAsia="仿宋_GB2312" w:cs="仿宋_GB2312"/>
                <w:color w:val="000000"/>
                <w:sz w:val="18"/>
                <w:szCs w:val="18"/>
                <w:lang w:val="en-US" w:eastAsia="zh-CN"/>
              </w:rPr>
              <w:t>依据中共桐柏县委办公室 桐柏县人民政府办公室关于印发《桐柏县城市管理局职能配置、内设机构和人员编制规定的通知》第四条第七项承担住房城乡建设领域法律、法规、规章规定的全部行政处罚权。故取消事项</w:t>
            </w:r>
          </w:p>
          <w:p w14:paraId="31BC0235">
            <w:pPr>
              <w:autoSpaceDN w:val="0"/>
              <w:jc w:val="center"/>
              <w:textAlignment w:val="center"/>
              <w:rPr>
                <w:rFonts w:hint="eastAsia" w:ascii="仿宋" w:hAnsi="仿宋" w:eastAsia="仿宋" w:cs="仿宋"/>
                <w:sz w:val="28"/>
                <w:szCs w:val="28"/>
                <w:lang w:val="en-US" w:eastAsia="zh-CN"/>
              </w:rPr>
            </w:pPr>
          </w:p>
        </w:tc>
        <w:tc>
          <w:tcPr>
            <w:tcW w:w="948" w:type="dxa"/>
            <w:tcBorders>
              <w:top w:val="single" w:color="000000" w:sz="4" w:space="0"/>
              <w:left w:val="single" w:color="000000" w:sz="4" w:space="0"/>
              <w:bottom w:val="single" w:color="000000" w:sz="4" w:space="0"/>
              <w:right w:val="single" w:color="000000" w:sz="4" w:space="0"/>
            </w:tcBorders>
            <w:vAlign w:val="center"/>
          </w:tcPr>
          <w:p w14:paraId="610FB3FF">
            <w:pPr>
              <w:autoSpaceDN w:val="0"/>
              <w:jc w:val="center"/>
              <w:textAlignment w:val="center"/>
              <w:rPr>
                <w:rFonts w:hint="eastAsia" w:ascii="仿宋" w:hAnsi="仿宋" w:eastAsia="仿宋" w:cs="仿宋"/>
                <w:sz w:val="28"/>
                <w:szCs w:val="28"/>
                <w:lang w:val="en-US" w:eastAsia="zh-CN"/>
              </w:rPr>
            </w:pPr>
          </w:p>
        </w:tc>
      </w:tr>
      <w:tr w14:paraId="754676B6">
        <w:tblPrEx>
          <w:tblCellMar>
            <w:top w:w="0" w:type="dxa"/>
            <w:left w:w="15" w:type="dxa"/>
            <w:bottom w:w="0" w:type="dxa"/>
            <w:right w:w="15" w:type="dxa"/>
          </w:tblCellMar>
        </w:tblPrEx>
        <w:trPr>
          <w:trHeight w:val="1306" w:hRule="atLeast"/>
          <w:jc w:val="center"/>
        </w:trPr>
        <w:tc>
          <w:tcPr>
            <w:tcW w:w="13978" w:type="dxa"/>
            <w:gridSpan w:val="8"/>
            <w:tcBorders>
              <w:top w:val="single" w:color="000000" w:sz="4" w:space="0"/>
              <w:left w:val="single" w:color="000000" w:sz="4" w:space="0"/>
              <w:bottom w:val="single" w:color="000000" w:sz="4" w:space="0"/>
              <w:right w:val="single" w:color="000000" w:sz="4" w:space="0"/>
            </w:tcBorders>
          </w:tcPr>
          <w:p w14:paraId="7A925951">
            <w:pPr>
              <w:autoSpaceDN w:val="0"/>
              <w:spacing w:line="280" w:lineRule="exact"/>
              <w:jc w:val="left"/>
              <w:textAlignment w:val="center"/>
              <w:rPr>
                <w:rFonts w:ascii="仿宋_GB2312" w:hAnsi="仿宋_GB2312" w:eastAsia="仿宋_GB2312"/>
                <w:color w:val="000000"/>
                <w:sz w:val="24"/>
                <w:szCs w:val="24"/>
              </w:rPr>
            </w:pPr>
            <w:r>
              <w:rPr>
                <w:rFonts w:hint="eastAsia" w:ascii="仿宋_GB2312" w:hAnsi="仿宋_GB2312" w:eastAsia="仿宋_GB2312" w:cs="仿宋_GB2312"/>
                <w:b/>
                <w:bCs/>
                <w:color w:val="000000"/>
                <w:sz w:val="24"/>
                <w:szCs w:val="24"/>
              </w:rPr>
              <w:t>说明：</w:t>
            </w:r>
            <w:r>
              <w:rPr>
                <w:rFonts w:ascii="仿宋_GB2312" w:hAnsi="仿宋_GB2312" w:eastAsia="仿宋_GB2312"/>
                <w:color w:val="000000"/>
                <w:sz w:val="24"/>
                <w:szCs w:val="24"/>
              </w:rPr>
              <w:br w:type="textWrapping"/>
            </w:r>
            <w:r>
              <w:rPr>
                <w:rFonts w:hint="eastAsia" w:ascii="仿宋_GB2312" w:hAnsi="仿宋_GB2312" w:eastAsia="仿宋_GB2312"/>
                <w:color w:val="000000"/>
                <w:sz w:val="24"/>
                <w:szCs w:val="24"/>
              </w:rPr>
              <w:t>1.拟调整情况包括新增、取消、承接、下放、划入、划出、修改名称、修改依据等情况，可根据实际填写；拟调整原因要明确、具体；                                                                                                         2.其中修改依据、修改名称等情况需要在相应一栏中填写原名称、原依据等，修改后的新内容加下划线标注；</w:t>
            </w:r>
          </w:p>
          <w:p w14:paraId="0391EADF">
            <w:pPr>
              <w:autoSpaceDN w:val="0"/>
              <w:spacing w:line="280" w:lineRule="exact"/>
              <w:jc w:val="left"/>
              <w:textAlignment w:val="center"/>
              <w:rPr>
                <w:rFonts w:ascii="仿宋_GB2312" w:hAnsi="仿宋_GB2312" w:eastAsia="仿宋_GB2312"/>
                <w:color w:val="000000"/>
                <w:sz w:val="18"/>
              </w:rPr>
            </w:pPr>
            <w:r>
              <w:rPr>
                <w:rFonts w:hint="eastAsia" w:ascii="仿宋_GB2312" w:hAnsi="仿宋_GB2312" w:eastAsia="仿宋_GB2312"/>
                <w:color w:val="000000"/>
                <w:sz w:val="24"/>
                <w:szCs w:val="24"/>
              </w:rPr>
              <w:t>3.拟取消、下放、划出等不再由所属部门行使的行政职权，可不填责任科室。</w:t>
            </w:r>
          </w:p>
        </w:tc>
      </w:tr>
    </w:tbl>
    <w:p w14:paraId="18FCA1A5"/>
    <w:sectPr>
      <w:pgSz w:w="16838" w:h="11906" w:orient="landscape"/>
      <w:pgMar w:top="1236" w:right="1440" w:bottom="123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0000000000000000000"/>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wNjVlMzI2Y2I1ZDhkZTJiYmRmYWNiMzlkNzMxOTYifQ=="/>
  </w:docVars>
  <w:rsids>
    <w:rsidRoot w:val="00000000"/>
    <w:rsid w:val="04966A0B"/>
    <w:rsid w:val="08EB6C4F"/>
    <w:rsid w:val="0B2F0578"/>
    <w:rsid w:val="0C126BE9"/>
    <w:rsid w:val="11717F0E"/>
    <w:rsid w:val="15AF54A9"/>
    <w:rsid w:val="1A6C33A2"/>
    <w:rsid w:val="284E7463"/>
    <w:rsid w:val="2BC272BF"/>
    <w:rsid w:val="2D80195F"/>
    <w:rsid w:val="2EF064BE"/>
    <w:rsid w:val="303C70B7"/>
    <w:rsid w:val="320F1351"/>
    <w:rsid w:val="3E324248"/>
    <w:rsid w:val="4105229D"/>
    <w:rsid w:val="426B4382"/>
    <w:rsid w:val="43741A21"/>
    <w:rsid w:val="46884FFE"/>
    <w:rsid w:val="47E66258"/>
    <w:rsid w:val="49A41A01"/>
    <w:rsid w:val="4A8E2D7D"/>
    <w:rsid w:val="51E63A25"/>
    <w:rsid w:val="55794BB0"/>
    <w:rsid w:val="5CCB56DE"/>
    <w:rsid w:val="61BB487A"/>
    <w:rsid w:val="683230C8"/>
    <w:rsid w:val="6D542157"/>
    <w:rsid w:val="6DE05374"/>
    <w:rsid w:val="6F914B78"/>
    <w:rsid w:val="70962B34"/>
    <w:rsid w:val="712F289B"/>
    <w:rsid w:val="7879089F"/>
    <w:rsid w:val="7A04063C"/>
    <w:rsid w:val="7CEC1490"/>
    <w:rsid w:val="7F581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rPr>
  </w:style>
  <w:style w:type="paragraph" w:styleId="3">
    <w:name w:val="footer"/>
    <w:basedOn w:val="1"/>
    <w:unhideWhenUsed/>
    <w:qFormat/>
    <w:uiPriority w:val="99"/>
    <w:pPr>
      <w:tabs>
        <w:tab w:val="center" w:pos="4153"/>
        <w:tab w:val="right" w:pos="8306"/>
      </w:tabs>
      <w:snapToGrid w:val="0"/>
      <w:jc w:val="left"/>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7534</Words>
  <Characters>7637</Characters>
  <Lines>0</Lines>
  <Paragraphs>0</Paragraphs>
  <TotalTime>0</TotalTime>
  <ScaleCrop>false</ScaleCrop>
  <LinksUpToDate>false</LinksUpToDate>
  <CharactersWithSpaces>7848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2024-09-02T02:54:00Z</dcterms:created>
  <dc:creator>Administrator</dc:creator>
  <cp:lastModifiedBy>随便</cp:lastModifiedBy>
  <cp:lastPrinted>2025-10-24T02:55:00Z</cp:lastPrinted>
  <dcterms:modified xsi:type="dcterms:W3CDTF">2025-11-12T06:58:24Z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107175FF0E9C46059FE5CEA66DF901B3_12</vt:lpwstr>
  </property>
  <property fmtid="{D5CDD505-2E9C-101B-9397-08002B2CF9AE}" pid="4" name="KSOTemplateDocerSaveRecord">
    <vt:lpwstr>eyJoZGlkIjoiNjMxZTZjMmJmNDlkMDA0OTNhZGU4ZjI2ZTgxYjhiMTQiLCJ1c2VySWQiOiI3NzU5NTQ2MDkifQ==</vt:lpwstr>
  </property>
</Properties>
</file>