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0EB28C">
      <w:pPr>
        <w:ind w:firstLine="880"/>
        <w:jc w:val="center"/>
        <w:rPr>
          <w:rFonts w:hint="eastAsia" w:ascii="Times New Roman" w:hAnsi="Times New Roman" w:eastAsia="黑体" w:cs="Times New Roman"/>
          <w:color w:val="000000"/>
          <w:sz w:val="44"/>
          <w:szCs w:val="32"/>
          <w:lang w:val="en-US" w:eastAsia="zh-CN"/>
        </w:rPr>
      </w:pPr>
      <w:r>
        <w:rPr>
          <w:rFonts w:hint="eastAsia" w:eastAsia="黑体" w:cs="Times New Roman"/>
          <w:color w:val="000000"/>
          <w:sz w:val="44"/>
          <w:szCs w:val="32"/>
          <w:lang w:val="en-US" w:eastAsia="zh-CN"/>
        </w:rPr>
        <w:t xml:space="preserve"> </w:t>
      </w:r>
    </w:p>
    <w:p w14:paraId="17E47B8E">
      <w:pPr>
        <w:ind w:firstLine="880"/>
        <w:jc w:val="center"/>
        <w:rPr>
          <w:rFonts w:hint="default" w:ascii="Times New Roman" w:hAnsi="Times New Roman" w:eastAsia="黑体" w:cs="Times New Roman"/>
          <w:color w:val="000000"/>
          <w:sz w:val="44"/>
          <w:szCs w:val="32"/>
        </w:rPr>
      </w:pPr>
    </w:p>
    <w:p w14:paraId="3364B022">
      <w:pPr>
        <w:ind w:firstLine="880"/>
        <w:jc w:val="center"/>
        <w:rPr>
          <w:rFonts w:hint="default" w:ascii="Times New Roman" w:hAnsi="Times New Roman" w:eastAsia="黑体" w:cs="Times New Roman"/>
          <w:color w:val="000000"/>
          <w:sz w:val="44"/>
          <w:szCs w:val="32"/>
        </w:rPr>
      </w:pPr>
    </w:p>
    <w:p w14:paraId="38C5CF02">
      <w:pPr>
        <w:pStyle w:val="192"/>
        <w:spacing w:line="240" w:lineRule="auto"/>
        <w:rPr>
          <w:rFonts w:hint="default" w:ascii="Times New Roman" w:hAnsi="Times New Roman" w:cs="Times New Roman"/>
        </w:rPr>
      </w:pPr>
      <w:r>
        <w:rPr>
          <w:rFonts w:hint="default" w:ascii="Times New Roman" w:hAnsi="Times New Roman" w:cs="Times New Roman"/>
        </w:rPr>
        <w:t>中国石油化工股份有限公司</w:t>
      </w:r>
    </w:p>
    <w:p w14:paraId="17A36495">
      <w:pPr>
        <w:pStyle w:val="192"/>
        <w:spacing w:line="240" w:lineRule="auto"/>
        <w:rPr>
          <w:rFonts w:hint="default" w:ascii="Times New Roman" w:hAnsi="Times New Roman" w:cs="Times New Roman"/>
        </w:rPr>
      </w:pPr>
      <w:r>
        <w:rPr>
          <w:rFonts w:hint="default" w:ascii="Times New Roman" w:hAnsi="Times New Roman" w:cs="Times New Roman"/>
          <w:lang w:eastAsia="zh-CN"/>
        </w:rPr>
        <w:t>河南</w:t>
      </w:r>
      <w:r>
        <w:rPr>
          <w:rFonts w:hint="default" w:ascii="Times New Roman" w:hAnsi="Times New Roman" w:cs="Times New Roman"/>
        </w:rPr>
        <w:t>油田分公司采油</w:t>
      </w:r>
      <w:r>
        <w:rPr>
          <w:rFonts w:hint="default" w:ascii="Times New Roman" w:hAnsi="Times New Roman" w:cs="Times New Roman"/>
          <w:lang w:eastAsia="zh-CN"/>
        </w:rPr>
        <w:t>一</w:t>
      </w:r>
      <w:r>
        <w:rPr>
          <w:rFonts w:hint="default" w:ascii="Times New Roman" w:hAnsi="Times New Roman" w:cs="Times New Roman"/>
        </w:rPr>
        <w:t>厂自行监测方案</w:t>
      </w:r>
    </w:p>
    <w:p w14:paraId="72566E55">
      <w:pPr>
        <w:ind w:firstLine="480"/>
        <w:rPr>
          <w:rFonts w:hint="default" w:ascii="Times New Roman" w:hAnsi="Times New Roman" w:cs="Times New Roman"/>
          <w:color w:val="000000"/>
        </w:rPr>
      </w:pPr>
    </w:p>
    <w:p w14:paraId="78D3BAA5">
      <w:pPr>
        <w:ind w:firstLine="480"/>
        <w:rPr>
          <w:rFonts w:hint="default" w:ascii="Times New Roman" w:hAnsi="Times New Roman" w:cs="Times New Roman"/>
          <w:color w:val="000000"/>
        </w:rPr>
      </w:pPr>
    </w:p>
    <w:p w14:paraId="6DAC513D">
      <w:pPr>
        <w:ind w:firstLine="480"/>
        <w:rPr>
          <w:rFonts w:hint="default" w:ascii="Times New Roman" w:hAnsi="Times New Roman" w:cs="Times New Roman"/>
          <w:color w:val="000000"/>
        </w:rPr>
      </w:pPr>
    </w:p>
    <w:p w14:paraId="06B57066">
      <w:pPr>
        <w:ind w:firstLine="480"/>
        <w:rPr>
          <w:rFonts w:hint="default" w:ascii="Times New Roman" w:hAnsi="Times New Roman" w:cs="Times New Roman"/>
          <w:color w:val="000000"/>
        </w:rPr>
      </w:pPr>
    </w:p>
    <w:p w14:paraId="79A5A76F">
      <w:pPr>
        <w:ind w:firstLine="480"/>
        <w:rPr>
          <w:rFonts w:hint="default" w:ascii="Times New Roman" w:hAnsi="Times New Roman" w:cs="Times New Roman"/>
          <w:color w:val="000000"/>
        </w:rPr>
      </w:pPr>
    </w:p>
    <w:p w14:paraId="631537DF">
      <w:pPr>
        <w:ind w:firstLine="480"/>
        <w:rPr>
          <w:rFonts w:hint="default" w:ascii="Times New Roman" w:hAnsi="Times New Roman" w:cs="Times New Roman"/>
          <w:color w:val="000000"/>
        </w:rPr>
      </w:pPr>
    </w:p>
    <w:p w14:paraId="400D4B3D">
      <w:pPr>
        <w:ind w:firstLine="480"/>
        <w:rPr>
          <w:rFonts w:hint="default" w:ascii="Times New Roman" w:hAnsi="Times New Roman" w:cs="Times New Roman"/>
          <w:color w:val="000000"/>
        </w:rPr>
      </w:pPr>
    </w:p>
    <w:p w14:paraId="590C4C35">
      <w:pPr>
        <w:ind w:firstLine="480"/>
        <w:rPr>
          <w:rFonts w:hint="default" w:ascii="Times New Roman" w:hAnsi="Times New Roman" w:cs="Times New Roman"/>
          <w:color w:val="000000"/>
        </w:rPr>
      </w:pPr>
    </w:p>
    <w:p w14:paraId="47D4806B">
      <w:pPr>
        <w:ind w:firstLine="480"/>
        <w:rPr>
          <w:rFonts w:hint="default" w:ascii="Times New Roman" w:hAnsi="Times New Roman" w:cs="Times New Roman"/>
          <w:color w:val="000000"/>
        </w:rPr>
      </w:pPr>
    </w:p>
    <w:p w14:paraId="3E4F69AE">
      <w:pPr>
        <w:ind w:firstLine="480"/>
        <w:rPr>
          <w:rFonts w:hint="default" w:ascii="Times New Roman" w:hAnsi="Times New Roman" w:cs="Times New Roman"/>
          <w:color w:val="000000"/>
        </w:rPr>
      </w:pPr>
    </w:p>
    <w:p w14:paraId="079605C4">
      <w:pPr>
        <w:ind w:firstLine="480"/>
        <w:rPr>
          <w:rFonts w:hint="default" w:ascii="Times New Roman" w:hAnsi="Times New Roman" w:cs="Times New Roman"/>
          <w:color w:val="000000"/>
        </w:rPr>
      </w:pPr>
    </w:p>
    <w:p w14:paraId="2167E39B">
      <w:pPr>
        <w:ind w:firstLine="480"/>
        <w:rPr>
          <w:rFonts w:hint="default" w:ascii="Times New Roman" w:hAnsi="Times New Roman" w:cs="Times New Roman"/>
          <w:color w:val="000000"/>
        </w:rPr>
      </w:pPr>
    </w:p>
    <w:p w14:paraId="74324DCB">
      <w:pPr>
        <w:ind w:firstLine="480"/>
        <w:rPr>
          <w:rFonts w:hint="default" w:ascii="Times New Roman" w:hAnsi="Times New Roman" w:cs="Times New Roman"/>
          <w:color w:val="000000"/>
        </w:rPr>
      </w:pPr>
    </w:p>
    <w:p w14:paraId="662C35B1">
      <w:pPr>
        <w:ind w:firstLine="480"/>
        <w:rPr>
          <w:rFonts w:hint="default" w:ascii="Times New Roman" w:hAnsi="Times New Roman" w:cs="Times New Roman"/>
          <w:color w:val="000000"/>
        </w:rPr>
      </w:pPr>
    </w:p>
    <w:p w14:paraId="48DF5A62">
      <w:pPr>
        <w:ind w:firstLine="480"/>
        <w:rPr>
          <w:rFonts w:hint="default" w:ascii="Times New Roman" w:hAnsi="Times New Roman" w:cs="Times New Roman"/>
          <w:color w:val="000000"/>
        </w:rPr>
      </w:pPr>
    </w:p>
    <w:p w14:paraId="40357F76">
      <w:pPr>
        <w:snapToGrid w:val="0"/>
        <w:ind w:firstLine="0" w:firstLineChars="0"/>
        <w:rPr>
          <w:rFonts w:hint="default" w:ascii="Times New Roman" w:hAnsi="Times New Roman" w:cs="Times New Roman"/>
          <w:color w:val="000000"/>
        </w:rPr>
      </w:pPr>
    </w:p>
    <w:p w14:paraId="6CCB186C">
      <w:pPr>
        <w:snapToGrid w:val="0"/>
        <w:ind w:firstLine="0" w:firstLineChars="0"/>
        <w:rPr>
          <w:rFonts w:hint="default" w:ascii="Times New Roman" w:hAnsi="Times New Roman" w:eastAsia="黑体" w:cs="Times New Roman"/>
          <w:color w:val="000000"/>
        </w:rPr>
      </w:pPr>
    </w:p>
    <w:p w14:paraId="098157D2">
      <w:pPr>
        <w:snapToGrid w:val="0"/>
        <w:ind w:firstLine="0" w:firstLineChars="0"/>
        <w:rPr>
          <w:rFonts w:hint="default" w:ascii="Times New Roman" w:hAnsi="Times New Roman" w:eastAsia="黑体" w:cs="Times New Roman"/>
          <w:color w:val="000000"/>
        </w:rPr>
      </w:pPr>
    </w:p>
    <w:tbl>
      <w:tblPr>
        <w:tblStyle w:val="37"/>
        <w:tblW w:w="5171" w:type="pct"/>
        <w:jc w:val="center"/>
        <w:tblBorders>
          <w:top w:val="none" w:color="auto" w:sz="0" w:space="0"/>
          <w:left w:val="none" w:color="auto" w:sz="0" w:space="0"/>
          <w:bottom w:val="none" w:color="auto" w:sz="0" w:space="0"/>
          <w:right w:val="none" w:color="auto" w:sz="0" w:space="0"/>
          <w:insideH w:val="none" w:color="auto" w:sz="0" w:space="0"/>
          <w:insideV w:val="single" w:color="auto" w:sz="4" w:space="0"/>
        </w:tblBorders>
        <w:tblLayout w:type="autofit"/>
        <w:tblCellMar>
          <w:top w:w="0" w:type="dxa"/>
          <w:left w:w="108" w:type="dxa"/>
          <w:bottom w:w="0" w:type="dxa"/>
          <w:right w:w="108" w:type="dxa"/>
        </w:tblCellMar>
      </w:tblPr>
      <w:tblGrid>
        <w:gridCol w:w="8813"/>
      </w:tblGrid>
      <w:tr w14:paraId="4771B47E">
        <w:tblPrEx>
          <w:tblBorders>
            <w:top w:val="none" w:color="auto" w:sz="0" w:space="0"/>
            <w:left w:val="none" w:color="auto" w:sz="0" w:space="0"/>
            <w:bottom w:val="none" w:color="auto" w:sz="0" w:space="0"/>
            <w:right w:val="none" w:color="auto" w:sz="0" w:space="0"/>
            <w:insideH w:val="none" w:color="auto" w:sz="0" w:space="0"/>
            <w:insideV w:val="single" w:color="auto" w:sz="4" w:space="0"/>
          </w:tblBorders>
          <w:tblCellMar>
            <w:top w:w="0" w:type="dxa"/>
            <w:left w:w="108" w:type="dxa"/>
            <w:bottom w:w="0" w:type="dxa"/>
            <w:right w:w="108" w:type="dxa"/>
          </w:tblCellMar>
        </w:tblPrEx>
        <w:trPr>
          <w:trHeight w:val="497" w:hRule="atLeast"/>
          <w:jc w:val="center"/>
        </w:trPr>
        <w:tc>
          <w:tcPr>
            <w:tcW w:w="5000" w:type="pct"/>
            <w:vAlign w:val="center"/>
          </w:tcPr>
          <w:p w14:paraId="5F67B2E6">
            <w:pPr>
              <w:adjustRightInd w:val="0"/>
              <w:snapToGrid w:val="0"/>
              <w:spacing w:line="240" w:lineRule="auto"/>
              <w:ind w:firstLine="0" w:firstLineChars="0"/>
              <w:jc w:val="center"/>
              <w:rPr>
                <w:rFonts w:hint="default" w:ascii="Times New Roman" w:hAnsi="Times New Roman" w:eastAsia="方正小标宋简体" w:cs="Times New Roman"/>
                <w:kern w:val="44"/>
                <w:sz w:val="36"/>
                <w:szCs w:val="44"/>
              </w:rPr>
            </w:pPr>
            <w:r>
              <w:rPr>
                <w:rFonts w:hint="default" w:ascii="Times New Roman" w:hAnsi="Times New Roman" w:eastAsia="方正小标宋简体" w:cs="Times New Roman"/>
                <w:kern w:val="44"/>
                <w:sz w:val="36"/>
                <w:szCs w:val="44"/>
                <w:lang w:eastAsia="zh-CN"/>
              </w:rPr>
              <w:t>河南</w:t>
            </w:r>
            <w:r>
              <w:rPr>
                <w:rFonts w:hint="default" w:ascii="Times New Roman" w:hAnsi="Times New Roman" w:eastAsia="方正小标宋简体" w:cs="Times New Roman"/>
                <w:kern w:val="44"/>
                <w:sz w:val="36"/>
                <w:szCs w:val="44"/>
              </w:rPr>
              <w:t>油田分公司采油</w:t>
            </w:r>
            <w:r>
              <w:rPr>
                <w:rFonts w:hint="default" w:ascii="Times New Roman" w:hAnsi="Times New Roman" w:eastAsia="方正小标宋简体" w:cs="Times New Roman"/>
                <w:kern w:val="44"/>
                <w:sz w:val="36"/>
                <w:szCs w:val="44"/>
                <w:lang w:eastAsia="zh-CN"/>
              </w:rPr>
              <w:t>一</w:t>
            </w:r>
            <w:r>
              <w:rPr>
                <w:rFonts w:hint="default" w:ascii="Times New Roman" w:hAnsi="Times New Roman" w:eastAsia="方正小标宋简体" w:cs="Times New Roman"/>
                <w:kern w:val="44"/>
                <w:sz w:val="36"/>
                <w:szCs w:val="44"/>
              </w:rPr>
              <w:t>厂</w:t>
            </w:r>
          </w:p>
          <w:p w14:paraId="28470403">
            <w:pPr>
              <w:adjustRightInd w:val="0"/>
              <w:snapToGrid w:val="0"/>
              <w:spacing w:line="240" w:lineRule="auto"/>
              <w:ind w:firstLine="0" w:firstLineChars="0"/>
              <w:jc w:val="center"/>
              <w:rPr>
                <w:rFonts w:hint="default" w:ascii="Times New Roman" w:hAnsi="Times New Roman" w:eastAsia="黑体" w:cs="Times New Roman"/>
                <w:b/>
                <w:bCs/>
                <w:snapToGrid w:val="0"/>
                <w:color w:val="000000"/>
                <w:sz w:val="36"/>
                <w:szCs w:val="36"/>
              </w:rPr>
            </w:pPr>
            <w:r>
              <w:rPr>
                <w:rFonts w:hint="default" w:ascii="Times New Roman" w:hAnsi="Times New Roman" w:eastAsia="方正小标宋简体" w:cs="Times New Roman"/>
                <w:kern w:val="44"/>
                <w:sz w:val="36"/>
                <w:szCs w:val="44"/>
              </w:rPr>
              <w:t>2025年1月</w:t>
            </w:r>
          </w:p>
        </w:tc>
      </w:tr>
    </w:tbl>
    <w:p w14:paraId="70261199">
      <w:pPr>
        <w:ind w:firstLine="480"/>
        <w:rPr>
          <w:rFonts w:hint="default" w:ascii="Times New Roman" w:hAnsi="Times New Roman" w:cs="Times New Roman"/>
          <w:color w:val="000000"/>
        </w:rPr>
      </w:pPr>
      <w:r>
        <w:rPr>
          <w:rFonts w:hint="default" w:ascii="Times New Roman" w:hAnsi="Times New Roman" w:cs="Times New Roman"/>
          <w:color w:val="000000"/>
        </w:rPr>
        <w:br w:type="page"/>
      </w:r>
    </w:p>
    <w:p w14:paraId="291D92D9">
      <w:pPr>
        <w:ind w:firstLine="148" w:firstLineChars="62"/>
        <w:rPr>
          <w:rFonts w:hint="default" w:ascii="Times New Roman" w:hAnsi="Times New Roman" w:cs="Times New Roman"/>
          <w:color w:val="000000"/>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14:paraId="22CDEEAB">
      <w:pPr>
        <w:pStyle w:val="2"/>
        <w:rPr>
          <w:rFonts w:hint="default" w:ascii="Times New Roman" w:hAnsi="Times New Roman" w:cs="Times New Roman"/>
          <w:color w:val="000000"/>
        </w:rPr>
      </w:pPr>
      <w:bookmarkStart w:id="0" w:name="_Toc164606875"/>
      <w:r>
        <w:rPr>
          <w:rFonts w:hint="default" w:ascii="Times New Roman" w:hAnsi="Times New Roman" w:cs="Times New Roman"/>
          <w:color w:val="000000"/>
        </w:rPr>
        <w:t>企业情况</w:t>
      </w:r>
      <w:bookmarkEnd w:id="0"/>
    </w:p>
    <w:p w14:paraId="5149CBB2">
      <w:pPr>
        <w:pStyle w:val="3"/>
        <w:rPr>
          <w:rFonts w:hint="default" w:ascii="Times New Roman" w:hAnsi="Times New Roman" w:cs="Times New Roman"/>
          <w:color w:val="000000"/>
        </w:rPr>
      </w:pPr>
      <w:bookmarkStart w:id="1" w:name="_Toc164606876"/>
      <w:r>
        <w:rPr>
          <w:rFonts w:hint="default" w:ascii="Times New Roman" w:hAnsi="Times New Roman" w:cs="Times New Roman"/>
          <w:color w:val="000000"/>
        </w:rPr>
        <w:t>企业基本情况</w:t>
      </w:r>
      <w:bookmarkEnd w:id="1"/>
    </w:p>
    <w:p w14:paraId="171840A3">
      <w:pPr>
        <w:ind w:firstLine="480"/>
        <w:rPr>
          <w:rFonts w:hint="default" w:ascii="Times New Roman" w:hAnsi="Times New Roman" w:cs="Times New Roman"/>
          <w:color w:val="000000"/>
        </w:rPr>
      </w:pPr>
      <w:r>
        <w:rPr>
          <w:rFonts w:hint="default" w:ascii="Times New Roman" w:hAnsi="Times New Roman" w:cs="Times New Roman"/>
          <w:sz w:val="24"/>
          <w:highlight w:val="none"/>
        </w:rPr>
        <w:t>中国石油化工股份有限公司河南油田分公司采油一厂生产厂区位于河南省南阳市桐柏县埠江镇，统一社会信用代码914113008699511876</w:t>
      </w:r>
      <w:r>
        <w:rPr>
          <w:rFonts w:hint="default" w:ascii="Times New Roman" w:hAnsi="Times New Roman" w:cs="Times New Roman"/>
          <w:color w:val="000000"/>
        </w:rPr>
        <w:t>，所属行业为陆地石油气开采，排污许可证状态为</w:t>
      </w:r>
      <w:r>
        <w:rPr>
          <w:rFonts w:hint="default" w:ascii="Times New Roman" w:hAnsi="Times New Roman" w:cs="Times New Roman"/>
          <w:color w:val="000000"/>
          <w:lang w:eastAsia="zh-CN"/>
        </w:rPr>
        <w:t>重点</w:t>
      </w:r>
      <w:r>
        <w:rPr>
          <w:rFonts w:hint="default" w:ascii="Times New Roman" w:hAnsi="Times New Roman" w:cs="Times New Roman"/>
          <w:color w:val="000000"/>
        </w:rPr>
        <w:t>管理，主要污染物类别包括废气、废水、工业固废、噪声。</w:t>
      </w:r>
    </w:p>
    <w:p w14:paraId="18745FF2">
      <w:pPr>
        <w:pStyle w:val="99"/>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企业基本情况</w:t>
      </w:r>
    </w:p>
    <w:tbl>
      <w:tblPr>
        <w:tblStyle w:val="38"/>
        <w:tblW w:w="99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0"/>
        <w:gridCol w:w="3151"/>
        <w:gridCol w:w="1710"/>
        <w:gridCol w:w="2980"/>
      </w:tblGrid>
      <w:tr w14:paraId="5C9B2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100" w:type="dxa"/>
            <w:vAlign w:val="center"/>
          </w:tcPr>
          <w:p w14:paraId="2CF4CE2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bookmarkStart w:id="2" w:name="_Toc164606877"/>
            <w:r>
              <w:rPr>
                <w:rFonts w:hint="default" w:ascii="Times New Roman" w:hAnsi="Times New Roman" w:eastAsia="宋体" w:cs="Times New Roman"/>
                <w:spacing w:val="0"/>
                <w:kern w:val="0"/>
                <w:sz w:val="21"/>
                <w:szCs w:val="21"/>
              </w:rPr>
              <w:t>企业名称</w:t>
            </w:r>
          </w:p>
        </w:tc>
        <w:tc>
          <w:tcPr>
            <w:tcW w:w="3151" w:type="dxa"/>
            <w:vAlign w:val="center"/>
          </w:tcPr>
          <w:p w14:paraId="48DFC6A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中国石油化工股份有限公司河南油田分公司采油一厂</w:t>
            </w:r>
          </w:p>
        </w:tc>
        <w:tc>
          <w:tcPr>
            <w:tcW w:w="1710" w:type="dxa"/>
            <w:vAlign w:val="center"/>
          </w:tcPr>
          <w:p w14:paraId="6C7DE1F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法人代表</w:t>
            </w:r>
          </w:p>
        </w:tc>
        <w:tc>
          <w:tcPr>
            <w:tcW w:w="2980" w:type="dxa"/>
            <w:vAlign w:val="center"/>
          </w:tcPr>
          <w:p w14:paraId="5C0EF1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王登辉</w:t>
            </w:r>
          </w:p>
        </w:tc>
      </w:tr>
      <w:tr w14:paraId="6B194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2100" w:type="dxa"/>
            <w:vAlign w:val="center"/>
          </w:tcPr>
          <w:p w14:paraId="47B21F3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lang w:eastAsia="zh-CN"/>
              </w:rPr>
            </w:pPr>
            <w:r>
              <w:rPr>
                <w:rFonts w:hint="default" w:ascii="Times New Roman" w:hAnsi="Times New Roman" w:eastAsia="宋体" w:cs="Times New Roman"/>
                <w:spacing w:val="0"/>
                <w:kern w:val="0"/>
                <w:sz w:val="21"/>
                <w:szCs w:val="21"/>
                <w:lang w:eastAsia="zh-CN"/>
              </w:rPr>
              <w:t>企业类别</w:t>
            </w:r>
          </w:p>
        </w:tc>
        <w:tc>
          <w:tcPr>
            <w:tcW w:w="3151" w:type="dxa"/>
            <w:vAlign w:val="center"/>
          </w:tcPr>
          <w:p w14:paraId="1D2A8C3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lang w:eastAsia="zh-CN"/>
              </w:rPr>
            </w:pPr>
            <w:r>
              <w:rPr>
                <w:rFonts w:hint="default" w:ascii="Times New Roman" w:hAnsi="Times New Roman" w:eastAsia="宋体" w:cs="Times New Roman"/>
                <w:spacing w:val="0"/>
                <w:kern w:val="0"/>
                <w:sz w:val="21"/>
                <w:szCs w:val="21"/>
                <w:lang w:eastAsia="zh-CN"/>
              </w:rPr>
              <w:t>采矿类</w:t>
            </w:r>
          </w:p>
        </w:tc>
        <w:tc>
          <w:tcPr>
            <w:tcW w:w="1710" w:type="dxa"/>
            <w:vAlign w:val="center"/>
          </w:tcPr>
          <w:p w14:paraId="3BEDBBB0">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所属行业</w:t>
            </w:r>
          </w:p>
        </w:tc>
        <w:tc>
          <w:tcPr>
            <w:tcW w:w="2980" w:type="dxa"/>
            <w:vAlign w:val="center"/>
          </w:tcPr>
          <w:p w14:paraId="052E848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陆地石油开采</w:t>
            </w:r>
          </w:p>
        </w:tc>
      </w:tr>
      <w:tr w14:paraId="3D70C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9" w:hRule="atLeast"/>
          <w:jc w:val="center"/>
        </w:trPr>
        <w:tc>
          <w:tcPr>
            <w:tcW w:w="2100" w:type="dxa"/>
            <w:vAlign w:val="center"/>
          </w:tcPr>
          <w:p w14:paraId="505401C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4"/>
              </w:rPr>
            </w:pPr>
            <w:r>
              <w:rPr>
                <w:rFonts w:hint="default" w:ascii="Times New Roman" w:hAnsi="Times New Roman" w:eastAsia="宋体" w:cs="Times New Roman"/>
                <w:spacing w:val="0"/>
                <w:kern w:val="0"/>
                <w:sz w:val="21"/>
                <w:szCs w:val="24"/>
              </w:rPr>
              <w:t>统一社会信用代码</w:t>
            </w:r>
          </w:p>
        </w:tc>
        <w:tc>
          <w:tcPr>
            <w:tcW w:w="3151" w:type="dxa"/>
            <w:vAlign w:val="center"/>
          </w:tcPr>
          <w:p w14:paraId="50ED994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4"/>
              </w:rPr>
            </w:pPr>
            <w:r>
              <w:rPr>
                <w:rFonts w:hint="default" w:ascii="Times New Roman" w:hAnsi="Times New Roman" w:eastAsia="宋体" w:cs="Times New Roman"/>
                <w:spacing w:val="0"/>
                <w:kern w:val="0"/>
                <w:sz w:val="21"/>
                <w:szCs w:val="24"/>
              </w:rPr>
              <w:t>914113008699511876</w:t>
            </w:r>
          </w:p>
        </w:tc>
        <w:tc>
          <w:tcPr>
            <w:tcW w:w="1710" w:type="dxa"/>
            <w:vAlign w:val="center"/>
          </w:tcPr>
          <w:p w14:paraId="0718E74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4"/>
              </w:rPr>
            </w:pPr>
            <w:r>
              <w:rPr>
                <w:rFonts w:hint="default" w:ascii="Times New Roman" w:hAnsi="Times New Roman" w:eastAsia="宋体" w:cs="Times New Roman"/>
                <w:spacing w:val="0"/>
                <w:kern w:val="0"/>
                <w:sz w:val="21"/>
                <w:szCs w:val="24"/>
              </w:rPr>
              <w:t>地理位置</w:t>
            </w:r>
          </w:p>
        </w:tc>
        <w:tc>
          <w:tcPr>
            <w:tcW w:w="2980" w:type="dxa"/>
            <w:vAlign w:val="center"/>
          </w:tcPr>
          <w:p w14:paraId="1CD0BE5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4"/>
              </w:rPr>
            </w:pPr>
            <w:r>
              <w:rPr>
                <w:rFonts w:hint="default" w:ascii="Times New Roman" w:hAnsi="Times New Roman" w:eastAsia="宋体" w:cs="Times New Roman"/>
                <w:spacing w:val="0"/>
                <w:kern w:val="0"/>
                <w:sz w:val="21"/>
                <w:szCs w:val="24"/>
              </w:rPr>
              <w:t>河南省南阳市桐柏县埠江镇、唐河县张店镇</w:t>
            </w:r>
            <w:r>
              <w:rPr>
                <w:rFonts w:hint="default" w:ascii="Times New Roman" w:hAnsi="Times New Roman" w:eastAsia="宋体" w:cs="Times New Roman"/>
                <w:spacing w:val="0"/>
                <w:kern w:val="0"/>
                <w:sz w:val="21"/>
                <w:szCs w:val="24"/>
                <w:lang w:eastAsia="zh-CN"/>
              </w:rPr>
              <w:t>与驻马店市泌阳县</w:t>
            </w:r>
            <w:r>
              <w:rPr>
                <w:rFonts w:hint="default" w:ascii="Times New Roman" w:hAnsi="Times New Roman" w:eastAsia="宋体" w:cs="Times New Roman"/>
                <w:spacing w:val="0"/>
                <w:kern w:val="0"/>
                <w:sz w:val="21"/>
                <w:szCs w:val="24"/>
              </w:rPr>
              <w:t>境内</w:t>
            </w:r>
          </w:p>
        </w:tc>
      </w:tr>
      <w:tr w14:paraId="4E70B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2100" w:type="dxa"/>
            <w:vAlign w:val="center"/>
          </w:tcPr>
          <w:p w14:paraId="6C6518F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企业地址</w:t>
            </w:r>
          </w:p>
        </w:tc>
        <w:tc>
          <w:tcPr>
            <w:tcW w:w="3151" w:type="dxa"/>
            <w:vAlign w:val="center"/>
          </w:tcPr>
          <w:p w14:paraId="3F8B544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河南省南阳市南阳油田</w:t>
            </w:r>
          </w:p>
        </w:tc>
        <w:tc>
          <w:tcPr>
            <w:tcW w:w="1710" w:type="dxa"/>
            <w:vAlign w:val="center"/>
          </w:tcPr>
          <w:p w14:paraId="44946542">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邮政编码</w:t>
            </w:r>
          </w:p>
        </w:tc>
        <w:tc>
          <w:tcPr>
            <w:tcW w:w="2980" w:type="dxa"/>
            <w:vAlign w:val="center"/>
          </w:tcPr>
          <w:p w14:paraId="7C87C327">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473132</w:t>
            </w:r>
          </w:p>
        </w:tc>
      </w:tr>
      <w:tr w14:paraId="2B657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3" w:hRule="atLeast"/>
          <w:jc w:val="center"/>
        </w:trPr>
        <w:tc>
          <w:tcPr>
            <w:tcW w:w="2100" w:type="dxa"/>
            <w:vAlign w:val="center"/>
          </w:tcPr>
          <w:p w14:paraId="1564722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企业成立日期</w:t>
            </w:r>
          </w:p>
        </w:tc>
        <w:tc>
          <w:tcPr>
            <w:tcW w:w="3151" w:type="dxa"/>
            <w:vAlign w:val="center"/>
          </w:tcPr>
          <w:p w14:paraId="4D595C8F">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2000年08月31日</w:t>
            </w:r>
          </w:p>
        </w:tc>
        <w:tc>
          <w:tcPr>
            <w:tcW w:w="1710" w:type="dxa"/>
            <w:vAlign w:val="center"/>
          </w:tcPr>
          <w:p w14:paraId="34BB8C75">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both"/>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企业投产日期</w:t>
            </w:r>
          </w:p>
        </w:tc>
        <w:tc>
          <w:tcPr>
            <w:tcW w:w="2980" w:type="dxa"/>
            <w:vAlign w:val="center"/>
          </w:tcPr>
          <w:p w14:paraId="5BE3CAAC">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w:t>
            </w:r>
          </w:p>
        </w:tc>
      </w:tr>
      <w:tr w14:paraId="25DA8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2100" w:type="dxa"/>
            <w:vAlign w:val="center"/>
          </w:tcPr>
          <w:p w14:paraId="5A3CDFE5">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4"/>
              </w:rPr>
            </w:pPr>
            <w:r>
              <w:rPr>
                <w:rFonts w:hint="default" w:ascii="Times New Roman" w:hAnsi="Times New Roman" w:eastAsia="宋体" w:cs="Times New Roman"/>
                <w:spacing w:val="0"/>
                <w:kern w:val="0"/>
                <w:sz w:val="21"/>
                <w:szCs w:val="24"/>
              </w:rPr>
              <w:t>地理坐标</w:t>
            </w:r>
          </w:p>
        </w:tc>
        <w:tc>
          <w:tcPr>
            <w:tcW w:w="7841" w:type="dxa"/>
            <w:gridSpan w:val="3"/>
            <w:vAlign w:val="center"/>
          </w:tcPr>
          <w:p w14:paraId="3C16E5F4">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4"/>
              </w:rPr>
              <w:t>113 °2 ′7.397 ″，32 °34 ′17.652 ″</w:t>
            </w:r>
          </w:p>
        </w:tc>
      </w:tr>
      <w:tr w14:paraId="1407A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1" w:hRule="atLeast"/>
          <w:jc w:val="center"/>
        </w:trPr>
        <w:tc>
          <w:tcPr>
            <w:tcW w:w="2100" w:type="dxa"/>
            <w:vAlign w:val="center"/>
          </w:tcPr>
          <w:p w14:paraId="1EF9FB4E">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主要产品及生产能力</w:t>
            </w:r>
          </w:p>
        </w:tc>
        <w:tc>
          <w:tcPr>
            <w:tcW w:w="7841" w:type="dxa"/>
            <w:gridSpan w:val="3"/>
            <w:vAlign w:val="center"/>
          </w:tcPr>
          <w:p w14:paraId="3DA50A7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lang w:val="en-US" w:eastAsia="zh-CN"/>
              </w:rPr>
            </w:pPr>
            <w:r>
              <w:rPr>
                <w:rFonts w:hint="default" w:ascii="Times New Roman" w:hAnsi="Times New Roman" w:eastAsia="宋体" w:cs="Times New Roman"/>
                <w:spacing w:val="0"/>
                <w:kern w:val="0"/>
                <w:sz w:val="21"/>
                <w:szCs w:val="21"/>
              </w:rPr>
              <w:t>202</w:t>
            </w:r>
            <w:r>
              <w:rPr>
                <w:rFonts w:hint="default" w:ascii="Times New Roman" w:hAnsi="Times New Roman" w:eastAsia="宋体" w:cs="Times New Roman"/>
                <w:spacing w:val="0"/>
                <w:kern w:val="0"/>
                <w:sz w:val="21"/>
                <w:szCs w:val="21"/>
                <w:lang w:val="en-US" w:eastAsia="zh-CN"/>
              </w:rPr>
              <w:t>4</w:t>
            </w:r>
            <w:r>
              <w:rPr>
                <w:rFonts w:hint="default" w:ascii="Times New Roman" w:hAnsi="Times New Roman" w:eastAsia="宋体" w:cs="Times New Roman"/>
                <w:spacing w:val="0"/>
                <w:kern w:val="0"/>
                <w:sz w:val="21"/>
                <w:szCs w:val="21"/>
              </w:rPr>
              <w:t>年产原油5</w:t>
            </w:r>
            <w:r>
              <w:rPr>
                <w:rFonts w:hint="default" w:ascii="Times New Roman" w:hAnsi="Times New Roman" w:eastAsia="宋体" w:cs="Times New Roman"/>
                <w:spacing w:val="0"/>
                <w:kern w:val="0"/>
                <w:sz w:val="21"/>
                <w:szCs w:val="21"/>
                <w:lang w:val="en-US" w:eastAsia="zh-CN"/>
              </w:rPr>
              <w:t>61</w:t>
            </w:r>
            <w:r>
              <w:rPr>
                <w:rFonts w:hint="default" w:ascii="Times New Roman" w:hAnsi="Times New Roman" w:eastAsia="宋体" w:cs="Times New Roman"/>
                <w:spacing w:val="0"/>
                <w:kern w:val="0"/>
                <w:sz w:val="21"/>
                <w:szCs w:val="21"/>
              </w:rPr>
              <w:t>000吨、天然气1</w:t>
            </w:r>
            <w:r>
              <w:rPr>
                <w:rFonts w:hint="default" w:ascii="Times New Roman" w:hAnsi="Times New Roman" w:eastAsia="宋体" w:cs="Times New Roman"/>
                <w:spacing w:val="0"/>
                <w:kern w:val="0"/>
                <w:sz w:val="21"/>
                <w:szCs w:val="21"/>
                <w:lang w:val="en-US" w:eastAsia="zh-CN"/>
              </w:rPr>
              <w:t>511</w:t>
            </w:r>
            <w:r>
              <w:rPr>
                <w:rFonts w:hint="default" w:ascii="Times New Roman" w:hAnsi="Times New Roman" w:eastAsia="宋体" w:cs="Times New Roman"/>
                <w:spacing w:val="0"/>
                <w:kern w:val="0"/>
                <w:sz w:val="21"/>
                <w:szCs w:val="21"/>
              </w:rPr>
              <w:t>万m</w:t>
            </w:r>
            <w:r>
              <w:rPr>
                <w:rFonts w:hint="default" w:ascii="Times New Roman" w:hAnsi="Times New Roman" w:cs="Times New Roman"/>
                <w:spacing w:val="0"/>
                <w:kern w:val="0"/>
                <w:sz w:val="21"/>
                <w:szCs w:val="21"/>
                <w:vertAlign w:val="superscript"/>
                <w:lang w:val="en-US" w:eastAsia="zh-CN"/>
              </w:rPr>
              <w:t>3</w:t>
            </w:r>
          </w:p>
        </w:tc>
      </w:tr>
      <w:tr w14:paraId="16962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jc w:val="center"/>
        </w:trPr>
        <w:tc>
          <w:tcPr>
            <w:tcW w:w="2100" w:type="dxa"/>
            <w:vAlign w:val="center"/>
          </w:tcPr>
          <w:p w14:paraId="4999722A">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经营范围</w:t>
            </w:r>
          </w:p>
        </w:tc>
        <w:tc>
          <w:tcPr>
            <w:tcW w:w="7841" w:type="dxa"/>
            <w:gridSpan w:val="3"/>
            <w:vAlign w:val="center"/>
          </w:tcPr>
          <w:p w14:paraId="3EDB1EA8">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原油、天然气开采；石油技术服务；石油工业机械、设备维修</w:t>
            </w:r>
          </w:p>
        </w:tc>
      </w:tr>
      <w:tr w14:paraId="2E59C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2100" w:type="dxa"/>
            <w:vAlign w:val="center"/>
          </w:tcPr>
          <w:p w14:paraId="3585500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主要生产场所</w:t>
            </w:r>
          </w:p>
        </w:tc>
        <w:tc>
          <w:tcPr>
            <w:tcW w:w="7841" w:type="dxa"/>
            <w:gridSpan w:val="3"/>
            <w:vAlign w:val="center"/>
          </w:tcPr>
          <w:p w14:paraId="4D5BDC7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井场、计量站、魏岗联合站、双河联合站、江河联合站</w:t>
            </w:r>
            <w:r>
              <w:rPr>
                <w:rFonts w:hint="default" w:ascii="Times New Roman" w:hAnsi="Times New Roman" w:eastAsia="宋体" w:cs="Times New Roman"/>
                <w:spacing w:val="0"/>
                <w:kern w:val="0"/>
                <w:sz w:val="21"/>
                <w:szCs w:val="21"/>
                <w:lang w:eastAsia="zh-CN"/>
              </w:rPr>
              <w:t>、下二门联合站</w:t>
            </w:r>
            <w:r>
              <w:rPr>
                <w:rFonts w:hint="default" w:ascii="Times New Roman" w:hAnsi="Times New Roman" w:eastAsia="宋体" w:cs="Times New Roman"/>
                <w:spacing w:val="0"/>
                <w:kern w:val="0"/>
                <w:sz w:val="21"/>
                <w:szCs w:val="21"/>
              </w:rPr>
              <w:t>等油气生产处理站场</w:t>
            </w:r>
          </w:p>
        </w:tc>
      </w:tr>
      <w:tr w14:paraId="176C73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2100" w:type="dxa"/>
            <w:vAlign w:val="center"/>
          </w:tcPr>
          <w:p w14:paraId="2E22D1B1">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主要生产设备</w:t>
            </w:r>
          </w:p>
        </w:tc>
        <w:tc>
          <w:tcPr>
            <w:tcW w:w="7841" w:type="dxa"/>
            <w:gridSpan w:val="3"/>
            <w:vAlign w:val="center"/>
          </w:tcPr>
          <w:p w14:paraId="47BCB449">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default" w:ascii="Times New Roman" w:hAnsi="Times New Roman" w:eastAsia="宋体" w:cs="Times New Roman"/>
                <w:spacing w:val="0"/>
                <w:kern w:val="0"/>
                <w:sz w:val="21"/>
                <w:szCs w:val="21"/>
              </w:rPr>
            </w:pPr>
            <w:r>
              <w:rPr>
                <w:rFonts w:hint="default" w:ascii="Times New Roman" w:hAnsi="Times New Roman" w:eastAsia="宋体" w:cs="Times New Roman"/>
                <w:spacing w:val="0"/>
                <w:kern w:val="0"/>
                <w:sz w:val="21"/>
                <w:szCs w:val="21"/>
              </w:rPr>
              <w:t>抽油机、加热炉、三相分离器、缓冲罐、沉降罐、注水泵、输油泵等</w:t>
            </w:r>
          </w:p>
        </w:tc>
      </w:tr>
    </w:tbl>
    <w:p w14:paraId="7CB41285">
      <w:pPr>
        <w:pStyle w:val="4"/>
        <w:bidi w:val="0"/>
        <w:rPr>
          <w:rStyle w:val="51"/>
          <w:rFonts w:hint="default" w:ascii="Times New Roman" w:hAnsi="Times New Roman" w:cs="Times New Roman"/>
          <w:color w:val="000000"/>
        </w:rPr>
      </w:pPr>
      <w:r>
        <w:rPr>
          <w:rStyle w:val="51"/>
          <w:rFonts w:hint="default" w:ascii="Times New Roman" w:hAnsi="Times New Roman" w:cs="Times New Roman"/>
          <w:color w:val="000000"/>
        </w:rPr>
        <w:t>生产信息基本情况</w:t>
      </w:r>
      <w:bookmarkEnd w:id="2"/>
    </w:p>
    <w:p w14:paraId="7C98917B">
      <w:pPr>
        <w:spacing w:line="480" w:lineRule="auto"/>
        <w:ind w:firstLine="480"/>
        <w:rPr>
          <w:rFonts w:hint="default" w:ascii="Times New Roman" w:hAnsi="Times New Roman" w:eastAsia="宋体" w:cs="Times New Roman"/>
          <w:color w:val="000000"/>
          <w:sz w:val="24"/>
          <w:szCs w:val="22"/>
        </w:rPr>
      </w:pPr>
      <w:r>
        <w:rPr>
          <w:rFonts w:hint="default" w:ascii="Times New Roman" w:hAnsi="Times New Roman" w:eastAsia="宋体" w:cs="Times New Roman"/>
          <w:color w:val="000000"/>
          <w:sz w:val="24"/>
          <w:szCs w:val="22"/>
        </w:rPr>
        <w:t>中国石油化工股份有限公司河南油田分公司采油一厂组建于1977年8月，是中石化河南油田分公司主要生产单位之一，担负着原油开发、集输等生产任务，经过30多年的开发与建设，目前固定资产99.08亿元，202</w:t>
      </w:r>
      <w:r>
        <w:rPr>
          <w:rFonts w:hint="default" w:ascii="Times New Roman" w:hAnsi="Times New Roman" w:eastAsia="宋体" w:cs="Times New Roman"/>
          <w:color w:val="000000"/>
          <w:sz w:val="24"/>
          <w:szCs w:val="22"/>
          <w:lang w:val="en-US" w:eastAsia="zh-CN"/>
        </w:rPr>
        <w:t>4</w:t>
      </w:r>
      <w:r>
        <w:rPr>
          <w:rFonts w:hint="default" w:ascii="Times New Roman" w:hAnsi="Times New Roman" w:eastAsia="宋体" w:cs="Times New Roman"/>
          <w:color w:val="000000"/>
          <w:sz w:val="24"/>
          <w:szCs w:val="22"/>
        </w:rPr>
        <w:t>年产原油5</w:t>
      </w:r>
      <w:r>
        <w:rPr>
          <w:rFonts w:hint="default" w:ascii="Times New Roman" w:hAnsi="Times New Roman" w:eastAsia="宋体" w:cs="Times New Roman"/>
          <w:color w:val="000000"/>
          <w:sz w:val="24"/>
          <w:szCs w:val="22"/>
          <w:lang w:val="en-US" w:eastAsia="zh-CN"/>
        </w:rPr>
        <w:t>6.1</w:t>
      </w:r>
      <w:r>
        <w:rPr>
          <w:rFonts w:hint="default" w:ascii="Times New Roman" w:hAnsi="Times New Roman" w:eastAsia="宋体" w:cs="Times New Roman"/>
          <w:color w:val="000000"/>
          <w:sz w:val="24"/>
          <w:szCs w:val="22"/>
        </w:rPr>
        <w:t>万吨。采油一厂主要生产部门为</w:t>
      </w:r>
      <w:r>
        <w:rPr>
          <w:rFonts w:hint="default" w:ascii="Times New Roman" w:hAnsi="Times New Roman" w:eastAsia="宋体" w:cs="Times New Roman"/>
          <w:color w:val="000000"/>
          <w:sz w:val="24"/>
          <w:szCs w:val="22"/>
          <w:lang w:val="en-US" w:eastAsia="zh-CN"/>
        </w:rPr>
        <w:t>9</w:t>
      </w:r>
      <w:r>
        <w:rPr>
          <w:rFonts w:hint="default" w:ascii="Times New Roman" w:hAnsi="Times New Roman" w:eastAsia="宋体" w:cs="Times New Roman"/>
          <w:color w:val="000000"/>
          <w:sz w:val="24"/>
          <w:szCs w:val="22"/>
        </w:rPr>
        <w:t>个</w:t>
      </w:r>
      <w:r>
        <w:rPr>
          <w:rFonts w:hint="default" w:ascii="Times New Roman" w:hAnsi="Times New Roman" w:eastAsia="宋体" w:cs="Times New Roman"/>
          <w:color w:val="000000"/>
          <w:sz w:val="24"/>
          <w:szCs w:val="22"/>
          <w:lang w:eastAsia="zh-CN"/>
        </w:rPr>
        <w:t>巡检</w:t>
      </w:r>
      <w:r>
        <w:rPr>
          <w:rFonts w:hint="default" w:ascii="Times New Roman" w:hAnsi="Times New Roman" w:eastAsia="宋体" w:cs="Times New Roman"/>
          <w:color w:val="000000"/>
          <w:sz w:val="24"/>
          <w:szCs w:val="22"/>
        </w:rPr>
        <w:t>站（双河</w:t>
      </w:r>
      <w:r>
        <w:rPr>
          <w:rFonts w:hint="default" w:ascii="Times New Roman" w:hAnsi="Times New Roman" w:eastAsia="宋体" w:cs="Times New Roman"/>
          <w:color w:val="000000"/>
          <w:sz w:val="24"/>
          <w:szCs w:val="22"/>
          <w:lang w:eastAsia="zh-CN"/>
        </w:rPr>
        <w:t>巡检一、二</w:t>
      </w:r>
      <w:r>
        <w:rPr>
          <w:rFonts w:hint="default" w:ascii="Times New Roman" w:hAnsi="Times New Roman" w:eastAsia="宋体" w:cs="Times New Roman"/>
          <w:color w:val="000000"/>
          <w:sz w:val="24"/>
          <w:szCs w:val="22"/>
        </w:rPr>
        <w:t>站、江河</w:t>
      </w:r>
      <w:r>
        <w:rPr>
          <w:rFonts w:hint="default" w:ascii="Times New Roman" w:hAnsi="Times New Roman" w:eastAsia="宋体" w:cs="Times New Roman"/>
          <w:color w:val="000000"/>
          <w:sz w:val="24"/>
          <w:szCs w:val="22"/>
          <w:lang w:eastAsia="zh-CN"/>
        </w:rPr>
        <w:t>巡检一、二</w:t>
      </w:r>
      <w:r>
        <w:rPr>
          <w:rFonts w:hint="default" w:ascii="Times New Roman" w:hAnsi="Times New Roman" w:eastAsia="宋体" w:cs="Times New Roman"/>
          <w:color w:val="000000"/>
          <w:sz w:val="24"/>
          <w:szCs w:val="22"/>
        </w:rPr>
        <w:t>站、魏岗</w:t>
      </w:r>
      <w:r>
        <w:rPr>
          <w:rFonts w:hint="default" w:ascii="Times New Roman" w:hAnsi="Times New Roman" w:eastAsia="宋体" w:cs="Times New Roman"/>
          <w:color w:val="000000"/>
          <w:sz w:val="24"/>
          <w:szCs w:val="22"/>
          <w:lang w:eastAsia="zh-CN"/>
        </w:rPr>
        <w:t>巡检</w:t>
      </w:r>
      <w:r>
        <w:rPr>
          <w:rFonts w:hint="default" w:ascii="Times New Roman" w:hAnsi="Times New Roman" w:eastAsia="宋体" w:cs="Times New Roman"/>
          <w:color w:val="000000"/>
          <w:sz w:val="24"/>
          <w:szCs w:val="22"/>
        </w:rPr>
        <w:t>站、张店</w:t>
      </w:r>
      <w:r>
        <w:rPr>
          <w:rFonts w:hint="default" w:ascii="Times New Roman" w:hAnsi="Times New Roman" w:eastAsia="宋体" w:cs="Times New Roman"/>
          <w:color w:val="000000"/>
          <w:sz w:val="24"/>
          <w:szCs w:val="22"/>
          <w:lang w:eastAsia="zh-CN"/>
        </w:rPr>
        <w:t>巡检</w:t>
      </w:r>
      <w:r>
        <w:rPr>
          <w:rFonts w:hint="default" w:ascii="Times New Roman" w:hAnsi="Times New Roman" w:eastAsia="宋体" w:cs="Times New Roman"/>
          <w:color w:val="000000"/>
          <w:sz w:val="24"/>
          <w:szCs w:val="22"/>
        </w:rPr>
        <w:t>站、赵凹</w:t>
      </w:r>
      <w:r>
        <w:rPr>
          <w:rFonts w:hint="default" w:ascii="Times New Roman" w:hAnsi="Times New Roman" w:eastAsia="宋体" w:cs="Times New Roman"/>
          <w:color w:val="000000"/>
          <w:sz w:val="24"/>
          <w:szCs w:val="22"/>
          <w:lang w:eastAsia="zh-CN"/>
        </w:rPr>
        <w:t>巡检</w:t>
      </w:r>
      <w:r>
        <w:rPr>
          <w:rFonts w:hint="default" w:ascii="Times New Roman" w:hAnsi="Times New Roman" w:eastAsia="宋体" w:cs="Times New Roman"/>
          <w:color w:val="000000"/>
          <w:sz w:val="24"/>
          <w:szCs w:val="22"/>
        </w:rPr>
        <w:t>站</w:t>
      </w:r>
      <w:r>
        <w:rPr>
          <w:rFonts w:hint="default" w:ascii="Times New Roman" w:hAnsi="Times New Roman" w:eastAsia="宋体" w:cs="Times New Roman"/>
          <w:color w:val="000000"/>
          <w:sz w:val="24"/>
          <w:szCs w:val="22"/>
          <w:lang w:eastAsia="zh-CN"/>
        </w:rPr>
        <w:t>、下二门巡检一、二站</w:t>
      </w:r>
      <w:r>
        <w:rPr>
          <w:rFonts w:hint="default" w:ascii="Times New Roman" w:hAnsi="Times New Roman" w:eastAsia="宋体" w:cs="Times New Roman"/>
          <w:color w:val="000000"/>
          <w:sz w:val="24"/>
          <w:szCs w:val="22"/>
        </w:rPr>
        <w:t>）、</w:t>
      </w:r>
      <w:r>
        <w:rPr>
          <w:rFonts w:hint="default" w:ascii="Times New Roman" w:hAnsi="Times New Roman" w:eastAsia="宋体" w:cs="Times New Roman"/>
          <w:color w:val="000000"/>
          <w:sz w:val="24"/>
          <w:szCs w:val="22"/>
          <w:lang w:val="en-US" w:eastAsia="zh-CN"/>
        </w:rPr>
        <w:t>4</w:t>
      </w:r>
      <w:r>
        <w:rPr>
          <w:rFonts w:hint="default" w:ascii="Times New Roman" w:hAnsi="Times New Roman" w:eastAsia="宋体" w:cs="Times New Roman"/>
          <w:color w:val="000000"/>
          <w:sz w:val="24"/>
          <w:szCs w:val="22"/>
        </w:rPr>
        <w:t>个联合站（魏岗联合站、双河联合站、江河联合站</w:t>
      </w:r>
      <w:r>
        <w:rPr>
          <w:rFonts w:hint="default" w:ascii="Times New Roman" w:hAnsi="Times New Roman" w:eastAsia="宋体" w:cs="Times New Roman"/>
          <w:color w:val="000000"/>
          <w:sz w:val="24"/>
          <w:szCs w:val="22"/>
          <w:lang w:eastAsia="zh-CN"/>
        </w:rPr>
        <w:t>、下二门联合站</w:t>
      </w:r>
      <w:r>
        <w:rPr>
          <w:rFonts w:hint="default" w:ascii="Times New Roman" w:hAnsi="Times New Roman" w:eastAsia="宋体" w:cs="Times New Roman"/>
          <w:color w:val="000000"/>
          <w:sz w:val="24"/>
          <w:szCs w:val="22"/>
        </w:rPr>
        <w:t>）以及2个转油站（安棚和赵凹转油站），技术支撑部门有地质研究所和工艺研究所，全厂共有油水井2782 口，其中采油井1927口，注水井855口，计量站74座，地面设备共有1800余台。采油一厂生产区域横跨南阳市、驻马店两市的桐柏、唐河、新野、泌阳、宛城五县区，厂部位于河南省桐柏县埠江镇，距河南油田总部45 km。</w:t>
      </w:r>
    </w:p>
    <w:p w14:paraId="774268A4">
      <w:pPr>
        <w:spacing w:line="480" w:lineRule="auto"/>
        <w:ind w:left="0" w:leftChars="0" w:firstLine="480" w:firstLineChars="200"/>
        <w:rPr>
          <w:rFonts w:hint="default" w:ascii="Times New Roman" w:hAnsi="Times New Roman" w:eastAsia="宋体" w:cs="Times New Roman"/>
          <w:color w:val="000000"/>
          <w:sz w:val="24"/>
          <w:szCs w:val="22"/>
        </w:rPr>
        <w:sectPr>
          <w:headerReference r:id="rId11" w:type="default"/>
          <w:footerReference r:id="rId12" w:type="default"/>
          <w:pgSz w:w="11906" w:h="16838"/>
          <w:pgMar w:top="1440" w:right="1800" w:bottom="1440" w:left="1800" w:header="567" w:footer="567" w:gutter="0"/>
          <w:pgBorders>
            <w:top w:val="none" w:sz="0" w:space="0"/>
            <w:left w:val="none" w:sz="0" w:space="0"/>
            <w:bottom w:val="none" w:sz="0" w:space="0"/>
            <w:right w:val="none" w:sz="0" w:space="0"/>
          </w:pgBorders>
          <w:pgNumType w:start="1"/>
          <w:cols w:space="720" w:num="1"/>
          <w:docGrid w:type="lines" w:linePitch="312" w:charSpace="0"/>
        </w:sectPr>
      </w:pPr>
      <w:r>
        <w:rPr>
          <w:rFonts w:hint="default" w:ascii="Times New Roman" w:hAnsi="Times New Roman" w:eastAsia="宋体" w:cs="Times New Roman"/>
          <w:sz w:val="24"/>
          <w:szCs w:val="22"/>
          <w:highlight w:val="none"/>
        </w:rPr>
        <w:t>联合站</w:t>
      </w:r>
      <w:r>
        <w:rPr>
          <w:rFonts w:hint="default" w:ascii="Times New Roman" w:hAnsi="Times New Roman" w:eastAsia="宋体" w:cs="Times New Roman"/>
          <w:sz w:val="24"/>
          <w:szCs w:val="22"/>
          <w:highlight w:val="none"/>
          <w:lang w:eastAsia="zh-CN"/>
        </w:rPr>
        <w:t>、巡检站等</w:t>
      </w:r>
      <w:r>
        <w:rPr>
          <w:rFonts w:hint="default" w:ascii="Times New Roman" w:hAnsi="Times New Roman" w:eastAsia="宋体" w:cs="Times New Roman"/>
          <w:sz w:val="24"/>
          <w:szCs w:val="22"/>
          <w:highlight w:val="none"/>
        </w:rPr>
        <w:t>站场有加热炉</w:t>
      </w:r>
      <w:r>
        <w:rPr>
          <w:rFonts w:hint="default" w:ascii="Times New Roman" w:hAnsi="Times New Roman" w:eastAsia="宋体" w:cs="Times New Roman"/>
          <w:sz w:val="24"/>
          <w:szCs w:val="22"/>
          <w:highlight w:val="none"/>
          <w:lang w:val="en-US" w:eastAsia="zh-CN"/>
        </w:rPr>
        <w:t>2</w:t>
      </w:r>
      <w:r>
        <w:rPr>
          <w:rFonts w:hint="eastAsia" w:cs="Times New Roman"/>
          <w:sz w:val="24"/>
          <w:szCs w:val="22"/>
          <w:highlight w:val="none"/>
          <w:lang w:val="en-US" w:eastAsia="zh-CN"/>
        </w:rPr>
        <w:t>4</w:t>
      </w:r>
      <w:r>
        <w:rPr>
          <w:rFonts w:hint="default" w:ascii="Times New Roman" w:hAnsi="Times New Roman" w:eastAsia="宋体" w:cs="Times New Roman"/>
          <w:sz w:val="24"/>
          <w:szCs w:val="22"/>
          <w:highlight w:val="none"/>
          <w:lang w:val="en-US" w:eastAsia="zh-CN"/>
        </w:rPr>
        <w:t>台</w:t>
      </w:r>
      <w:r>
        <w:rPr>
          <w:rFonts w:hint="default" w:ascii="Times New Roman" w:hAnsi="Times New Roman" w:eastAsia="宋体" w:cs="Times New Roman"/>
          <w:sz w:val="24"/>
          <w:szCs w:val="22"/>
          <w:highlight w:val="none"/>
        </w:rPr>
        <w:t>、</w:t>
      </w:r>
      <w:r>
        <w:rPr>
          <w:rFonts w:hint="default" w:ascii="Times New Roman" w:hAnsi="Times New Roman" w:eastAsia="宋体" w:cs="Times New Roman"/>
          <w:sz w:val="24"/>
          <w:szCs w:val="22"/>
          <w:highlight w:val="none"/>
          <w:lang w:eastAsia="zh-CN"/>
        </w:rPr>
        <w:t>锅炉</w:t>
      </w:r>
      <w:r>
        <w:rPr>
          <w:rFonts w:hint="eastAsia" w:cs="Times New Roman"/>
          <w:sz w:val="24"/>
          <w:szCs w:val="22"/>
          <w:highlight w:val="none"/>
          <w:lang w:val="en-US" w:eastAsia="zh-CN"/>
        </w:rPr>
        <w:t>5</w:t>
      </w:r>
      <w:r>
        <w:rPr>
          <w:rFonts w:hint="default" w:ascii="Times New Roman" w:hAnsi="Times New Roman" w:eastAsia="宋体" w:cs="Times New Roman"/>
          <w:sz w:val="24"/>
          <w:szCs w:val="22"/>
          <w:highlight w:val="none"/>
          <w:lang w:val="en-US" w:eastAsia="zh-CN"/>
        </w:rPr>
        <w:t>台</w:t>
      </w:r>
      <w:r>
        <w:rPr>
          <w:rFonts w:hint="default" w:ascii="Times New Roman" w:hAnsi="Times New Roman" w:eastAsia="宋体" w:cs="Times New Roman"/>
          <w:sz w:val="24"/>
          <w:szCs w:val="22"/>
          <w:highlight w:val="none"/>
        </w:rPr>
        <w:t>。采出水处理设施</w:t>
      </w:r>
      <w:r>
        <w:rPr>
          <w:rFonts w:hint="default" w:ascii="Times New Roman" w:hAnsi="Times New Roman" w:eastAsia="宋体" w:cs="Times New Roman"/>
          <w:sz w:val="24"/>
          <w:szCs w:val="22"/>
          <w:highlight w:val="none"/>
          <w:lang w:val="en-US" w:eastAsia="zh-CN"/>
        </w:rPr>
        <w:t>5</w:t>
      </w:r>
      <w:r>
        <w:rPr>
          <w:rFonts w:hint="default" w:ascii="Times New Roman" w:hAnsi="Times New Roman" w:eastAsia="宋体" w:cs="Times New Roman"/>
          <w:sz w:val="24"/>
          <w:szCs w:val="22"/>
          <w:highlight w:val="none"/>
        </w:rPr>
        <w:t>套，均为固定集中式处理装置，采出水处理达标后回注，不外排，现有地下水监测井</w:t>
      </w:r>
      <w:r>
        <w:rPr>
          <w:rFonts w:hint="default" w:ascii="Times New Roman" w:hAnsi="Times New Roman" w:eastAsia="宋体" w:cs="Times New Roman"/>
          <w:color w:val="auto"/>
          <w:sz w:val="24"/>
          <w:szCs w:val="22"/>
          <w:highlight w:val="none"/>
          <w:lang w:val="en-US" w:eastAsia="zh-CN"/>
        </w:rPr>
        <w:t>5</w:t>
      </w:r>
      <w:r>
        <w:rPr>
          <w:rFonts w:hint="eastAsia" w:cs="Times New Roman"/>
          <w:color w:val="auto"/>
          <w:sz w:val="24"/>
          <w:szCs w:val="22"/>
          <w:highlight w:val="none"/>
          <w:lang w:val="en-US" w:eastAsia="zh-CN"/>
        </w:rPr>
        <w:t>0</w:t>
      </w:r>
      <w:r>
        <w:rPr>
          <w:rFonts w:hint="default" w:ascii="Times New Roman" w:hAnsi="Times New Roman" w:eastAsia="宋体" w:cs="Times New Roman"/>
          <w:color w:val="auto"/>
          <w:sz w:val="24"/>
          <w:szCs w:val="22"/>
          <w:highlight w:val="none"/>
        </w:rPr>
        <w:t>口</w:t>
      </w:r>
      <w:r>
        <w:rPr>
          <w:rFonts w:hint="default" w:ascii="Times New Roman" w:hAnsi="Times New Roman" w:eastAsia="宋体" w:cs="Times New Roman"/>
          <w:sz w:val="24"/>
          <w:szCs w:val="22"/>
          <w:highlight w:val="none"/>
        </w:rPr>
        <w:t>。</w:t>
      </w:r>
    </w:p>
    <w:p w14:paraId="7C35D2F6">
      <w:pPr>
        <w:pStyle w:val="2"/>
        <w:rPr>
          <w:rFonts w:hint="default" w:ascii="Times New Roman" w:hAnsi="Times New Roman" w:cs="Times New Roman"/>
          <w:color w:val="000000"/>
        </w:rPr>
      </w:pPr>
      <w:bookmarkStart w:id="3" w:name="_Toc164606884"/>
      <w:bookmarkStart w:id="4" w:name="_Hlk62457873"/>
      <w:r>
        <w:rPr>
          <w:rFonts w:hint="default" w:ascii="Times New Roman" w:hAnsi="Times New Roman" w:cs="Times New Roman"/>
          <w:color w:val="000000"/>
        </w:rPr>
        <w:t>废气、废水和噪声监测</w:t>
      </w:r>
      <w:bookmarkEnd w:id="3"/>
      <w:r>
        <w:rPr>
          <w:rFonts w:hint="default" w:ascii="Times New Roman" w:hAnsi="Times New Roman" w:cs="Times New Roman"/>
          <w:color w:val="000000"/>
        </w:rPr>
        <w:t>（污染源监测）</w:t>
      </w:r>
    </w:p>
    <w:p w14:paraId="37EB1BCE">
      <w:pPr>
        <w:pStyle w:val="3"/>
        <w:rPr>
          <w:rFonts w:hint="default" w:ascii="Times New Roman" w:hAnsi="Times New Roman" w:cs="Times New Roman"/>
          <w:color w:val="000000"/>
        </w:rPr>
      </w:pPr>
      <w:bookmarkStart w:id="5" w:name="_Toc164606885"/>
      <w:r>
        <w:rPr>
          <w:rFonts w:hint="default" w:ascii="Times New Roman" w:hAnsi="Times New Roman" w:cs="Times New Roman"/>
          <w:color w:val="000000"/>
        </w:rPr>
        <w:t>废气监测</w:t>
      </w:r>
      <w:bookmarkEnd w:id="5"/>
    </w:p>
    <w:p w14:paraId="5196922A">
      <w:pPr>
        <w:pStyle w:val="4"/>
        <w:rPr>
          <w:rFonts w:hint="default" w:ascii="Times New Roman" w:hAnsi="Times New Roman" w:cs="Times New Roman"/>
          <w:color w:val="000000"/>
        </w:rPr>
      </w:pPr>
      <w:bookmarkStart w:id="6" w:name="_Toc164606886"/>
      <w:r>
        <w:rPr>
          <w:rFonts w:hint="default" w:ascii="Times New Roman" w:hAnsi="Times New Roman" w:cs="Times New Roman"/>
          <w:color w:val="000000"/>
        </w:rPr>
        <w:t>有组织废气</w:t>
      </w:r>
      <w:bookmarkEnd w:id="6"/>
    </w:p>
    <w:p w14:paraId="52AF9C4C">
      <w:pPr>
        <w:pStyle w:val="188"/>
        <w:ind w:firstLine="480"/>
        <w:rPr>
          <w:rFonts w:hint="default" w:ascii="Times New Roman" w:hAnsi="Times New Roman" w:cs="Times New Roman"/>
          <w:highlight w:val="none"/>
        </w:rPr>
      </w:pPr>
      <w:r>
        <w:rPr>
          <w:rFonts w:hint="default" w:ascii="Times New Roman" w:hAnsi="Times New Roman" w:cs="Times New Roman"/>
          <w:color w:val="000000"/>
        </w:rPr>
        <w:t>加热炉烟气监测主</w:t>
      </w:r>
      <w:r>
        <w:rPr>
          <w:rFonts w:hint="default" w:ascii="Times New Roman" w:hAnsi="Times New Roman" w:cs="Times New Roman"/>
        </w:rPr>
        <w:t>要包括NOx、颗粒物</w:t>
      </w:r>
      <w:r>
        <w:rPr>
          <w:rFonts w:hint="default" w:ascii="Times New Roman" w:hAnsi="Times New Roman" w:cs="Times New Roman"/>
          <w:highlight w:val="none"/>
        </w:rPr>
        <w:t>、SO</w:t>
      </w:r>
      <w:r>
        <w:rPr>
          <w:rFonts w:hint="default" w:ascii="Times New Roman" w:hAnsi="Times New Roman" w:cs="Times New Roman"/>
          <w:highlight w:val="none"/>
          <w:vertAlign w:val="subscript"/>
        </w:rPr>
        <w:t>2</w:t>
      </w:r>
      <w:r>
        <w:rPr>
          <w:rFonts w:hint="default" w:ascii="Times New Roman" w:hAnsi="Times New Roman" w:cs="Times New Roman"/>
          <w:highlight w:val="none"/>
        </w:rPr>
        <w:t>、林格曼黑度等4项指标；加热炉废气污染物排放执行</w:t>
      </w:r>
      <w:r>
        <w:rPr>
          <w:rFonts w:hint="default" w:ascii="Times New Roman" w:hAnsi="Times New Roman" w:cs="Times New Roman"/>
          <w:highlight w:val="none"/>
          <w:lang w:eastAsia="zh-CN"/>
        </w:rPr>
        <w:t>《</w:t>
      </w:r>
      <w:r>
        <w:rPr>
          <w:rFonts w:hint="default" w:ascii="Times New Roman" w:hAnsi="Times New Roman" w:cs="Times New Roman"/>
          <w:highlight w:val="none"/>
        </w:rPr>
        <w:t>锅炉大气污染物排放标准</w:t>
      </w:r>
      <w:r>
        <w:rPr>
          <w:rFonts w:hint="default" w:ascii="Times New Roman" w:hAnsi="Times New Roman" w:cs="Times New Roman"/>
          <w:highlight w:val="none"/>
          <w:lang w:eastAsia="zh-CN"/>
        </w:rPr>
        <w:t>》</w:t>
      </w:r>
      <w:r>
        <w:rPr>
          <w:rFonts w:hint="default" w:ascii="Times New Roman" w:hAnsi="Times New Roman" w:cs="Times New Roman"/>
          <w:highlight w:val="none"/>
        </w:rPr>
        <w:t>（DB 41 2089-2021）。</w:t>
      </w:r>
    </w:p>
    <w:p w14:paraId="360BEDA5">
      <w:pPr>
        <w:pStyle w:val="188"/>
        <w:ind w:firstLine="480"/>
        <w:rPr>
          <w:rFonts w:hint="default" w:ascii="Times New Roman" w:hAnsi="Times New Roman" w:cs="Times New Roman"/>
          <w:highlight w:val="none"/>
        </w:rPr>
      </w:pPr>
      <w:r>
        <w:rPr>
          <w:rFonts w:hint="default" w:ascii="Times New Roman" w:hAnsi="Times New Roman" w:cs="Times New Roman"/>
          <w:highlight w:val="none"/>
        </w:rPr>
        <w:t>VOCs治理设施排气筒监测非甲烷总烃；非甲烷总烃执行《关于全省开展工业企业挥发性有机物专项治理工作中排放建议值的通知》（豫环攻坚办</w:t>
      </w:r>
      <w:r>
        <w:rPr>
          <w:rFonts w:hint="default" w:ascii="Times New Roman" w:hAnsi="Times New Roman" w:eastAsia="宋体" w:cs="Times New Roman"/>
          <w:highlight w:val="none"/>
        </w:rPr>
        <w:t>〔</w:t>
      </w:r>
      <w:r>
        <w:rPr>
          <w:rFonts w:hint="default" w:ascii="Times New Roman" w:hAnsi="Times New Roman" w:cs="Times New Roman"/>
          <w:highlight w:val="none"/>
        </w:rPr>
        <w:t>2017</w:t>
      </w:r>
      <w:r>
        <w:rPr>
          <w:rFonts w:hint="default" w:ascii="Times New Roman" w:hAnsi="Times New Roman" w:eastAsia="宋体" w:cs="Times New Roman"/>
          <w:highlight w:val="none"/>
        </w:rPr>
        <w:t>〕</w:t>
      </w:r>
      <w:r>
        <w:rPr>
          <w:rFonts w:hint="default" w:ascii="Times New Roman" w:hAnsi="Times New Roman" w:cs="Times New Roman"/>
          <w:highlight w:val="none"/>
        </w:rPr>
        <w:t>162号）</w:t>
      </w:r>
      <w:r>
        <w:rPr>
          <w:rFonts w:hint="default" w:ascii="Times New Roman" w:hAnsi="Times New Roman" w:cs="Times New Roman"/>
          <w:highlight w:val="none"/>
          <w:lang w:val="en-US" w:eastAsia="zh-CN"/>
        </w:rPr>
        <w:t>相关限制标准要求</w:t>
      </w:r>
      <w:r>
        <w:rPr>
          <w:rFonts w:hint="default" w:ascii="Times New Roman" w:hAnsi="Times New Roman" w:cs="Times New Roman"/>
          <w:highlight w:val="none"/>
        </w:rPr>
        <w:t>。</w:t>
      </w:r>
    </w:p>
    <w:p w14:paraId="456FE65E">
      <w:pPr>
        <w:pStyle w:val="96"/>
        <w:spacing w:before="156"/>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表 </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SEQ 表 \* ARABIC</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2</w:t>
      </w:r>
      <w:r>
        <w:rPr>
          <w:rFonts w:hint="default" w:ascii="Times New Roman" w:hAnsi="Times New Roman" w:cs="Times New Roman"/>
          <w:color w:val="000000"/>
          <w:highlight w:val="none"/>
        </w:rPr>
        <w:fldChar w:fldCharType="end"/>
      </w:r>
      <w:r>
        <w:rPr>
          <w:rFonts w:hint="default" w:ascii="Times New Roman" w:hAnsi="Times New Roman" w:cs="Times New Roman"/>
          <w:color w:val="000000"/>
          <w:highlight w:val="none"/>
        </w:rPr>
        <w:t xml:space="preserve"> 有组织废气监测</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24"/>
        <w:gridCol w:w="2048"/>
        <w:gridCol w:w="4750"/>
        <w:gridCol w:w="3429"/>
        <w:gridCol w:w="1829"/>
      </w:tblGrid>
      <w:tr w14:paraId="2328B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shd w:val="clear" w:color="auto" w:fill="auto"/>
            <w:tcMar>
              <w:left w:w="11" w:type="dxa"/>
              <w:right w:w="11" w:type="dxa"/>
            </w:tcMar>
            <w:vAlign w:val="center"/>
          </w:tcPr>
          <w:p w14:paraId="70E5759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类别</w:t>
            </w:r>
          </w:p>
        </w:tc>
        <w:tc>
          <w:tcPr>
            <w:tcW w:w="732" w:type="pct"/>
            <w:shd w:val="clear" w:color="auto" w:fill="auto"/>
            <w:tcMar>
              <w:left w:w="11" w:type="dxa"/>
              <w:right w:w="11" w:type="dxa"/>
            </w:tcMar>
            <w:vAlign w:val="center"/>
          </w:tcPr>
          <w:p w14:paraId="2DDD331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场所</w:t>
            </w:r>
          </w:p>
        </w:tc>
        <w:tc>
          <w:tcPr>
            <w:tcW w:w="1698" w:type="pct"/>
            <w:shd w:val="clear" w:color="auto" w:fill="auto"/>
            <w:tcMar>
              <w:left w:w="11" w:type="dxa"/>
              <w:right w:w="11" w:type="dxa"/>
            </w:tcMar>
            <w:vAlign w:val="center"/>
          </w:tcPr>
          <w:p w14:paraId="19FCEDE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标准名称及级(类)别</w:t>
            </w:r>
          </w:p>
        </w:tc>
        <w:tc>
          <w:tcPr>
            <w:tcW w:w="1226" w:type="pct"/>
            <w:shd w:val="clear" w:color="auto" w:fill="auto"/>
            <w:tcMar>
              <w:left w:w="11" w:type="dxa"/>
              <w:right w:w="11" w:type="dxa"/>
            </w:tcMar>
            <w:vAlign w:val="center"/>
          </w:tcPr>
          <w:p w14:paraId="1740029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监测因子</w:t>
            </w:r>
          </w:p>
        </w:tc>
        <w:tc>
          <w:tcPr>
            <w:tcW w:w="654" w:type="pct"/>
            <w:shd w:val="clear" w:color="auto" w:fill="auto"/>
            <w:tcMar>
              <w:left w:w="11" w:type="dxa"/>
              <w:right w:w="11" w:type="dxa"/>
            </w:tcMar>
            <w:vAlign w:val="center"/>
          </w:tcPr>
          <w:p w14:paraId="0DAF8FB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标准值</w:t>
            </w:r>
          </w:p>
        </w:tc>
      </w:tr>
      <w:tr w14:paraId="166AA5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restart"/>
            <w:shd w:val="clear" w:color="auto" w:fill="auto"/>
            <w:tcMar>
              <w:left w:w="11" w:type="dxa"/>
              <w:right w:w="11" w:type="dxa"/>
            </w:tcMar>
            <w:vAlign w:val="center"/>
          </w:tcPr>
          <w:p w14:paraId="6D38836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锅炉废气</w:t>
            </w:r>
          </w:p>
        </w:tc>
        <w:tc>
          <w:tcPr>
            <w:tcW w:w="732" w:type="pct"/>
            <w:vMerge w:val="restart"/>
            <w:shd w:val="clear" w:color="auto" w:fill="auto"/>
            <w:tcMar>
              <w:left w:w="11" w:type="dxa"/>
              <w:right w:w="11" w:type="dxa"/>
            </w:tcMar>
            <w:vAlign w:val="center"/>
          </w:tcPr>
          <w:p w14:paraId="2C1574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锅炉排口</w:t>
            </w:r>
          </w:p>
        </w:tc>
        <w:tc>
          <w:tcPr>
            <w:tcW w:w="1698" w:type="pct"/>
            <w:vMerge w:val="restart"/>
            <w:shd w:val="clear" w:color="auto" w:fill="auto"/>
            <w:tcMar>
              <w:left w:w="11" w:type="dxa"/>
              <w:right w:w="11" w:type="dxa"/>
            </w:tcMar>
            <w:vAlign w:val="center"/>
          </w:tcPr>
          <w:p w14:paraId="4E266FA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《锅炉大气污染物排放标准》（</w:t>
            </w:r>
            <w:r>
              <w:rPr>
                <w:rFonts w:hint="default" w:ascii="Times New Roman" w:hAnsi="Times New Roman" w:cs="Times New Roman"/>
                <w:highlight w:val="none"/>
              </w:rPr>
              <w:t>DB 41 2089-2021</w:t>
            </w:r>
            <w:r>
              <w:rPr>
                <w:rFonts w:hint="default" w:ascii="Times New Roman" w:hAnsi="Times New Roman" w:cs="Times New Roman"/>
                <w:color w:val="000000"/>
                <w:highlight w:val="none"/>
              </w:rPr>
              <w:t>）</w:t>
            </w:r>
          </w:p>
        </w:tc>
        <w:tc>
          <w:tcPr>
            <w:tcW w:w="1226" w:type="pct"/>
            <w:shd w:val="clear" w:color="auto" w:fill="auto"/>
            <w:tcMar>
              <w:left w:w="11" w:type="dxa"/>
              <w:right w:w="11" w:type="dxa"/>
            </w:tcMar>
            <w:vAlign w:val="center"/>
          </w:tcPr>
          <w:p w14:paraId="3395B58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颗粒物</w:t>
            </w:r>
          </w:p>
        </w:tc>
        <w:tc>
          <w:tcPr>
            <w:tcW w:w="654" w:type="pct"/>
            <w:shd w:val="clear" w:color="auto" w:fill="auto"/>
            <w:tcMar>
              <w:left w:w="11" w:type="dxa"/>
              <w:right w:w="11" w:type="dxa"/>
            </w:tcMar>
            <w:vAlign w:val="center"/>
          </w:tcPr>
          <w:p w14:paraId="1162CD4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5</w:t>
            </w:r>
            <w:r>
              <w:rPr>
                <w:rFonts w:hint="default" w:ascii="Times New Roman" w:hAnsi="Times New Roman" w:cs="Times New Roman"/>
                <w:color w:val="000000"/>
                <w:highlight w:val="none"/>
              </w:rPr>
              <w:t>mg/m</w:t>
            </w:r>
            <w:r>
              <w:rPr>
                <w:rFonts w:hint="default" w:ascii="Times New Roman" w:hAnsi="Times New Roman" w:cs="Times New Roman"/>
                <w:color w:val="000000"/>
                <w:highlight w:val="none"/>
                <w:vertAlign w:val="superscript"/>
              </w:rPr>
              <w:t>3</w:t>
            </w:r>
          </w:p>
        </w:tc>
      </w:tr>
      <w:tr w14:paraId="4727E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1465284B">
            <w:pPr>
              <w:pStyle w:val="185"/>
              <w:rPr>
                <w:rFonts w:hint="default" w:ascii="Times New Roman" w:hAnsi="Times New Roman" w:cs="Times New Roman"/>
                <w:color w:val="000000"/>
                <w:highlight w:val="none"/>
              </w:rPr>
            </w:pPr>
          </w:p>
        </w:tc>
        <w:tc>
          <w:tcPr>
            <w:tcW w:w="732" w:type="pct"/>
            <w:vMerge w:val="continue"/>
            <w:shd w:val="clear" w:color="auto" w:fill="auto"/>
            <w:tcMar>
              <w:left w:w="11" w:type="dxa"/>
              <w:right w:w="11" w:type="dxa"/>
            </w:tcMar>
            <w:vAlign w:val="center"/>
          </w:tcPr>
          <w:p w14:paraId="07C7768D">
            <w:pPr>
              <w:pStyle w:val="185"/>
              <w:rPr>
                <w:rFonts w:hint="default" w:ascii="Times New Roman" w:hAnsi="Times New Roman" w:cs="Times New Roman"/>
                <w:color w:val="000000"/>
                <w:highlight w:val="none"/>
              </w:rPr>
            </w:pPr>
          </w:p>
        </w:tc>
        <w:tc>
          <w:tcPr>
            <w:tcW w:w="1698" w:type="pct"/>
            <w:vMerge w:val="continue"/>
            <w:shd w:val="clear" w:color="auto" w:fill="auto"/>
            <w:tcMar>
              <w:left w:w="11" w:type="dxa"/>
              <w:right w:w="11" w:type="dxa"/>
            </w:tcMar>
            <w:vAlign w:val="center"/>
          </w:tcPr>
          <w:p w14:paraId="0A1BC6A2">
            <w:pPr>
              <w:pStyle w:val="185"/>
              <w:rPr>
                <w:rFonts w:hint="default" w:ascii="Times New Roman" w:hAnsi="Times New Roman" w:cs="Times New Roman"/>
                <w:color w:val="000000"/>
                <w:highlight w:val="none"/>
              </w:rPr>
            </w:pPr>
          </w:p>
        </w:tc>
        <w:tc>
          <w:tcPr>
            <w:tcW w:w="1226" w:type="pct"/>
            <w:shd w:val="clear" w:color="auto" w:fill="auto"/>
            <w:tcMar>
              <w:left w:w="11" w:type="dxa"/>
              <w:right w:w="11" w:type="dxa"/>
            </w:tcMar>
            <w:vAlign w:val="center"/>
          </w:tcPr>
          <w:p w14:paraId="669FEC4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二氧化硫</w:t>
            </w:r>
          </w:p>
        </w:tc>
        <w:tc>
          <w:tcPr>
            <w:tcW w:w="654" w:type="pct"/>
            <w:shd w:val="clear" w:color="auto" w:fill="auto"/>
            <w:tcMar>
              <w:left w:w="11" w:type="dxa"/>
              <w:right w:w="11" w:type="dxa"/>
            </w:tcMar>
            <w:vAlign w:val="center"/>
          </w:tcPr>
          <w:p w14:paraId="2039095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1</w:t>
            </w:r>
            <w:r>
              <w:rPr>
                <w:rFonts w:hint="default" w:ascii="Times New Roman" w:hAnsi="Times New Roman" w:cs="Times New Roman"/>
                <w:color w:val="000000"/>
                <w:highlight w:val="none"/>
              </w:rPr>
              <w:t>0mg/m</w:t>
            </w:r>
            <w:r>
              <w:rPr>
                <w:rFonts w:hint="default" w:ascii="Times New Roman" w:hAnsi="Times New Roman" w:cs="Times New Roman"/>
                <w:color w:val="000000"/>
                <w:highlight w:val="none"/>
                <w:vertAlign w:val="superscript"/>
              </w:rPr>
              <w:t>3</w:t>
            </w:r>
          </w:p>
        </w:tc>
      </w:tr>
      <w:tr w14:paraId="61125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60D6FFFC">
            <w:pPr>
              <w:pStyle w:val="185"/>
              <w:rPr>
                <w:rFonts w:hint="default" w:ascii="Times New Roman" w:hAnsi="Times New Roman" w:cs="Times New Roman"/>
                <w:color w:val="000000"/>
                <w:highlight w:val="none"/>
              </w:rPr>
            </w:pPr>
          </w:p>
        </w:tc>
        <w:tc>
          <w:tcPr>
            <w:tcW w:w="732" w:type="pct"/>
            <w:vMerge w:val="continue"/>
            <w:shd w:val="clear" w:color="auto" w:fill="auto"/>
            <w:tcMar>
              <w:left w:w="11" w:type="dxa"/>
              <w:right w:w="11" w:type="dxa"/>
            </w:tcMar>
            <w:vAlign w:val="center"/>
          </w:tcPr>
          <w:p w14:paraId="33275DD5">
            <w:pPr>
              <w:pStyle w:val="185"/>
              <w:rPr>
                <w:rFonts w:hint="default" w:ascii="Times New Roman" w:hAnsi="Times New Roman" w:cs="Times New Roman"/>
                <w:color w:val="000000"/>
                <w:highlight w:val="none"/>
              </w:rPr>
            </w:pPr>
          </w:p>
        </w:tc>
        <w:tc>
          <w:tcPr>
            <w:tcW w:w="1698" w:type="pct"/>
            <w:vMerge w:val="continue"/>
            <w:shd w:val="clear" w:color="auto" w:fill="auto"/>
            <w:tcMar>
              <w:left w:w="11" w:type="dxa"/>
              <w:right w:w="11" w:type="dxa"/>
            </w:tcMar>
            <w:vAlign w:val="center"/>
          </w:tcPr>
          <w:p w14:paraId="084794D1">
            <w:pPr>
              <w:pStyle w:val="185"/>
              <w:rPr>
                <w:rFonts w:hint="default" w:ascii="Times New Roman" w:hAnsi="Times New Roman" w:cs="Times New Roman"/>
                <w:color w:val="000000"/>
                <w:highlight w:val="none"/>
              </w:rPr>
            </w:pPr>
          </w:p>
        </w:tc>
        <w:tc>
          <w:tcPr>
            <w:tcW w:w="1226" w:type="pct"/>
            <w:shd w:val="clear" w:color="auto" w:fill="auto"/>
            <w:tcMar>
              <w:left w:w="11" w:type="dxa"/>
              <w:right w:w="11" w:type="dxa"/>
            </w:tcMar>
            <w:vAlign w:val="center"/>
          </w:tcPr>
          <w:p w14:paraId="3D24C0A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氮氧化物</w:t>
            </w:r>
          </w:p>
        </w:tc>
        <w:tc>
          <w:tcPr>
            <w:tcW w:w="654" w:type="pct"/>
            <w:shd w:val="clear" w:color="auto" w:fill="auto"/>
            <w:tcMar>
              <w:left w:w="11" w:type="dxa"/>
              <w:right w:w="11" w:type="dxa"/>
            </w:tcMar>
            <w:vAlign w:val="center"/>
          </w:tcPr>
          <w:p w14:paraId="45FEF53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50</w:t>
            </w:r>
            <w:r>
              <w:rPr>
                <w:rFonts w:hint="default" w:ascii="Times New Roman" w:hAnsi="Times New Roman" w:cs="Times New Roman"/>
                <w:color w:val="000000"/>
                <w:highlight w:val="none"/>
              </w:rPr>
              <w:t>mg/m</w:t>
            </w:r>
            <w:r>
              <w:rPr>
                <w:rFonts w:hint="default" w:ascii="Times New Roman" w:hAnsi="Times New Roman" w:cs="Times New Roman"/>
                <w:color w:val="000000"/>
                <w:highlight w:val="none"/>
                <w:vertAlign w:val="superscript"/>
              </w:rPr>
              <w:t>3</w:t>
            </w:r>
          </w:p>
        </w:tc>
      </w:tr>
      <w:tr w14:paraId="20E54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1741FAE4">
            <w:pPr>
              <w:pStyle w:val="185"/>
              <w:rPr>
                <w:rFonts w:hint="default" w:ascii="Times New Roman" w:hAnsi="Times New Roman" w:cs="Times New Roman"/>
                <w:color w:val="000000"/>
                <w:highlight w:val="none"/>
              </w:rPr>
            </w:pPr>
          </w:p>
        </w:tc>
        <w:tc>
          <w:tcPr>
            <w:tcW w:w="732" w:type="pct"/>
            <w:vMerge w:val="continue"/>
            <w:shd w:val="clear" w:color="auto" w:fill="auto"/>
            <w:tcMar>
              <w:left w:w="11" w:type="dxa"/>
              <w:right w:w="11" w:type="dxa"/>
            </w:tcMar>
            <w:vAlign w:val="center"/>
          </w:tcPr>
          <w:p w14:paraId="5942BE9D">
            <w:pPr>
              <w:pStyle w:val="185"/>
              <w:rPr>
                <w:rFonts w:hint="default" w:ascii="Times New Roman" w:hAnsi="Times New Roman" w:cs="Times New Roman"/>
                <w:color w:val="000000"/>
                <w:highlight w:val="none"/>
              </w:rPr>
            </w:pPr>
          </w:p>
        </w:tc>
        <w:tc>
          <w:tcPr>
            <w:tcW w:w="1698" w:type="pct"/>
            <w:vMerge w:val="continue"/>
            <w:shd w:val="clear" w:color="auto" w:fill="auto"/>
            <w:tcMar>
              <w:left w:w="11" w:type="dxa"/>
              <w:right w:w="11" w:type="dxa"/>
            </w:tcMar>
            <w:vAlign w:val="center"/>
          </w:tcPr>
          <w:p w14:paraId="7097794E">
            <w:pPr>
              <w:pStyle w:val="185"/>
              <w:rPr>
                <w:rFonts w:hint="default" w:ascii="Times New Roman" w:hAnsi="Times New Roman" w:cs="Times New Roman"/>
                <w:color w:val="000000"/>
                <w:highlight w:val="none"/>
              </w:rPr>
            </w:pPr>
          </w:p>
        </w:tc>
        <w:tc>
          <w:tcPr>
            <w:tcW w:w="1226" w:type="pct"/>
            <w:shd w:val="clear" w:color="auto" w:fill="auto"/>
            <w:tcMar>
              <w:left w:w="11" w:type="dxa"/>
              <w:right w:w="11" w:type="dxa"/>
            </w:tcMar>
            <w:vAlign w:val="center"/>
          </w:tcPr>
          <w:p w14:paraId="7E15913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烟气黑度</w:t>
            </w:r>
          </w:p>
          <w:p w14:paraId="1C7173D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（林格曼黑度，级）</w:t>
            </w:r>
          </w:p>
        </w:tc>
        <w:tc>
          <w:tcPr>
            <w:tcW w:w="654" w:type="pct"/>
            <w:shd w:val="clear" w:color="auto" w:fill="auto"/>
            <w:tcMar>
              <w:left w:w="11" w:type="dxa"/>
              <w:right w:w="11" w:type="dxa"/>
            </w:tcMar>
            <w:vAlign w:val="center"/>
          </w:tcPr>
          <w:p w14:paraId="47764FE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&lt;1</w:t>
            </w:r>
          </w:p>
        </w:tc>
      </w:tr>
      <w:tr w14:paraId="42D0B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restart"/>
            <w:shd w:val="clear" w:color="auto" w:fill="auto"/>
            <w:tcMar>
              <w:left w:w="11" w:type="dxa"/>
              <w:right w:w="11" w:type="dxa"/>
            </w:tcMar>
            <w:vAlign w:val="center"/>
          </w:tcPr>
          <w:p w14:paraId="4A73024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有机废气</w:t>
            </w:r>
          </w:p>
        </w:tc>
        <w:tc>
          <w:tcPr>
            <w:tcW w:w="732" w:type="pct"/>
            <w:vMerge w:val="restart"/>
            <w:shd w:val="clear" w:color="auto" w:fill="auto"/>
            <w:tcMar>
              <w:left w:w="11" w:type="dxa"/>
              <w:right w:w="11" w:type="dxa"/>
            </w:tcMar>
            <w:vAlign w:val="center"/>
          </w:tcPr>
          <w:p w14:paraId="318603B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有机废气处理设施排放口</w:t>
            </w:r>
          </w:p>
        </w:tc>
        <w:tc>
          <w:tcPr>
            <w:tcW w:w="1698" w:type="pct"/>
            <w:vMerge w:val="restart"/>
            <w:shd w:val="clear" w:color="auto" w:fill="auto"/>
            <w:tcMar>
              <w:left w:w="11" w:type="dxa"/>
              <w:right w:w="11" w:type="dxa"/>
            </w:tcMar>
            <w:vAlign w:val="center"/>
          </w:tcPr>
          <w:p w14:paraId="10AD61D5">
            <w:pPr>
              <w:keepNext w:val="0"/>
              <w:keepLines w:val="0"/>
              <w:pageBreakBefore w:val="0"/>
              <w:widowControl/>
              <w:kinsoku/>
              <w:wordWrap/>
              <w:overflowPunct/>
              <w:topLinePunct w:val="0"/>
              <w:autoSpaceDE/>
              <w:autoSpaceDN/>
              <w:bidi w:val="0"/>
              <w:adjustRightInd/>
              <w:snapToGrid/>
              <w:spacing w:beforeLines="0" w:afterLines="0"/>
              <w:ind w:firstLine="0" w:firstLineChars="0"/>
              <w:jc w:val="left"/>
              <w:textAlignment w:val="auto"/>
              <w:rPr>
                <w:rFonts w:hint="default" w:ascii="Times New Roman" w:hAnsi="Times New Roman" w:eastAsia="宋体" w:cs="Times New Roman"/>
                <w:color w:val="000000"/>
                <w:highlight w:val="none"/>
                <w:lang w:eastAsia="zh-CN"/>
              </w:rPr>
            </w:pPr>
            <w:r>
              <w:rPr>
                <w:rFonts w:hint="default" w:ascii="Times New Roman" w:hAnsi="Times New Roman" w:eastAsia="宋体" w:cs="Times New Roman"/>
                <w:color w:val="000000"/>
                <w:kern w:val="2"/>
                <w:sz w:val="21"/>
                <w:szCs w:val="21"/>
                <w:highlight w:val="none"/>
                <w:lang w:val="en-US" w:eastAsia="zh-CN" w:bidi="ar-SA"/>
              </w:rPr>
              <w:t>《关于全省开展工业企业挥发性有机物专项治理工作中排放建议值的通知》（豫环攻坚办〔2017〕162号）</w:t>
            </w:r>
          </w:p>
        </w:tc>
        <w:tc>
          <w:tcPr>
            <w:tcW w:w="1226" w:type="pct"/>
            <w:shd w:val="clear" w:color="auto" w:fill="auto"/>
            <w:tcMar>
              <w:left w:w="11" w:type="dxa"/>
              <w:right w:w="11" w:type="dxa"/>
            </w:tcMar>
            <w:vAlign w:val="center"/>
          </w:tcPr>
          <w:p w14:paraId="5AA33881">
            <w:pPr>
              <w:pStyle w:val="185"/>
              <w:rPr>
                <w:rFonts w:hint="eastAsia" w:ascii="Times New Roman" w:hAnsi="Times New Roman" w:eastAsia="宋体" w:cs="Times New Roman"/>
                <w:color w:val="000000"/>
                <w:highlight w:val="none"/>
                <w:lang w:eastAsia="zh-CN"/>
              </w:rPr>
            </w:pPr>
            <w:r>
              <w:rPr>
                <w:rFonts w:hint="eastAsia" w:ascii="Times New Roman" w:cs="Times New Roman"/>
                <w:color w:val="000000"/>
                <w:highlight w:val="none"/>
                <w:lang w:eastAsia="zh-CN"/>
              </w:rPr>
              <w:t>硫化氢</w:t>
            </w:r>
          </w:p>
        </w:tc>
        <w:tc>
          <w:tcPr>
            <w:tcW w:w="654" w:type="pct"/>
            <w:shd w:val="clear" w:color="auto" w:fill="auto"/>
            <w:tcMar>
              <w:left w:w="11" w:type="dxa"/>
              <w:right w:w="11" w:type="dxa"/>
            </w:tcMar>
            <w:vAlign w:val="center"/>
          </w:tcPr>
          <w:p w14:paraId="10FDB492">
            <w:pPr>
              <w:pStyle w:val="185"/>
              <w:rPr>
                <w:rFonts w:hint="default" w:ascii="Times New Roman" w:cs="Times New Roman"/>
                <w:color w:val="000000"/>
                <w:highlight w:val="none"/>
                <w:lang w:val="en-US" w:eastAsia="zh-CN"/>
              </w:rPr>
            </w:pPr>
            <w:r>
              <w:rPr>
                <w:rFonts w:hint="eastAsia" w:ascii="Times New Roman" w:cs="Times New Roman"/>
                <w:color w:val="000000"/>
                <w:highlight w:val="none"/>
                <w:lang w:val="en-US" w:eastAsia="zh-CN"/>
              </w:rPr>
              <w:t>10ppm</w:t>
            </w:r>
          </w:p>
        </w:tc>
      </w:tr>
      <w:tr w14:paraId="6CCA5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688" w:type="pct"/>
            <w:vMerge w:val="continue"/>
            <w:shd w:val="clear" w:color="auto" w:fill="auto"/>
            <w:tcMar>
              <w:left w:w="11" w:type="dxa"/>
              <w:right w:w="11" w:type="dxa"/>
            </w:tcMar>
            <w:vAlign w:val="center"/>
          </w:tcPr>
          <w:p w14:paraId="15DD6742">
            <w:pPr>
              <w:pStyle w:val="185"/>
              <w:rPr>
                <w:rFonts w:hint="default" w:ascii="Times New Roman" w:hAnsi="Times New Roman" w:cs="Times New Roman"/>
                <w:color w:val="000000"/>
                <w:highlight w:val="none"/>
              </w:rPr>
            </w:pPr>
          </w:p>
        </w:tc>
        <w:tc>
          <w:tcPr>
            <w:tcW w:w="732" w:type="pct"/>
            <w:vMerge w:val="continue"/>
            <w:shd w:val="clear" w:color="auto" w:fill="auto"/>
            <w:tcMar>
              <w:left w:w="11" w:type="dxa"/>
              <w:right w:w="11" w:type="dxa"/>
            </w:tcMar>
            <w:vAlign w:val="center"/>
          </w:tcPr>
          <w:p w14:paraId="69CF0A51">
            <w:pPr>
              <w:pStyle w:val="185"/>
              <w:rPr>
                <w:rFonts w:hint="default" w:ascii="Times New Roman" w:hAnsi="Times New Roman" w:cs="Times New Roman"/>
                <w:color w:val="000000"/>
                <w:highlight w:val="none"/>
              </w:rPr>
            </w:pPr>
          </w:p>
        </w:tc>
        <w:tc>
          <w:tcPr>
            <w:tcW w:w="1698" w:type="pct"/>
            <w:vMerge w:val="continue"/>
            <w:shd w:val="clear" w:color="auto" w:fill="auto"/>
            <w:tcMar>
              <w:left w:w="11" w:type="dxa"/>
              <w:right w:w="11" w:type="dxa"/>
            </w:tcMar>
            <w:vAlign w:val="center"/>
          </w:tcPr>
          <w:p w14:paraId="46CBC03C">
            <w:pPr>
              <w:keepNext w:val="0"/>
              <w:keepLines w:val="0"/>
              <w:pageBreakBefore w:val="0"/>
              <w:widowControl/>
              <w:kinsoku/>
              <w:wordWrap/>
              <w:overflowPunct/>
              <w:topLinePunct w:val="0"/>
              <w:autoSpaceDE/>
              <w:autoSpaceDN/>
              <w:bidi w:val="0"/>
              <w:adjustRightInd/>
              <w:snapToGrid/>
              <w:spacing w:beforeLines="0" w:afterLines="0"/>
              <w:ind w:firstLine="0" w:firstLineChars="0"/>
              <w:jc w:val="left"/>
              <w:textAlignment w:val="auto"/>
              <w:rPr>
                <w:rFonts w:hint="default" w:ascii="Times New Roman" w:hAnsi="Times New Roman" w:eastAsia="宋体" w:cs="Times New Roman"/>
                <w:color w:val="000000"/>
                <w:highlight w:val="none"/>
                <w:lang w:eastAsia="zh-CN"/>
              </w:rPr>
            </w:pPr>
          </w:p>
        </w:tc>
        <w:tc>
          <w:tcPr>
            <w:tcW w:w="1226" w:type="pct"/>
            <w:shd w:val="clear" w:color="auto" w:fill="auto"/>
            <w:tcMar>
              <w:left w:w="11" w:type="dxa"/>
              <w:right w:w="11" w:type="dxa"/>
            </w:tcMar>
            <w:vAlign w:val="center"/>
          </w:tcPr>
          <w:p w14:paraId="119A8C7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非甲烷总烃</w:t>
            </w:r>
          </w:p>
        </w:tc>
        <w:tc>
          <w:tcPr>
            <w:tcW w:w="654" w:type="pct"/>
            <w:shd w:val="clear" w:color="auto" w:fill="auto"/>
            <w:tcMar>
              <w:left w:w="11" w:type="dxa"/>
              <w:right w:w="11" w:type="dxa"/>
            </w:tcMar>
            <w:vAlign w:val="center"/>
          </w:tcPr>
          <w:p w14:paraId="710BCD27">
            <w:pPr>
              <w:pStyle w:val="185"/>
              <w:rPr>
                <w:rFonts w:hint="default" w:ascii="Times New Roman" w:hAnsi="Times New Roman" w:cs="Times New Roman"/>
                <w:color w:val="000000"/>
                <w:highlight w:val="none"/>
              </w:rPr>
            </w:pPr>
            <w:r>
              <w:rPr>
                <w:rFonts w:hint="eastAsia" w:ascii="Times New Roman" w:cs="Times New Roman"/>
                <w:color w:val="000000"/>
                <w:highlight w:val="none"/>
                <w:lang w:val="en-US" w:eastAsia="zh-CN"/>
              </w:rPr>
              <w:t>80</w:t>
            </w:r>
            <w:r>
              <w:rPr>
                <w:rFonts w:hint="default" w:ascii="Times New Roman" w:hAnsi="Times New Roman" w:cs="Times New Roman"/>
                <w:color w:val="000000"/>
                <w:highlight w:val="none"/>
              </w:rPr>
              <w:t>mg/m</w:t>
            </w:r>
            <w:r>
              <w:rPr>
                <w:rFonts w:hint="default" w:ascii="Times New Roman" w:hAnsi="Times New Roman" w:cs="Times New Roman"/>
                <w:color w:val="000000"/>
                <w:highlight w:val="none"/>
                <w:vertAlign w:val="superscript"/>
              </w:rPr>
              <w:t>3</w:t>
            </w:r>
          </w:p>
        </w:tc>
      </w:tr>
    </w:tbl>
    <w:p w14:paraId="2897DB93">
      <w:pPr>
        <w:pStyle w:val="188"/>
        <w:ind w:firstLine="480"/>
        <w:rPr>
          <w:rFonts w:hint="default" w:ascii="Times New Roman" w:hAnsi="Times New Roman" w:cs="Times New Roman"/>
          <w:color w:val="000000"/>
        </w:rPr>
      </w:pPr>
    </w:p>
    <w:p w14:paraId="7601DA0A">
      <w:pPr>
        <w:pStyle w:val="185"/>
        <w:rPr>
          <w:rFonts w:hint="default" w:ascii="Times New Roman" w:hAnsi="Times New Roman" w:cs="Times New Roman"/>
          <w:color w:val="000000"/>
        </w:rPr>
      </w:pPr>
    </w:p>
    <w:p w14:paraId="3D6FCCF8">
      <w:pPr>
        <w:pStyle w:val="96"/>
        <w:spacing w:before="156"/>
        <w:rPr>
          <w:rFonts w:hint="default" w:ascii="Times New Roman" w:hAnsi="Times New Roman" w:cs="Times New Roman"/>
          <w:color w:val="000000"/>
        </w:rPr>
      </w:pPr>
    </w:p>
    <w:p w14:paraId="0517136C">
      <w:pPr>
        <w:ind w:firstLine="480"/>
        <w:rPr>
          <w:rFonts w:hint="default" w:ascii="Times New Roman" w:hAnsi="Times New Roman" w:cs="Times New Roman"/>
          <w:color w:val="000000"/>
        </w:rPr>
      </w:pPr>
      <w:r>
        <w:rPr>
          <w:rFonts w:hint="default" w:ascii="Times New Roman" w:hAnsi="Times New Roman" w:cs="Times New Roman"/>
          <w:color w:val="000000"/>
        </w:rPr>
        <w:t>企业自行监测点位基本信息如下表所示：</w:t>
      </w:r>
    </w:p>
    <w:p w14:paraId="6150DB17">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3</w:t>
      </w:r>
      <w:r>
        <w:rPr>
          <w:rFonts w:hint="default" w:ascii="Times New Roman" w:hAnsi="Times New Roman" w:cs="Times New Roman"/>
          <w:color w:val="000000"/>
        </w:rPr>
        <w:fldChar w:fldCharType="end"/>
      </w:r>
      <w:r>
        <w:rPr>
          <w:rStyle w:val="100"/>
          <w:rFonts w:hint="default" w:ascii="Times New Roman" w:hAnsi="Times New Roman" w:cs="Times New Roman"/>
          <w:color w:val="000000"/>
        </w:rPr>
        <w:t xml:space="preserve">  </w:t>
      </w:r>
      <w:r>
        <w:rPr>
          <w:rStyle w:val="100"/>
          <w:rFonts w:hint="default" w:ascii="Times New Roman" w:hAnsi="Times New Roman" w:cs="Times New Roman"/>
          <w:color w:val="000000"/>
          <w:lang w:eastAsia="zh-CN"/>
        </w:rPr>
        <w:t>河南油田分公司</w:t>
      </w:r>
      <w:r>
        <w:rPr>
          <w:rStyle w:val="100"/>
          <w:rFonts w:hint="default" w:ascii="Times New Roman" w:hAnsi="Times New Roman" w:cs="Times New Roman"/>
          <w:color w:val="000000"/>
        </w:rPr>
        <w:t>采油</w:t>
      </w:r>
      <w:r>
        <w:rPr>
          <w:rStyle w:val="100"/>
          <w:rFonts w:hint="default" w:ascii="Times New Roman" w:hAnsi="Times New Roman" w:cs="Times New Roman"/>
          <w:color w:val="000000"/>
          <w:lang w:eastAsia="zh-CN"/>
        </w:rPr>
        <w:t>一</w:t>
      </w:r>
      <w:r>
        <w:rPr>
          <w:rStyle w:val="100"/>
          <w:rFonts w:hint="default" w:ascii="Times New Roman" w:hAnsi="Times New Roman" w:cs="Times New Roman"/>
          <w:color w:val="000000"/>
        </w:rPr>
        <w:t>厂有组织废气监测点位基本信息表</w:t>
      </w:r>
    </w:p>
    <w:tbl>
      <w:tblPr>
        <w:tblStyle w:val="37"/>
        <w:tblW w:w="5483"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537"/>
        <w:gridCol w:w="954"/>
        <w:gridCol w:w="960"/>
        <w:gridCol w:w="960"/>
        <w:gridCol w:w="960"/>
        <w:gridCol w:w="2608"/>
        <w:gridCol w:w="2007"/>
        <w:gridCol w:w="1289"/>
        <w:gridCol w:w="1277"/>
        <w:gridCol w:w="3"/>
        <w:gridCol w:w="1212"/>
        <w:gridCol w:w="1280"/>
        <w:gridCol w:w="1281"/>
      </w:tblGrid>
      <w:tr w14:paraId="11BB386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87" w:hRule="exact"/>
        </w:trPr>
        <w:tc>
          <w:tcPr>
            <w:tcW w:w="175" w:type="pct"/>
            <w:vMerge w:val="restart"/>
            <w:tcBorders>
              <w:tl2br w:val="nil"/>
              <w:tr2bl w:val="nil"/>
            </w:tcBorders>
            <w:vAlign w:val="center"/>
          </w:tcPr>
          <w:p w14:paraId="6BDAFA5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序号</w:t>
            </w:r>
          </w:p>
        </w:tc>
        <w:tc>
          <w:tcPr>
            <w:tcW w:w="311" w:type="pct"/>
            <w:vMerge w:val="restart"/>
            <w:tcBorders>
              <w:tl2br w:val="nil"/>
              <w:tr2bl w:val="nil"/>
            </w:tcBorders>
            <w:vAlign w:val="center"/>
          </w:tcPr>
          <w:p w14:paraId="683780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lang w:val="en-US" w:eastAsia="zh-CN"/>
              </w:rPr>
            </w:pPr>
            <w:r>
              <w:rPr>
                <w:rFonts w:hint="default" w:ascii="Times New Roman" w:hAnsi="Times New Roman" w:cs="Times New Roman"/>
                <w:b w:val="0"/>
                <w:sz w:val="21"/>
                <w:szCs w:val="21"/>
                <w:lang w:val="en-US" w:eastAsia="zh-CN"/>
              </w:rPr>
              <w:t>区域</w:t>
            </w:r>
          </w:p>
        </w:tc>
        <w:tc>
          <w:tcPr>
            <w:tcW w:w="313" w:type="pct"/>
            <w:vMerge w:val="restart"/>
            <w:tcBorders>
              <w:tl2br w:val="nil"/>
              <w:tr2bl w:val="nil"/>
            </w:tcBorders>
            <w:vAlign w:val="center"/>
          </w:tcPr>
          <w:p w14:paraId="508E1BE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排放口编号</w:t>
            </w:r>
          </w:p>
        </w:tc>
        <w:tc>
          <w:tcPr>
            <w:tcW w:w="313" w:type="pct"/>
            <w:vMerge w:val="restart"/>
            <w:tcBorders>
              <w:tl2br w:val="nil"/>
              <w:tr2bl w:val="nil"/>
            </w:tcBorders>
            <w:vAlign w:val="center"/>
          </w:tcPr>
          <w:p w14:paraId="5758CD4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排放口名称</w:t>
            </w:r>
          </w:p>
        </w:tc>
        <w:tc>
          <w:tcPr>
            <w:tcW w:w="313" w:type="pct"/>
            <w:vMerge w:val="restart"/>
            <w:tcBorders>
              <w:tl2br w:val="nil"/>
              <w:tr2bl w:val="nil"/>
            </w:tcBorders>
            <w:vAlign w:val="center"/>
          </w:tcPr>
          <w:p w14:paraId="2076B24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污染物种类</w:t>
            </w:r>
          </w:p>
        </w:tc>
        <w:tc>
          <w:tcPr>
            <w:tcW w:w="1504" w:type="pct"/>
            <w:gridSpan w:val="2"/>
            <w:tcBorders>
              <w:tl2br w:val="nil"/>
              <w:tr2bl w:val="nil"/>
            </w:tcBorders>
            <w:vAlign w:val="center"/>
          </w:tcPr>
          <w:p w14:paraId="360D257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排放口地理坐标（1）</w:t>
            </w:r>
          </w:p>
        </w:tc>
        <w:tc>
          <w:tcPr>
            <w:tcW w:w="420" w:type="pct"/>
            <w:vMerge w:val="restart"/>
            <w:tcBorders>
              <w:tl2br w:val="nil"/>
              <w:tr2bl w:val="nil"/>
            </w:tcBorders>
            <w:vAlign w:val="center"/>
          </w:tcPr>
          <w:p w14:paraId="334BB30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排气筒高度（m</w:t>
            </w:r>
          </w:p>
          <w:p w14:paraId="14F1159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417" w:type="pct"/>
            <w:gridSpan w:val="2"/>
            <w:vMerge w:val="restart"/>
            <w:tcBorders>
              <w:tl2br w:val="nil"/>
              <w:tr2bl w:val="nil"/>
            </w:tcBorders>
            <w:vAlign w:val="center"/>
          </w:tcPr>
          <w:p w14:paraId="20B5C2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排气筒出口内 径（m）（2）</w:t>
            </w:r>
          </w:p>
        </w:tc>
        <w:tc>
          <w:tcPr>
            <w:tcW w:w="395" w:type="pct"/>
            <w:vMerge w:val="restart"/>
            <w:tcBorders>
              <w:tl2br w:val="nil"/>
              <w:tr2bl w:val="nil"/>
            </w:tcBorders>
            <w:vAlign w:val="center"/>
          </w:tcPr>
          <w:p w14:paraId="0C3DF30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排气温度（℃</w:t>
            </w:r>
          </w:p>
          <w:p w14:paraId="614BFBE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w:t>
            </w:r>
          </w:p>
        </w:tc>
        <w:tc>
          <w:tcPr>
            <w:tcW w:w="417" w:type="pct"/>
            <w:vMerge w:val="restart"/>
            <w:tcBorders>
              <w:tl2br w:val="nil"/>
              <w:tr2bl w:val="nil"/>
            </w:tcBorders>
            <w:vAlign w:val="center"/>
          </w:tcPr>
          <w:p w14:paraId="14B6771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eastAsia" w:ascii="Times New Roman" w:hAnsi="Times New Roman" w:eastAsia="宋体" w:cs="Times New Roman"/>
                <w:b w:val="0"/>
                <w:sz w:val="21"/>
                <w:szCs w:val="21"/>
                <w:lang w:eastAsia="zh-CN"/>
              </w:rPr>
            </w:pPr>
            <w:r>
              <w:rPr>
                <w:rFonts w:hint="eastAsia" w:ascii="Times New Roman" w:hAnsi="Times New Roman" w:cs="Times New Roman"/>
                <w:b w:val="0"/>
                <w:sz w:val="21"/>
                <w:szCs w:val="21"/>
                <w:lang w:eastAsia="zh-CN"/>
              </w:rPr>
              <w:t>锅炉负荷</w:t>
            </w:r>
          </w:p>
        </w:tc>
        <w:tc>
          <w:tcPr>
            <w:tcW w:w="417" w:type="pct"/>
            <w:vMerge w:val="restart"/>
            <w:tcBorders>
              <w:tl2br w:val="nil"/>
              <w:tr2bl w:val="nil"/>
            </w:tcBorders>
            <w:vAlign w:val="center"/>
          </w:tcPr>
          <w:p w14:paraId="387E4C5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其他信息</w:t>
            </w:r>
          </w:p>
        </w:tc>
      </w:tr>
      <w:tr w14:paraId="3BCA612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72" w:hRule="exact"/>
        </w:trPr>
        <w:tc>
          <w:tcPr>
            <w:tcW w:w="175" w:type="pct"/>
            <w:vMerge w:val="continue"/>
            <w:tcBorders>
              <w:tl2br w:val="nil"/>
              <w:tr2bl w:val="nil"/>
            </w:tcBorders>
            <w:vAlign w:val="center"/>
          </w:tcPr>
          <w:p w14:paraId="10B7989C">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311" w:type="pct"/>
            <w:vMerge w:val="continue"/>
            <w:tcBorders>
              <w:tl2br w:val="nil"/>
              <w:tr2bl w:val="nil"/>
            </w:tcBorders>
            <w:vAlign w:val="center"/>
          </w:tcPr>
          <w:p w14:paraId="6636D4B0">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vMerge w:val="continue"/>
            <w:tcBorders>
              <w:tl2br w:val="nil"/>
              <w:tr2bl w:val="nil"/>
            </w:tcBorders>
            <w:vAlign w:val="center"/>
          </w:tcPr>
          <w:p w14:paraId="5B741CDA">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vMerge w:val="continue"/>
            <w:tcBorders>
              <w:tl2br w:val="nil"/>
              <w:tr2bl w:val="nil"/>
            </w:tcBorders>
            <w:vAlign w:val="center"/>
          </w:tcPr>
          <w:p w14:paraId="7624024D">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vMerge w:val="continue"/>
            <w:tcBorders>
              <w:tl2br w:val="nil"/>
              <w:tr2bl w:val="nil"/>
            </w:tcBorders>
            <w:vAlign w:val="center"/>
          </w:tcPr>
          <w:p w14:paraId="5C69A26B">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850" w:type="pct"/>
            <w:tcBorders>
              <w:tl2br w:val="nil"/>
              <w:tr2bl w:val="nil"/>
            </w:tcBorders>
            <w:vAlign w:val="center"/>
          </w:tcPr>
          <w:p w14:paraId="6128BA1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经度</w:t>
            </w:r>
          </w:p>
        </w:tc>
        <w:tc>
          <w:tcPr>
            <w:tcW w:w="653" w:type="pct"/>
            <w:tcBorders>
              <w:tl2br w:val="nil"/>
              <w:tr2bl w:val="nil"/>
            </w:tcBorders>
            <w:vAlign w:val="center"/>
          </w:tcPr>
          <w:p w14:paraId="33C650C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纬度</w:t>
            </w:r>
          </w:p>
        </w:tc>
        <w:tc>
          <w:tcPr>
            <w:tcW w:w="420" w:type="pct"/>
            <w:vMerge w:val="continue"/>
            <w:tcBorders>
              <w:tl2br w:val="nil"/>
              <w:tr2bl w:val="nil"/>
            </w:tcBorders>
            <w:vAlign w:val="center"/>
          </w:tcPr>
          <w:p w14:paraId="51254C07">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417" w:type="pct"/>
            <w:gridSpan w:val="2"/>
            <w:vMerge w:val="continue"/>
            <w:tcBorders>
              <w:tl2br w:val="nil"/>
              <w:tr2bl w:val="nil"/>
            </w:tcBorders>
            <w:vAlign w:val="center"/>
          </w:tcPr>
          <w:p w14:paraId="145B3A7B">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395" w:type="pct"/>
            <w:vMerge w:val="continue"/>
            <w:tcBorders>
              <w:tl2br w:val="nil"/>
              <w:tr2bl w:val="nil"/>
            </w:tcBorders>
            <w:vAlign w:val="center"/>
          </w:tcPr>
          <w:p w14:paraId="445BE63D">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417" w:type="pct"/>
            <w:vMerge w:val="continue"/>
            <w:tcBorders>
              <w:tl2br w:val="nil"/>
              <w:tr2bl w:val="nil"/>
            </w:tcBorders>
            <w:vAlign w:val="center"/>
          </w:tcPr>
          <w:p w14:paraId="1A32A290">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c>
          <w:tcPr>
            <w:tcW w:w="417" w:type="pct"/>
            <w:vMerge w:val="continue"/>
            <w:tcBorders>
              <w:tl2br w:val="nil"/>
              <w:tr2bl w:val="nil"/>
            </w:tcBorders>
            <w:vAlign w:val="center"/>
          </w:tcPr>
          <w:p w14:paraId="6A157577">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r>
      <w:tr w14:paraId="0E84CB7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330" w:hRule="exact"/>
        </w:trPr>
        <w:tc>
          <w:tcPr>
            <w:tcW w:w="175" w:type="pct"/>
            <w:tcBorders>
              <w:tl2br w:val="nil"/>
              <w:tr2bl w:val="nil"/>
            </w:tcBorders>
            <w:vAlign w:val="center"/>
          </w:tcPr>
          <w:p w14:paraId="168D954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w:t>
            </w:r>
          </w:p>
        </w:tc>
        <w:tc>
          <w:tcPr>
            <w:tcW w:w="311" w:type="pct"/>
            <w:vMerge w:val="restart"/>
            <w:tcBorders>
              <w:tl2br w:val="nil"/>
              <w:tr2bl w:val="nil"/>
            </w:tcBorders>
            <w:vAlign w:val="center"/>
          </w:tcPr>
          <w:p w14:paraId="6803B3E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lang w:val="en-US" w:eastAsia="zh-CN"/>
              </w:rPr>
            </w:pPr>
            <w:r>
              <w:rPr>
                <w:rFonts w:hint="default" w:ascii="Times New Roman" w:hAnsi="Times New Roman" w:cs="Times New Roman"/>
                <w:b w:val="0"/>
                <w:sz w:val="21"/>
                <w:lang w:val="en-US" w:eastAsia="zh-CN"/>
              </w:rPr>
              <w:t>南阳区域</w:t>
            </w:r>
          </w:p>
        </w:tc>
        <w:tc>
          <w:tcPr>
            <w:tcW w:w="313" w:type="pct"/>
            <w:tcBorders>
              <w:tl2br w:val="nil"/>
              <w:tr2bl w:val="nil"/>
            </w:tcBorders>
            <w:vAlign w:val="center"/>
          </w:tcPr>
          <w:p w14:paraId="27BE27D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DA001</w:t>
            </w:r>
          </w:p>
        </w:tc>
        <w:tc>
          <w:tcPr>
            <w:tcW w:w="313" w:type="pct"/>
            <w:tcBorders>
              <w:tl2br w:val="nil"/>
              <w:tr2bl w:val="nil"/>
            </w:tcBorders>
            <w:vAlign w:val="center"/>
          </w:tcPr>
          <w:p w14:paraId="696355B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魏联1号锅炉排气筒</w:t>
            </w:r>
          </w:p>
        </w:tc>
        <w:tc>
          <w:tcPr>
            <w:tcW w:w="313" w:type="pct"/>
            <w:tcBorders>
              <w:tl2br w:val="nil"/>
              <w:tr2bl w:val="nil"/>
            </w:tcBorders>
            <w:vAlign w:val="center"/>
          </w:tcPr>
          <w:p w14:paraId="09E6C30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270FB2F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24ADAED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5B9BA56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w:t>
            </w:r>
          </w:p>
          <w:p w14:paraId="3E1C85C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w:t>
            </w:r>
          </w:p>
        </w:tc>
        <w:tc>
          <w:tcPr>
            <w:tcW w:w="850" w:type="pct"/>
            <w:tcBorders>
              <w:tl2br w:val="nil"/>
              <w:tr2bl w:val="nil"/>
            </w:tcBorders>
            <w:vAlign w:val="center"/>
          </w:tcPr>
          <w:p w14:paraId="536FA85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112°36′49.00″</w:t>
            </w:r>
          </w:p>
        </w:tc>
        <w:tc>
          <w:tcPr>
            <w:tcW w:w="653" w:type="pct"/>
            <w:tcBorders>
              <w:tl2br w:val="nil"/>
              <w:tr2bl w:val="nil"/>
            </w:tcBorders>
            <w:vAlign w:val="center"/>
          </w:tcPr>
          <w:p w14:paraId="570F9C4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32°39′42.08″</w:t>
            </w:r>
          </w:p>
        </w:tc>
        <w:tc>
          <w:tcPr>
            <w:tcW w:w="420" w:type="pct"/>
            <w:tcBorders>
              <w:tl2br w:val="nil"/>
              <w:tr2bl w:val="nil"/>
            </w:tcBorders>
            <w:vAlign w:val="center"/>
          </w:tcPr>
          <w:p w14:paraId="17BA160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w:t>
            </w:r>
          </w:p>
        </w:tc>
        <w:tc>
          <w:tcPr>
            <w:tcW w:w="417" w:type="pct"/>
            <w:gridSpan w:val="2"/>
            <w:tcBorders>
              <w:tl2br w:val="nil"/>
              <w:tr2bl w:val="nil"/>
            </w:tcBorders>
            <w:vAlign w:val="center"/>
          </w:tcPr>
          <w:p w14:paraId="242101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1C4403A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409925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lang w:val="en-US" w:eastAsia="zh-CN"/>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150CDFBF">
            <w:pPr>
              <w:keepNext w:val="0"/>
              <w:keepLines w:val="0"/>
              <w:pageBreakBefore w:val="0"/>
              <w:kinsoku/>
              <w:wordWrap/>
              <w:overflowPunct/>
              <w:topLinePunct w:val="0"/>
              <w:bidi w:val="0"/>
              <w:adjustRightInd/>
              <w:snapToGrid/>
              <w:spacing w:line="240" w:lineRule="auto"/>
              <w:ind w:left="0" w:leftChars="0" w:right="0" w:firstLine="0" w:firstLineChars="0"/>
              <w:jc w:val="center"/>
              <w:textAlignment w:val="auto"/>
              <w:rPr>
                <w:rFonts w:hint="eastAsia" w:ascii="Times New Roman" w:hAnsi="Times New Roman" w:eastAsia="宋体" w:cs="Times New Roman"/>
                <w:b w:val="0"/>
                <w:sz w:val="21"/>
                <w:lang w:eastAsia="zh-CN"/>
              </w:rPr>
            </w:pPr>
            <w:r>
              <w:rPr>
                <w:rFonts w:hint="eastAsia" w:cs="Times New Roman"/>
                <w:b w:val="0"/>
                <w:sz w:val="21"/>
                <w:lang w:eastAsia="zh-CN"/>
              </w:rPr>
              <w:t>低氮改造</w:t>
            </w:r>
          </w:p>
        </w:tc>
      </w:tr>
      <w:tr w14:paraId="06C8006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551" w:hRule="exact"/>
        </w:trPr>
        <w:tc>
          <w:tcPr>
            <w:tcW w:w="175" w:type="pct"/>
            <w:tcBorders>
              <w:tl2br w:val="nil"/>
              <w:tr2bl w:val="nil"/>
            </w:tcBorders>
            <w:vAlign w:val="center"/>
          </w:tcPr>
          <w:p w14:paraId="02DAAD0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w:t>
            </w:r>
          </w:p>
        </w:tc>
        <w:tc>
          <w:tcPr>
            <w:tcW w:w="311" w:type="pct"/>
            <w:vMerge w:val="continue"/>
            <w:tcBorders>
              <w:tl2br w:val="nil"/>
              <w:tr2bl w:val="nil"/>
            </w:tcBorders>
            <w:vAlign w:val="center"/>
          </w:tcPr>
          <w:p w14:paraId="62EB53A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23EFA6C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DA002</w:t>
            </w:r>
          </w:p>
        </w:tc>
        <w:tc>
          <w:tcPr>
            <w:tcW w:w="313" w:type="pct"/>
            <w:tcBorders>
              <w:tl2br w:val="nil"/>
              <w:tr2bl w:val="nil"/>
            </w:tcBorders>
            <w:vAlign w:val="center"/>
          </w:tcPr>
          <w:p w14:paraId="74DA625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江联3号锅炉排气筒</w:t>
            </w:r>
          </w:p>
        </w:tc>
        <w:tc>
          <w:tcPr>
            <w:tcW w:w="313" w:type="pct"/>
            <w:tcBorders>
              <w:tl2br w:val="nil"/>
              <w:tr2bl w:val="nil"/>
            </w:tcBorders>
            <w:vAlign w:val="center"/>
          </w:tcPr>
          <w:p w14:paraId="1BF8A29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氮氧化物</w:t>
            </w:r>
          </w:p>
          <w:p w14:paraId="4BC31CE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79BF469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67EE6DC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w:t>
            </w:r>
          </w:p>
          <w:p w14:paraId="3CFC97F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硫</w:t>
            </w:r>
          </w:p>
        </w:tc>
        <w:tc>
          <w:tcPr>
            <w:tcW w:w="850" w:type="pct"/>
            <w:tcBorders>
              <w:tl2br w:val="nil"/>
              <w:tr2bl w:val="nil"/>
            </w:tcBorders>
            <w:vAlign w:val="center"/>
          </w:tcPr>
          <w:p w14:paraId="38104B9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113°14′36.67″</w:t>
            </w:r>
          </w:p>
        </w:tc>
        <w:tc>
          <w:tcPr>
            <w:tcW w:w="653" w:type="pct"/>
            <w:tcBorders>
              <w:tl2br w:val="nil"/>
              <w:tr2bl w:val="nil"/>
            </w:tcBorders>
            <w:vAlign w:val="center"/>
          </w:tcPr>
          <w:p w14:paraId="3B3860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32°37′35.33″</w:t>
            </w:r>
          </w:p>
        </w:tc>
        <w:tc>
          <w:tcPr>
            <w:tcW w:w="420" w:type="pct"/>
            <w:tcBorders>
              <w:tl2br w:val="nil"/>
              <w:tr2bl w:val="nil"/>
            </w:tcBorders>
            <w:vAlign w:val="center"/>
          </w:tcPr>
          <w:p w14:paraId="0E6C7E4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417" w:type="pct"/>
            <w:gridSpan w:val="2"/>
            <w:tcBorders>
              <w:tl2br w:val="nil"/>
              <w:tr2bl w:val="nil"/>
            </w:tcBorders>
            <w:vAlign w:val="center"/>
          </w:tcPr>
          <w:p w14:paraId="4650C78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0.5</w:t>
            </w:r>
          </w:p>
        </w:tc>
        <w:tc>
          <w:tcPr>
            <w:tcW w:w="395" w:type="pct"/>
            <w:tcBorders>
              <w:tl2br w:val="nil"/>
              <w:tr2bl w:val="nil"/>
            </w:tcBorders>
            <w:vAlign w:val="center"/>
          </w:tcPr>
          <w:p w14:paraId="47CA1FE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1F91F13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D854CC3">
            <w:pPr>
              <w:keepNext w:val="0"/>
              <w:keepLines w:val="0"/>
              <w:pageBreakBefore w:val="0"/>
              <w:kinsoku/>
              <w:wordWrap/>
              <w:overflowPunct/>
              <w:topLinePunct w:val="0"/>
              <w:bidi w:val="0"/>
              <w:adjustRightInd/>
              <w:snapToGrid/>
              <w:spacing w:line="240" w:lineRule="auto"/>
              <w:ind w:left="0" w:leftChars="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323EFDB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17" w:hRule="exact"/>
        </w:trPr>
        <w:tc>
          <w:tcPr>
            <w:tcW w:w="175" w:type="pct"/>
            <w:tcBorders>
              <w:tl2br w:val="nil"/>
              <w:tr2bl w:val="nil"/>
            </w:tcBorders>
            <w:vAlign w:val="center"/>
          </w:tcPr>
          <w:p w14:paraId="2DD2892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3</w:t>
            </w:r>
          </w:p>
        </w:tc>
        <w:tc>
          <w:tcPr>
            <w:tcW w:w="311" w:type="pct"/>
            <w:vMerge w:val="continue"/>
            <w:tcBorders>
              <w:tl2br w:val="nil"/>
              <w:tr2bl w:val="nil"/>
            </w:tcBorders>
            <w:vAlign w:val="center"/>
          </w:tcPr>
          <w:p w14:paraId="7FDC774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1552566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DA003</w:t>
            </w:r>
          </w:p>
        </w:tc>
        <w:tc>
          <w:tcPr>
            <w:tcW w:w="313" w:type="pct"/>
            <w:tcBorders>
              <w:tl2br w:val="nil"/>
              <w:tr2bl w:val="nil"/>
            </w:tcBorders>
            <w:vAlign w:val="center"/>
          </w:tcPr>
          <w:p w14:paraId="601925D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江联1号</w:t>
            </w:r>
          </w:p>
          <w:p w14:paraId="5A17E15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锅炉排气</w:t>
            </w:r>
          </w:p>
          <w:p w14:paraId="27C237D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筒</w:t>
            </w:r>
          </w:p>
        </w:tc>
        <w:tc>
          <w:tcPr>
            <w:tcW w:w="313" w:type="pct"/>
            <w:tcBorders>
              <w:tl2br w:val="nil"/>
              <w:tr2bl w:val="nil"/>
            </w:tcBorders>
            <w:vAlign w:val="center"/>
          </w:tcPr>
          <w:p w14:paraId="2158473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6C970C7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0DDD0F1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w:t>
            </w:r>
          </w:p>
          <w:p w14:paraId="055EAEA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硫,氮氧</w:t>
            </w:r>
          </w:p>
          <w:p w14:paraId="3ED96E3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w:t>
            </w:r>
          </w:p>
        </w:tc>
        <w:tc>
          <w:tcPr>
            <w:tcW w:w="850" w:type="pct"/>
            <w:tcBorders>
              <w:tl2br w:val="nil"/>
              <w:tr2bl w:val="nil"/>
            </w:tcBorders>
            <w:vAlign w:val="center"/>
          </w:tcPr>
          <w:p w14:paraId="239E334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113°14′37.00″</w:t>
            </w:r>
          </w:p>
        </w:tc>
        <w:tc>
          <w:tcPr>
            <w:tcW w:w="653" w:type="pct"/>
            <w:tcBorders>
              <w:tl2br w:val="nil"/>
              <w:tr2bl w:val="nil"/>
            </w:tcBorders>
            <w:vAlign w:val="center"/>
          </w:tcPr>
          <w:p w14:paraId="59876DA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32°37′35.87″</w:t>
            </w:r>
          </w:p>
        </w:tc>
        <w:tc>
          <w:tcPr>
            <w:tcW w:w="420" w:type="pct"/>
            <w:tcBorders>
              <w:tl2br w:val="nil"/>
              <w:tr2bl w:val="nil"/>
            </w:tcBorders>
            <w:vAlign w:val="center"/>
          </w:tcPr>
          <w:p w14:paraId="0A1AD22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417" w:type="pct"/>
            <w:gridSpan w:val="2"/>
            <w:tcBorders>
              <w:tl2br w:val="nil"/>
              <w:tr2bl w:val="nil"/>
            </w:tcBorders>
            <w:vAlign w:val="center"/>
          </w:tcPr>
          <w:p w14:paraId="55B67DC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5804FB9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29F1CC2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lang w:val="en-US" w:eastAsia="zh-CN"/>
              </w:rPr>
            </w:pPr>
            <w:r>
              <w:rPr>
                <w:rFonts w:hint="eastAsia" w:ascii="Times New Roman" w:hAnsi="Times New Roman" w:cs="Times New Roman"/>
                <w:b w:val="0"/>
                <w:sz w:val="21"/>
                <w:lang w:val="en-US" w:eastAsia="zh-CN"/>
              </w:rPr>
              <w:t>/</w:t>
            </w:r>
          </w:p>
        </w:tc>
        <w:tc>
          <w:tcPr>
            <w:tcW w:w="417" w:type="pct"/>
            <w:tcBorders>
              <w:tl2br w:val="nil"/>
              <w:tr2bl w:val="nil"/>
            </w:tcBorders>
            <w:vAlign w:val="center"/>
          </w:tcPr>
          <w:p w14:paraId="335D6FE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停用</w:t>
            </w:r>
          </w:p>
        </w:tc>
      </w:tr>
      <w:tr w14:paraId="605F50F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995" w:hRule="exact"/>
        </w:trPr>
        <w:tc>
          <w:tcPr>
            <w:tcW w:w="175" w:type="pct"/>
            <w:tcBorders>
              <w:tl2br w:val="nil"/>
              <w:tr2bl w:val="nil"/>
            </w:tcBorders>
            <w:vAlign w:val="center"/>
          </w:tcPr>
          <w:p w14:paraId="257E35D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4</w:t>
            </w:r>
          </w:p>
        </w:tc>
        <w:tc>
          <w:tcPr>
            <w:tcW w:w="311" w:type="pct"/>
            <w:vMerge w:val="continue"/>
            <w:tcBorders>
              <w:tl2br w:val="nil"/>
              <w:tr2bl w:val="nil"/>
            </w:tcBorders>
            <w:vAlign w:val="center"/>
          </w:tcPr>
          <w:p w14:paraId="6694A36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2862687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DA005</w:t>
            </w:r>
          </w:p>
        </w:tc>
        <w:tc>
          <w:tcPr>
            <w:tcW w:w="313" w:type="pct"/>
            <w:tcBorders>
              <w:tl2br w:val="nil"/>
              <w:tr2bl w:val="nil"/>
            </w:tcBorders>
            <w:vAlign w:val="center"/>
          </w:tcPr>
          <w:p w14:paraId="57C47F3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江联4号</w:t>
            </w:r>
          </w:p>
          <w:p w14:paraId="501C04B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锅炉排气</w:t>
            </w:r>
          </w:p>
          <w:p w14:paraId="6E50E94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筒</w:t>
            </w:r>
          </w:p>
        </w:tc>
        <w:tc>
          <w:tcPr>
            <w:tcW w:w="313" w:type="pct"/>
            <w:tcBorders>
              <w:tl2br w:val="nil"/>
              <w:tr2bl w:val="nil"/>
            </w:tcBorders>
            <w:vAlign w:val="center"/>
          </w:tcPr>
          <w:p w14:paraId="033982A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6B34F37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w:t>
            </w:r>
          </w:p>
          <w:p w14:paraId="612E0BD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物,颗粒</w:t>
            </w:r>
          </w:p>
          <w:p w14:paraId="08268B0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物,烟气</w:t>
            </w:r>
          </w:p>
          <w:p w14:paraId="2C6D2BE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黑度</w:t>
            </w:r>
          </w:p>
        </w:tc>
        <w:tc>
          <w:tcPr>
            <w:tcW w:w="850" w:type="pct"/>
            <w:tcBorders>
              <w:tl2br w:val="nil"/>
              <w:tr2bl w:val="nil"/>
            </w:tcBorders>
            <w:vAlign w:val="center"/>
          </w:tcPr>
          <w:p w14:paraId="4157DED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113°14′36.92″</w:t>
            </w:r>
          </w:p>
        </w:tc>
        <w:tc>
          <w:tcPr>
            <w:tcW w:w="653" w:type="pct"/>
            <w:tcBorders>
              <w:tl2br w:val="nil"/>
              <w:tr2bl w:val="nil"/>
            </w:tcBorders>
            <w:vAlign w:val="center"/>
          </w:tcPr>
          <w:p w14:paraId="408BD43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32°37′35.40″</w:t>
            </w:r>
          </w:p>
        </w:tc>
        <w:tc>
          <w:tcPr>
            <w:tcW w:w="420" w:type="pct"/>
            <w:tcBorders>
              <w:tl2br w:val="nil"/>
              <w:tr2bl w:val="nil"/>
            </w:tcBorders>
            <w:vAlign w:val="center"/>
          </w:tcPr>
          <w:p w14:paraId="03AC568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416" w:type="pct"/>
            <w:tcBorders>
              <w:tl2br w:val="nil"/>
              <w:tr2bl w:val="nil"/>
            </w:tcBorders>
            <w:vAlign w:val="center"/>
          </w:tcPr>
          <w:p w14:paraId="1CDE726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781D6C5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63DD455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3EE3AF0F">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4581B9E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35" w:hRule="exact"/>
        </w:trPr>
        <w:tc>
          <w:tcPr>
            <w:tcW w:w="175" w:type="pct"/>
            <w:tcBorders>
              <w:tl2br w:val="nil"/>
              <w:tr2bl w:val="nil"/>
            </w:tcBorders>
            <w:vAlign w:val="center"/>
          </w:tcPr>
          <w:p w14:paraId="53C974A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5</w:t>
            </w:r>
          </w:p>
        </w:tc>
        <w:tc>
          <w:tcPr>
            <w:tcW w:w="311" w:type="pct"/>
            <w:vMerge w:val="continue"/>
            <w:tcBorders>
              <w:tl2br w:val="nil"/>
              <w:tr2bl w:val="nil"/>
            </w:tcBorders>
            <w:vAlign w:val="center"/>
          </w:tcPr>
          <w:p w14:paraId="6B32281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39D67AD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DA009</w:t>
            </w:r>
          </w:p>
        </w:tc>
        <w:tc>
          <w:tcPr>
            <w:tcW w:w="313" w:type="pct"/>
            <w:tcBorders>
              <w:tl2br w:val="nil"/>
              <w:tr2bl w:val="nil"/>
            </w:tcBorders>
            <w:vAlign w:val="center"/>
          </w:tcPr>
          <w:p w14:paraId="5B1DAF1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江联8号</w:t>
            </w:r>
          </w:p>
          <w:p w14:paraId="24D1C9D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0DF7EE1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1597E8E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氮氧化物</w:t>
            </w:r>
          </w:p>
          <w:p w14:paraId="3D70911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w:t>
            </w:r>
          </w:p>
          <w:p w14:paraId="29248D0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度,二氧</w:t>
            </w:r>
          </w:p>
          <w:p w14:paraId="50F0B24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化硫,颗</w:t>
            </w:r>
          </w:p>
          <w:p w14:paraId="32F9772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粒物</w:t>
            </w:r>
          </w:p>
        </w:tc>
        <w:tc>
          <w:tcPr>
            <w:tcW w:w="850" w:type="pct"/>
            <w:tcBorders>
              <w:tl2br w:val="nil"/>
              <w:tr2bl w:val="nil"/>
            </w:tcBorders>
            <w:vAlign w:val="center"/>
          </w:tcPr>
          <w:p w14:paraId="68A3C8F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113°1′14.84″</w:t>
            </w:r>
          </w:p>
        </w:tc>
        <w:tc>
          <w:tcPr>
            <w:tcW w:w="653" w:type="pct"/>
            <w:tcBorders>
              <w:tl2br w:val="nil"/>
              <w:tr2bl w:val="nil"/>
            </w:tcBorders>
            <w:vAlign w:val="center"/>
          </w:tcPr>
          <w:p w14:paraId="3B25382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32°35′46.18″</w:t>
            </w:r>
          </w:p>
        </w:tc>
        <w:tc>
          <w:tcPr>
            <w:tcW w:w="420" w:type="pct"/>
            <w:tcBorders>
              <w:tl2br w:val="nil"/>
              <w:tr2bl w:val="nil"/>
            </w:tcBorders>
            <w:vAlign w:val="center"/>
          </w:tcPr>
          <w:p w14:paraId="31A61E8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2FE366C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2ED98FE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0"/>
              </w:rPr>
            </w:pPr>
          </w:p>
          <w:p w14:paraId="0951DB9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0"/>
              </w:rPr>
            </w:pPr>
          </w:p>
          <w:p w14:paraId="32D9C14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15"/>
              </w:rPr>
            </w:pPr>
          </w:p>
          <w:p w14:paraId="15941D1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150</w:t>
            </w:r>
          </w:p>
        </w:tc>
        <w:tc>
          <w:tcPr>
            <w:tcW w:w="417" w:type="pct"/>
            <w:tcBorders>
              <w:tl2br w:val="nil"/>
              <w:tr2bl w:val="nil"/>
            </w:tcBorders>
            <w:vAlign w:val="center"/>
          </w:tcPr>
          <w:p w14:paraId="489ED64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656CBB5F">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2C42735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924" w:hRule="exact"/>
        </w:trPr>
        <w:tc>
          <w:tcPr>
            <w:tcW w:w="175" w:type="pct"/>
            <w:tcBorders>
              <w:tl2br w:val="nil"/>
              <w:tr2bl w:val="nil"/>
            </w:tcBorders>
            <w:vAlign w:val="center"/>
          </w:tcPr>
          <w:p w14:paraId="742B4C4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6</w:t>
            </w:r>
          </w:p>
        </w:tc>
        <w:tc>
          <w:tcPr>
            <w:tcW w:w="311" w:type="pct"/>
            <w:vMerge w:val="continue"/>
            <w:tcBorders>
              <w:tl2br w:val="nil"/>
              <w:tr2bl w:val="nil"/>
            </w:tcBorders>
            <w:vAlign w:val="center"/>
          </w:tcPr>
          <w:p w14:paraId="1DCFD3C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7560582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DA010</w:t>
            </w:r>
          </w:p>
        </w:tc>
        <w:tc>
          <w:tcPr>
            <w:tcW w:w="313" w:type="pct"/>
            <w:tcBorders>
              <w:tl2br w:val="nil"/>
              <w:tr2bl w:val="nil"/>
            </w:tcBorders>
            <w:vAlign w:val="center"/>
          </w:tcPr>
          <w:p w14:paraId="29ED42D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江联1号加热炉排气筒</w:t>
            </w:r>
          </w:p>
        </w:tc>
        <w:tc>
          <w:tcPr>
            <w:tcW w:w="313" w:type="pct"/>
            <w:tcBorders>
              <w:tl2br w:val="nil"/>
              <w:tr2bl w:val="nil"/>
            </w:tcBorders>
            <w:vAlign w:val="center"/>
          </w:tcPr>
          <w:p w14:paraId="1DD08D6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715144B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3EBE990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w:t>
            </w:r>
          </w:p>
          <w:p w14:paraId="2E91B29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物,烟气</w:t>
            </w:r>
          </w:p>
          <w:p w14:paraId="314199E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黑度</w:t>
            </w:r>
          </w:p>
        </w:tc>
        <w:tc>
          <w:tcPr>
            <w:tcW w:w="850" w:type="pct"/>
            <w:tcBorders>
              <w:tl2br w:val="nil"/>
              <w:tr2bl w:val="nil"/>
            </w:tcBorders>
            <w:vAlign w:val="center"/>
          </w:tcPr>
          <w:p w14:paraId="22CE48D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113°1′14.99″</w:t>
            </w:r>
          </w:p>
        </w:tc>
        <w:tc>
          <w:tcPr>
            <w:tcW w:w="653" w:type="pct"/>
            <w:tcBorders>
              <w:tl2br w:val="nil"/>
              <w:tr2bl w:val="nil"/>
            </w:tcBorders>
            <w:vAlign w:val="center"/>
          </w:tcPr>
          <w:p w14:paraId="2608F4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32°35′46.00″</w:t>
            </w:r>
          </w:p>
        </w:tc>
        <w:tc>
          <w:tcPr>
            <w:tcW w:w="420" w:type="pct"/>
            <w:tcBorders>
              <w:tl2br w:val="nil"/>
              <w:tr2bl w:val="nil"/>
            </w:tcBorders>
            <w:vAlign w:val="center"/>
          </w:tcPr>
          <w:p w14:paraId="7A9684A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5AF2320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0A8593C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115</w:t>
            </w:r>
          </w:p>
        </w:tc>
        <w:tc>
          <w:tcPr>
            <w:tcW w:w="417" w:type="pct"/>
            <w:tcBorders>
              <w:tl2br w:val="nil"/>
              <w:tr2bl w:val="nil"/>
            </w:tcBorders>
            <w:vAlign w:val="center"/>
          </w:tcPr>
          <w:p w14:paraId="16E5039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7B33F79B">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15FD5A7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62" w:hRule="exact"/>
        </w:trPr>
        <w:tc>
          <w:tcPr>
            <w:tcW w:w="175" w:type="pct"/>
            <w:tcBorders>
              <w:tl2br w:val="nil"/>
              <w:tr2bl w:val="nil"/>
            </w:tcBorders>
            <w:vAlign w:val="center"/>
          </w:tcPr>
          <w:p w14:paraId="64ED27B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7</w:t>
            </w:r>
          </w:p>
        </w:tc>
        <w:tc>
          <w:tcPr>
            <w:tcW w:w="311" w:type="pct"/>
            <w:vMerge w:val="continue"/>
            <w:tcBorders>
              <w:tl2br w:val="nil"/>
              <w:tr2bl w:val="nil"/>
            </w:tcBorders>
            <w:vAlign w:val="center"/>
          </w:tcPr>
          <w:p w14:paraId="67972B8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0EB1ABD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DA012</w:t>
            </w:r>
          </w:p>
        </w:tc>
        <w:tc>
          <w:tcPr>
            <w:tcW w:w="313" w:type="pct"/>
            <w:tcBorders>
              <w:tl2br w:val="nil"/>
              <w:tr2bl w:val="nil"/>
            </w:tcBorders>
            <w:vAlign w:val="center"/>
          </w:tcPr>
          <w:p w14:paraId="0175FFE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江联2号加热炉排气筒</w:t>
            </w:r>
          </w:p>
        </w:tc>
        <w:tc>
          <w:tcPr>
            <w:tcW w:w="313" w:type="pct"/>
            <w:tcBorders>
              <w:tl2br w:val="nil"/>
              <w:tr2bl w:val="nil"/>
            </w:tcBorders>
            <w:vAlign w:val="center"/>
          </w:tcPr>
          <w:p w14:paraId="22B4FE7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06FEE38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w:t>
            </w:r>
          </w:p>
          <w:p w14:paraId="6AC02DC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物,烟气</w:t>
            </w:r>
          </w:p>
          <w:p w14:paraId="185A462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黑度,颗</w:t>
            </w:r>
          </w:p>
          <w:p w14:paraId="19E39C9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粒物</w:t>
            </w:r>
          </w:p>
        </w:tc>
        <w:tc>
          <w:tcPr>
            <w:tcW w:w="850" w:type="pct"/>
            <w:tcBorders>
              <w:tl2br w:val="nil"/>
              <w:tr2bl w:val="nil"/>
            </w:tcBorders>
            <w:vAlign w:val="center"/>
          </w:tcPr>
          <w:p w14:paraId="093C065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113°1′14.92″</w:t>
            </w:r>
          </w:p>
        </w:tc>
        <w:tc>
          <w:tcPr>
            <w:tcW w:w="653" w:type="pct"/>
            <w:tcBorders>
              <w:tl2br w:val="nil"/>
              <w:tr2bl w:val="nil"/>
            </w:tcBorders>
            <w:vAlign w:val="center"/>
          </w:tcPr>
          <w:p w14:paraId="2F53225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32°35′46.25″</w:t>
            </w:r>
          </w:p>
        </w:tc>
        <w:tc>
          <w:tcPr>
            <w:tcW w:w="420" w:type="pct"/>
            <w:tcBorders>
              <w:tl2br w:val="nil"/>
              <w:tr2bl w:val="nil"/>
            </w:tcBorders>
            <w:vAlign w:val="center"/>
          </w:tcPr>
          <w:p w14:paraId="705743B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7" w:type="pct"/>
            <w:gridSpan w:val="2"/>
            <w:tcBorders>
              <w:tl2br w:val="nil"/>
              <w:tr2bl w:val="nil"/>
            </w:tcBorders>
            <w:vAlign w:val="center"/>
          </w:tcPr>
          <w:p w14:paraId="26DDB51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5259610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169</w:t>
            </w:r>
          </w:p>
        </w:tc>
        <w:tc>
          <w:tcPr>
            <w:tcW w:w="417" w:type="pct"/>
            <w:tcBorders>
              <w:tl2br w:val="nil"/>
              <w:tr2bl w:val="nil"/>
            </w:tcBorders>
            <w:vAlign w:val="center"/>
          </w:tcPr>
          <w:p w14:paraId="0953A80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4FEA3C7">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15060A1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59" w:hRule="exact"/>
        </w:trPr>
        <w:tc>
          <w:tcPr>
            <w:tcW w:w="175" w:type="pct"/>
            <w:tcBorders>
              <w:tl2br w:val="nil"/>
              <w:tr2bl w:val="nil"/>
            </w:tcBorders>
            <w:vAlign w:val="center"/>
          </w:tcPr>
          <w:p w14:paraId="0BAECB8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311" w:type="pct"/>
            <w:vMerge w:val="continue"/>
            <w:tcBorders>
              <w:tl2br w:val="nil"/>
              <w:tr2bl w:val="nil"/>
            </w:tcBorders>
            <w:vAlign w:val="center"/>
          </w:tcPr>
          <w:p w14:paraId="2B8D1CB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56061FD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DA017</w:t>
            </w:r>
          </w:p>
        </w:tc>
        <w:tc>
          <w:tcPr>
            <w:tcW w:w="313" w:type="pct"/>
            <w:tcBorders>
              <w:tl2br w:val="nil"/>
              <w:tr2bl w:val="nil"/>
            </w:tcBorders>
            <w:vAlign w:val="center"/>
          </w:tcPr>
          <w:p w14:paraId="1A5DE5A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赵凹转油站2号加热炉排气筒</w:t>
            </w:r>
          </w:p>
        </w:tc>
        <w:tc>
          <w:tcPr>
            <w:tcW w:w="313" w:type="pct"/>
            <w:tcBorders>
              <w:tl2br w:val="nil"/>
              <w:tr2bl w:val="nil"/>
            </w:tcBorders>
            <w:vAlign w:val="center"/>
          </w:tcPr>
          <w:p w14:paraId="4EF0677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颗粒物,烟气黑度,二氧化硫,氮氧化物</w:t>
            </w:r>
          </w:p>
        </w:tc>
        <w:tc>
          <w:tcPr>
            <w:tcW w:w="850" w:type="pct"/>
            <w:tcBorders>
              <w:tl2br w:val="nil"/>
              <w:tr2bl w:val="nil"/>
            </w:tcBorders>
            <w:vAlign w:val="center"/>
          </w:tcPr>
          <w:p w14:paraId="5753182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113°7′25.00″</w:t>
            </w:r>
          </w:p>
        </w:tc>
        <w:tc>
          <w:tcPr>
            <w:tcW w:w="653" w:type="pct"/>
            <w:tcBorders>
              <w:tl2br w:val="nil"/>
              <w:tr2bl w:val="nil"/>
            </w:tcBorders>
            <w:vAlign w:val="center"/>
          </w:tcPr>
          <w:p w14:paraId="5C7C0E0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32°34′59.99″</w:t>
            </w:r>
          </w:p>
        </w:tc>
        <w:tc>
          <w:tcPr>
            <w:tcW w:w="420" w:type="pct"/>
            <w:tcBorders>
              <w:tl2br w:val="nil"/>
              <w:tr2bl w:val="nil"/>
            </w:tcBorders>
            <w:vAlign w:val="center"/>
          </w:tcPr>
          <w:p w14:paraId="00E2A75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7" w:type="pct"/>
            <w:gridSpan w:val="2"/>
            <w:tcBorders>
              <w:tl2br w:val="nil"/>
              <w:tr2bl w:val="nil"/>
            </w:tcBorders>
            <w:vAlign w:val="center"/>
          </w:tcPr>
          <w:p w14:paraId="502D3F4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7821576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130</w:t>
            </w:r>
          </w:p>
        </w:tc>
        <w:tc>
          <w:tcPr>
            <w:tcW w:w="417" w:type="pct"/>
            <w:tcBorders>
              <w:tl2br w:val="nil"/>
              <w:tr2bl w:val="nil"/>
            </w:tcBorders>
            <w:vAlign w:val="center"/>
          </w:tcPr>
          <w:p w14:paraId="348D6D7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131E259A">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3F21E2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925" w:hRule="exact"/>
        </w:trPr>
        <w:tc>
          <w:tcPr>
            <w:tcW w:w="175" w:type="pct"/>
            <w:tcBorders>
              <w:tl2br w:val="nil"/>
              <w:tr2bl w:val="nil"/>
            </w:tcBorders>
            <w:vAlign w:val="center"/>
          </w:tcPr>
          <w:p w14:paraId="70ABE4C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9</w:t>
            </w:r>
          </w:p>
        </w:tc>
        <w:tc>
          <w:tcPr>
            <w:tcW w:w="311" w:type="pct"/>
            <w:vMerge w:val="continue"/>
            <w:tcBorders>
              <w:tl2br w:val="nil"/>
              <w:tr2bl w:val="nil"/>
            </w:tcBorders>
            <w:vAlign w:val="center"/>
          </w:tcPr>
          <w:p w14:paraId="69164AE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6BD6002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DA018</w:t>
            </w:r>
          </w:p>
        </w:tc>
        <w:tc>
          <w:tcPr>
            <w:tcW w:w="313" w:type="pct"/>
            <w:tcBorders>
              <w:tl2br w:val="nil"/>
              <w:tr2bl w:val="nil"/>
            </w:tcBorders>
            <w:vAlign w:val="center"/>
          </w:tcPr>
          <w:p w14:paraId="1651A34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赵凹转油站3号加热炉排气筒</w:t>
            </w:r>
          </w:p>
        </w:tc>
        <w:tc>
          <w:tcPr>
            <w:tcW w:w="313" w:type="pct"/>
            <w:tcBorders>
              <w:tl2br w:val="nil"/>
              <w:tr2bl w:val="nil"/>
            </w:tcBorders>
            <w:vAlign w:val="center"/>
          </w:tcPr>
          <w:p w14:paraId="7152697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49597BF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 物,颗粒 物,二氧 化硫</w:t>
            </w:r>
          </w:p>
        </w:tc>
        <w:tc>
          <w:tcPr>
            <w:tcW w:w="850" w:type="pct"/>
            <w:tcBorders>
              <w:tl2br w:val="nil"/>
              <w:tr2bl w:val="nil"/>
            </w:tcBorders>
            <w:vAlign w:val="center"/>
          </w:tcPr>
          <w:p w14:paraId="48C0DFF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113°7′25.00″</w:t>
            </w:r>
          </w:p>
        </w:tc>
        <w:tc>
          <w:tcPr>
            <w:tcW w:w="653" w:type="pct"/>
            <w:tcBorders>
              <w:tl2br w:val="nil"/>
              <w:tr2bl w:val="nil"/>
            </w:tcBorders>
            <w:vAlign w:val="center"/>
          </w:tcPr>
          <w:p w14:paraId="5243D14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32°34′59.99″</w:t>
            </w:r>
          </w:p>
        </w:tc>
        <w:tc>
          <w:tcPr>
            <w:tcW w:w="420" w:type="pct"/>
            <w:tcBorders>
              <w:tl2br w:val="nil"/>
              <w:tr2bl w:val="nil"/>
            </w:tcBorders>
            <w:vAlign w:val="center"/>
          </w:tcPr>
          <w:p w14:paraId="247C9B4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7" w:type="pct"/>
            <w:gridSpan w:val="2"/>
            <w:tcBorders>
              <w:tl2br w:val="nil"/>
              <w:tr2bl w:val="nil"/>
            </w:tcBorders>
            <w:vAlign w:val="center"/>
          </w:tcPr>
          <w:p w14:paraId="491D46C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5C2473F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132</w:t>
            </w:r>
          </w:p>
        </w:tc>
        <w:tc>
          <w:tcPr>
            <w:tcW w:w="417" w:type="pct"/>
            <w:tcBorders>
              <w:tl2br w:val="nil"/>
              <w:tr2bl w:val="nil"/>
            </w:tcBorders>
            <w:vAlign w:val="center"/>
          </w:tcPr>
          <w:p w14:paraId="17AA6B7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0145FF19">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2D3218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407" w:hRule="exact"/>
        </w:trPr>
        <w:tc>
          <w:tcPr>
            <w:tcW w:w="175" w:type="pct"/>
            <w:tcBorders>
              <w:tl2br w:val="nil"/>
              <w:tr2bl w:val="nil"/>
            </w:tcBorders>
            <w:vAlign w:val="center"/>
          </w:tcPr>
          <w:p w14:paraId="4D9D1C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311" w:type="pct"/>
            <w:vMerge w:val="continue"/>
            <w:tcBorders>
              <w:tl2br w:val="nil"/>
              <w:tr2bl w:val="nil"/>
            </w:tcBorders>
            <w:vAlign w:val="center"/>
          </w:tcPr>
          <w:p w14:paraId="26B6EFC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3ABE660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DA019</w:t>
            </w:r>
          </w:p>
        </w:tc>
        <w:tc>
          <w:tcPr>
            <w:tcW w:w="313" w:type="pct"/>
            <w:tcBorders>
              <w:tl2br w:val="nil"/>
              <w:tr2bl w:val="nil"/>
            </w:tcBorders>
            <w:vAlign w:val="center"/>
          </w:tcPr>
          <w:p w14:paraId="1F62AAB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赵凹转油</w:t>
            </w:r>
          </w:p>
          <w:p w14:paraId="12214F6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站1号加</w:t>
            </w:r>
          </w:p>
          <w:p w14:paraId="590C5C2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热炉排气</w:t>
            </w:r>
          </w:p>
          <w:p w14:paraId="1D66AB2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筒</w:t>
            </w:r>
          </w:p>
        </w:tc>
        <w:tc>
          <w:tcPr>
            <w:tcW w:w="313" w:type="pct"/>
            <w:tcBorders>
              <w:tl2br w:val="nil"/>
              <w:tr2bl w:val="nil"/>
            </w:tcBorders>
            <w:vAlign w:val="center"/>
          </w:tcPr>
          <w:p w14:paraId="7737963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23B3DBE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66AE0BE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w:t>
            </w:r>
          </w:p>
          <w:p w14:paraId="30BE892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物,二氧 化硫</w:t>
            </w:r>
          </w:p>
        </w:tc>
        <w:tc>
          <w:tcPr>
            <w:tcW w:w="850" w:type="pct"/>
            <w:tcBorders>
              <w:tl2br w:val="nil"/>
              <w:tr2bl w:val="nil"/>
            </w:tcBorders>
            <w:vAlign w:val="center"/>
          </w:tcPr>
          <w:p w14:paraId="5A3F16C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113°7′25.00″</w:t>
            </w:r>
          </w:p>
        </w:tc>
        <w:tc>
          <w:tcPr>
            <w:tcW w:w="653" w:type="pct"/>
            <w:tcBorders>
              <w:tl2br w:val="nil"/>
              <w:tr2bl w:val="nil"/>
            </w:tcBorders>
            <w:vAlign w:val="center"/>
          </w:tcPr>
          <w:p w14:paraId="4E2727A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32°34′59.99″</w:t>
            </w:r>
          </w:p>
        </w:tc>
        <w:tc>
          <w:tcPr>
            <w:tcW w:w="420" w:type="pct"/>
            <w:tcBorders>
              <w:tl2br w:val="nil"/>
              <w:tr2bl w:val="nil"/>
            </w:tcBorders>
            <w:vAlign w:val="center"/>
          </w:tcPr>
          <w:p w14:paraId="51E54B0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7" w:type="pct"/>
            <w:gridSpan w:val="2"/>
            <w:tcBorders>
              <w:tl2br w:val="nil"/>
              <w:tr2bl w:val="nil"/>
            </w:tcBorders>
            <w:vAlign w:val="center"/>
          </w:tcPr>
          <w:p w14:paraId="4ED720E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4D13EE1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116.3</w:t>
            </w:r>
          </w:p>
        </w:tc>
        <w:tc>
          <w:tcPr>
            <w:tcW w:w="417" w:type="pct"/>
            <w:tcBorders>
              <w:tl2br w:val="nil"/>
              <w:tr2bl w:val="nil"/>
            </w:tcBorders>
            <w:vAlign w:val="center"/>
          </w:tcPr>
          <w:p w14:paraId="0B0BAC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0A109000">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45CD03A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50" w:hRule="exact"/>
        </w:trPr>
        <w:tc>
          <w:tcPr>
            <w:tcW w:w="175" w:type="pct"/>
            <w:tcBorders>
              <w:tl2br w:val="nil"/>
              <w:tr2bl w:val="nil"/>
            </w:tcBorders>
            <w:vAlign w:val="center"/>
          </w:tcPr>
          <w:p w14:paraId="4BAF410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11</w:t>
            </w:r>
          </w:p>
        </w:tc>
        <w:tc>
          <w:tcPr>
            <w:tcW w:w="311" w:type="pct"/>
            <w:vMerge w:val="continue"/>
            <w:tcBorders>
              <w:tl2br w:val="nil"/>
              <w:tr2bl w:val="nil"/>
            </w:tcBorders>
            <w:vAlign w:val="center"/>
          </w:tcPr>
          <w:p w14:paraId="44952F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6086AF4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DA020</w:t>
            </w:r>
          </w:p>
        </w:tc>
        <w:tc>
          <w:tcPr>
            <w:tcW w:w="313" w:type="pct"/>
            <w:tcBorders>
              <w:tl2br w:val="nil"/>
              <w:tr2bl w:val="nil"/>
            </w:tcBorders>
            <w:vAlign w:val="center"/>
          </w:tcPr>
          <w:p w14:paraId="1348915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赵凹转油站4号加热炉排气筒</w:t>
            </w:r>
          </w:p>
        </w:tc>
        <w:tc>
          <w:tcPr>
            <w:tcW w:w="313" w:type="pct"/>
            <w:tcBorders>
              <w:tl2br w:val="nil"/>
              <w:tr2bl w:val="nil"/>
            </w:tcBorders>
            <w:vAlign w:val="center"/>
          </w:tcPr>
          <w:p w14:paraId="51FBB86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颗粒物,二氧化硫</w:t>
            </w:r>
          </w:p>
          <w:p w14:paraId="7BE0FE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,氮氧化物,烟气黑度</w:t>
            </w:r>
          </w:p>
        </w:tc>
        <w:tc>
          <w:tcPr>
            <w:tcW w:w="850" w:type="pct"/>
            <w:tcBorders>
              <w:tl2br w:val="nil"/>
              <w:tr2bl w:val="nil"/>
            </w:tcBorders>
            <w:vAlign w:val="center"/>
          </w:tcPr>
          <w:p w14:paraId="010C380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113°7′25.00″</w:t>
            </w:r>
          </w:p>
        </w:tc>
        <w:tc>
          <w:tcPr>
            <w:tcW w:w="653" w:type="pct"/>
            <w:tcBorders>
              <w:tl2br w:val="nil"/>
              <w:tr2bl w:val="nil"/>
            </w:tcBorders>
            <w:vAlign w:val="center"/>
          </w:tcPr>
          <w:p w14:paraId="3CD11A3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32°34′59.99″</w:t>
            </w:r>
          </w:p>
        </w:tc>
        <w:tc>
          <w:tcPr>
            <w:tcW w:w="420" w:type="pct"/>
            <w:tcBorders>
              <w:tl2br w:val="nil"/>
              <w:tr2bl w:val="nil"/>
            </w:tcBorders>
            <w:vAlign w:val="center"/>
          </w:tcPr>
          <w:p w14:paraId="2F62D3D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16</w:t>
            </w:r>
          </w:p>
        </w:tc>
        <w:tc>
          <w:tcPr>
            <w:tcW w:w="416" w:type="pct"/>
            <w:tcBorders>
              <w:tl2br w:val="nil"/>
              <w:tr2bl w:val="nil"/>
            </w:tcBorders>
            <w:vAlign w:val="center"/>
          </w:tcPr>
          <w:p w14:paraId="26681CC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0.6</w:t>
            </w:r>
          </w:p>
        </w:tc>
        <w:tc>
          <w:tcPr>
            <w:tcW w:w="396" w:type="pct"/>
            <w:gridSpan w:val="2"/>
            <w:tcBorders>
              <w:tl2br w:val="nil"/>
              <w:tr2bl w:val="nil"/>
            </w:tcBorders>
            <w:vAlign w:val="center"/>
          </w:tcPr>
          <w:p w14:paraId="62F5069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140</w:t>
            </w:r>
          </w:p>
        </w:tc>
        <w:tc>
          <w:tcPr>
            <w:tcW w:w="417" w:type="pct"/>
            <w:tcBorders>
              <w:tl2br w:val="nil"/>
              <w:tr2bl w:val="nil"/>
            </w:tcBorders>
            <w:vAlign w:val="center"/>
          </w:tcPr>
          <w:p w14:paraId="7674AE3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eastAsia" w:ascii="Times New Roman" w:hAnsi="Times New Roman" w:eastAsia="宋体" w:cs="Times New Roman"/>
                <w:b w:val="0"/>
                <w:sz w:val="21"/>
                <w:lang w:val="en-US" w:eastAsia="zh-CN"/>
              </w:rPr>
            </w:pPr>
            <w:r>
              <w:rPr>
                <w:rFonts w:hint="eastAsia" w:ascii="Times New Roman" w:hAnsi="Times New Roman" w:cs="Times New Roman"/>
                <w:b w:val="0"/>
                <w:sz w:val="21"/>
                <w:lang w:val="en-US" w:eastAsia="zh-CN"/>
              </w:rPr>
              <w:t>/</w:t>
            </w:r>
          </w:p>
        </w:tc>
        <w:tc>
          <w:tcPr>
            <w:tcW w:w="417" w:type="pct"/>
            <w:tcBorders>
              <w:tl2br w:val="nil"/>
              <w:tr2bl w:val="nil"/>
            </w:tcBorders>
            <w:vAlign w:val="center"/>
          </w:tcPr>
          <w:p w14:paraId="7CF8B4F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停用</w:t>
            </w:r>
          </w:p>
        </w:tc>
      </w:tr>
      <w:tr w14:paraId="021F35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52" w:hRule="exact"/>
        </w:trPr>
        <w:tc>
          <w:tcPr>
            <w:tcW w:w="175" w:type="pct"/>
            <w:tcBorders>
              <w:tl2br w:val="nil"/>
              <w:tr2bl w:val="nil"/>
            </w:tcBorders>
            <w:vAlign w:val="center"/>
          </w:tcPr>
          <w:p w14:paraId="57C27F0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311" w:type="pct"/>
            <w:vMerge w:val="continue"/>
            <w:tcBorders>
              <w:tl2br w:val="nil"/>
              <w:tr2bl w:val="nil"/>
            </w:tcBorders>
            <w:vAlign w:val="center"/>
          </w:tcPr>
          <w:p w14:paraId="0240F43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6A6C6D2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DA021</w:t>
            </w:r>
          </w:p>
        </w:tc>
        <w:tc>
          <w:tcPr>
            <w:tcW w:w="313" w:type="pct"/>
            <w:tcBorders>
              <w:tl2br w:val="nil"/>
              <w:tr2bl w:val="nil"/>
            </w:tcBorders>
            <w:vAlign w:val="center"/>
          </w:tcPr>
          <w:p w14:paraId="0AAF19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张店1号加热炉排气筒</w:t>
            </w:r>
          </w:p>
        </w:tc>
        <w:tc>
          <w:tcPr>
            <w:tcW w:w="313" w:type="pct"/>
            <w:tcBorders>
              <w:tl2br w:val="nil"/>
              <w:tr2bl w:val="nil"/>
            </w:tcBorders>
            <w:vAlign w:val="center"/>
          </w:tcPr>
          <w:p w14:paraId="5947938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5A71325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w:t>
            </w:r>
          </w:p>
          <w:p w14:paraId="70A57CC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度,颗粒</w:t>
            </w:r>
          </w:p>
          <w:p w14:paraId="2A921FE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物,氮氧</w:t>
            </w:r>
          </w:p>
          <w:p w14:paraId="52495F8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w:t>
            </w:r>
          </w:p>
        </w:tc>
        <w:tc>
          <w:tcPr>
            <w:tcW w:w="850" w:type="pct"/>
            <w:tcBorders>
              <w:tl2br w:val="nil"/>
              <w:tr2bl w:val="nil"/>
            </w:tcBorders>
            <w:vAlign w:val="center"/>
          </w:tcPr>
          <w:p w14:paraId="16F52B2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112°40′16.00″</w:t>
            </w:r>
          </w:p>
        </w:tc>
        <w:tc>
          <w:tcPr>
            <w:tcW w:w="653" w:type="pct"/>
            <w:tcBorders>
              <w:tl2br w:val="nil"/>
              <w:tr2bl w:val="nil"/>
            </w:tcBorders>
            <w:vAlign w:val="center"/>
          </w:tcPr>
          <w:p w14:paraId="1203028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32°40′31.01″</w:t>
            </w:r>
          </w:p>
        </w:tc>
        <w:tc>
          <w:tcPr>
            <w:tcW w:w="420" w:type="pct"/>
            <w:tcBorders>
              <w:tl2br w:val="nil"/>
              <w:tr2bl w:val="nil"/>
            </w:tcBorders>
            <w:vAlign w:val="center"/>
          </w:tcPr>
          <w:p w14:paraId="14A113C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3F7A0D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0.8</w:t>
            </w:r>
          </w:p>
        </w:tc>
        <w:tc>
          <w:tcPr>
            <w:tcW w:w="396" w:type="pct"/>
            <w:gridSpan w:val="2"/>
            <w:tcBorders>
              <w:tl2br w:val="nil"/>
              <w:tr2bl w:val="nil"/>
            </w:tcBorders>
            <w:vAlign w:val="center"/>
          </w:tcPr>
          <w:p w14:paraId="4EF6509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140</w:t>
            </w:r>
          </w:p>
        </w:tc>
        <w:tc>
          <w:tcPr>
            <w:tcW w:w="417" w:type="pct"/>
            <w:tcBorders>
              <w:tl2br w:val="nil"/>
              <w:tr2bl w:val="nil"/>
            </w:tcBorders>
            <w:vAlign w:val="center"/>
          </w:tcPr>
          <w:p w14:paraId="5C65D60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7227BA51">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0E2D1B7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707" w:hRule="exact"/>
        </w:trPr>
        <w:tc>
          <w:tcPr>
            <w:tcW w:w="175" w:type="pct"/>
            <w:tcBorders>
              <w:tl2br w:val="nil"/>
              <w:tr2bl w:val="nil"/>
            </w:tcBorders>
            <w:vAlign w:val="center"/>
          </w:tcPr>
          <w:p w14:paraId="47A07A5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w:t>
            </w:r>
          </w:p>
        </w:tc>
        <w:tc>
          <w:tcPr>
            <w:tcW w:w="311" w:type="pct"/>
            <w:vMerge w:val="continue"/>
            <w:tcBorders>
              <w:tl2br w:val="nil"/>
              <w:tr2bl w:val="nil"/>
            </w:tcBorders>
            <w:vAlign w:val="center"/>
          </w:tcPr>
          <w:p w14:paraId="716CC79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486A4EF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DA022</w:t>
            </w:r>
          </w:p>
        </w:tc>
        <w:tc>
          <w:tcPr>
            <w:tcW w:w="313" w:type="pct"/>
            <w:tcBorders>
              <w:tl2br w:val="nil"/>
              <w:tr2bl w:val="nil"/>
            </w:tcBorders>
            <w:vAlign w:val="center"/>
          </w:tcPr>
          <w:p w14:paraId="07B31DB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白秋2号加热炉排气筒</w:t>
            </w:r>
          </w:p>
        </w:tc>
        <w:tc>
          <w:tcPr>
            <w:tcW w:w="313" w:type="pct"/>
            <w:tcBorders>
              <w:tl2br w:val="nil"/>
              <w:tr2bl w:val="nil"/>
            </w:tcBorders>
            <w:vAlign w:val="center"/>
          </w:tcPr>
          <w:p w14:paraId="34C946E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2D8F70E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w:t>
            </w:r>
          </w:p>
          <w:p w14:paraId="4B9A117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度,氮氧</w:t>
            </w:r>
          </w:p>
          <w:p w14:paraId="69F4E26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化物,颗</w:t>
            </w:r>
          </w:p>
          <w:p w14:paraId="15B9F24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粒物</w:t>
            </w:r>
          </w:p>
        </w:tc>
        <w:tc>
          <w:tcPr>
            <w:tcW w:w="850" w:type="pct"/>
            <w:tcBorders>
              <w:tl2br w:val="nil"/>
              <w:tr2bl w:val="nil"/>
            </w:tcBorders>
            <w:vAlign w:val="center"/>
          </w:tcPr>
          <w:p w14:paraId="5D8D6B8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112°40′43.72″</w:t>
            </w:r>
          </w:p>
        </w:tc>
        <w:tc>
          <w:tcPr>
            <w:tcW w:w="653" w:type="pct"/>
            <w:tcBorders>
              <w:tl2br w:val="nil"/>
              <w:tr2bl w:val="nil"/>
            </w:tcBorders>
            <w:vAlign w:val="center"/>
          </w:tcPr>
          <w:p w14:paraId="5444408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32°42′15.98″</w:t>
            </w:r>
          </w:p>
        </w:tc>
        <w:tc>
          <w:tcPr>
            <w:tcW w:w="420" w:type="pct"/>
            <w:tcBorders>
              <w:tl2br w:val="nil"/>
              <w:tr2bl w:val="nil"/>
            </w:tcBorders>
            <w:vAlign w:val="center"/>
          </w:tcPr>
          <w:p w14:paraId="79752F7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416" w:type="pct"/>
            <w:tcBorders>
              <w:tl2br w:val="nil"/>
              <w:tr2bl w:val="nil"/>
            </w:tcBorders>
            <w:vAlign w:val="center"/>
          </w:tcPr>
          <w:p w14:paraId="06BF210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5BFD570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134</w:t>
            </w:r>
          </w:p>
        </w:tc>
        <w:tc>
          <w:tcPr>
            <w:tcW w:w="417" w:type="pct"/>
            <w:tcBorders>
              <w:tl2br w:val="nil"/>
              <w:tr2bl w:val="nil"/>
            </w:tcBorders>
            <w:vAlign w:val="center"/>
          </w:tcPr>
          <w:p w14:paraId="60C51F2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4985997">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3BB8ECC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651" w:hRule="exact"/>
        </w:trPr>
        <w:tc>
          <w:tcPr>
            <w:tcW w:w="175" w:type="pct"/>
            <w:tcBorders>
              <w:tl2br w:val="nil"/>
              <w:tr2bl w:val="nil"/>
            </w:tcBorders>
            <w:vAlign w:val="center"/>
          </w:tcPr>
          <w:p w14:paraId="11D4676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14</w:t>
            </w:r>
          </w:p>
        </w:tc>
        <w:tc>
          <w:tcPr>
            <w:tcW w:w="311" w:type="pct"/>
            <w:vMerge w:val="continue"/>
            <w:tcBorders>
              <w:tl2br w:val="nil"/>
              <w:tr2bl w:val="nil"/>
            </w:tcBorders>
            <w:vAlign w:val="center"/>
          </w:tcPr>
          <w:p w14:paraId="3AEBA47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1F2C8C8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DA023</w:t>
            </w:r>
          </w:p>
        </w:tc>
        <w:tc>
          <w:tcPr>
            <w:tcW w:w="313" w:type="pct"/>
            <w:tcBorders>
              <w:tl2br w:val="nil"/>
              <w:tr2bl w:val="nil"/>
            </w:tcBorders>
            <w:vAlign w:val="center"/>
          </w:tcPr>
          <w:p w14:paraId="383B3EA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白秋1号</w:t>
            </w:r>
          </w:p>
          <w:p w14:paraId="5268CC2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12CA519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73B3858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25983A6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w:t>
            </w:r>
          </w:p>
          <w:p w14:paraId="701B816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度,氮氧</w:t>
            </w:r>
          </w:p>
          <w:p w14:paraId="474387B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化物,颗</w:t>
            </w:r>
          </w:p>
          <w:p w14:paraId="0C5EE06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粒物</w:t>
            </w:r>
          </w:p>
        </w:tc>
        <w:tc>
          <w:tcPr>
            <w:tcW w:w="850" w:type="pct"/>
            <w:tcBorders>
              <w:tl2br w:val="nil"/>
              <w:tr2bl w:val="nil"/>
            </w:tcBorders>
            <w:vAlign w:val="center"/>
          </w:tcPr>
          <w:p w14:paraId="6034C58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112°40′44.47″</w:t>
            </w:r>
          </w:p>
        </w:tc>
        <w:tc>
          <w:tcPr>
            <w:tcW w:w="653" w:type="pct"/>
            <w:tcBorders>
              <w:tl2br w:val="nil"/>
              <w:tr2bl w:val="nil"/>
            </w:tcBorders>
            <w:vAlign w:val="center"/>
          </w:tcPr>
          <w:p w14:paraId="26AEBB5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32°42′15.91″</w:t>
            </w:r>
          </w:p>
        </w:tc>
        <w:tc>
          <w:tcPr>
            <w:tcW w:w="420" w:type="pct"/>
            <w:tcBorders>
              <w:tl2br w:val="nil"/>
              <w:tr2bl w:val="nil"/>
            </w:tcBorders>
            <w:vAlign w:val="center"/>
          </w:tcPr>
          <w:p w14:paraId="22FE6BF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416" w:type="pct"/>
            <w:tcBorders>
              <w:tl2br w:val="nil"/>
              <w:tr2bl w:val="nil"/>
            </w:tcBorders>
            <w:vAlign w:val="center"/>
          </w:tcPr>
          <w:p w14:paraId="76AF229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16962E2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156</w:t>
            </w:r>
          </w:p>
        </w:tc>
        <w:tc>
          <w:tcPr>
            <w:tcW w:w="417" w:type="pct"/>
            <w:tcBorders>
              <w:tl2br w:val="nil"/>
              <w:tr2bl w:val="nil"/>
            </w:tcBorders>
            <w:vAlign w:val="center"/>
          </w:tcPr>
          <w:p w14:paraId="464160F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56492EE8">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03247EE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70" w:hRule="exact"/>
        </w:trPr>
        <w:tc>
          <w:tcPr>
            <w:tcW w:w="175" w:type="pct"/>
            <w:tcBorders>
              <w:tl2br w:val="nil"/>
              <w:tr2bl w:val="nil"/>
            </w:tcBorders>
            <w:vAlign w:val="center"/>
          </w:tcPr>
          <w:p w14:paraId="38B1B76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w:t>
            </w:r>
          </w:p>
        </w:tc>
        <w:tc>
          <w:tcPr>
            <w:tcW w:w="311" w:type="pct"/>
            <w:vMerge w:val="continue"/>
            <w:tcBorders>
              <w:tl2br w:val="nil"/>
              <w:tr2bl w:val="nil"/>
            </w:tcBorders>
            <w:vAlign w:val="center"/>
          </w:tcPr>
          <w:p w14:paraId="7463EE7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37AA98F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DA024</w:t>
            </w:r>
          </w:p>
        </w:tc>
        <w:tc>
          <w:tcPr>
            <w:tcW w:w="313" w:type="pct"/>
            <w:tcBorders>
              <w:tl2br w:val="nil"/>
              <w:tr2bl w:val="nil"/>
            </w:tcBorders>
            <w:vAlign w:val="center"/>
          </w:tcPr>
          <w:p w14:paraId="2638C02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安棚8计量站2号加热炉排气筒</w:t>
            </w:r>
          </w:p>
        </w:tc>
        <w:tc>
          <w:tcPr>
            <w:tcW w:w="313" w:type="pct"/>
            <w:tcBorders>
              <w:tl2br w:val="nil"/>
              <w:tr2bl w:val="nil"/>
            </w:tcBorders>
            <w:vAlign w:val="center"/>
          </w:tcPr>
          <w:p w14:paraId="59A4A8C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6CDAD85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 物,颗粒 物,二氧 化硫</w:t>
            </w:r>
          </w:p>
        </w:tc>
        <w:tc>
          <w:tcPr>
            <w:tcW w:w="850" w:type="pct"/>
            <w:tcBorders>
              <w:tl2br w:val="nil"/>
              <w:tr2bl w:val="nil"/>
            </w:tcBorders>
            <w:vAlign w:val="center"/>
          </w:tcPr>
          <w:p w14:paraId="229737A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113°11′21.98″</w:t>
            </w:r>
          </w:p>
        </w:tc>
        <w:tc>
          <w:tcPr>
            <w:tcW w:w="653" w:type="pct"/>
            <w:tcBorders>
              <w:tl2br w:val="nil"/>
              <w:tr2bl w:val="nil"/>
            </w:tcBorders>
            <w:vAlign w:val="center"/>
          </w:tcPr>
          <w:p w14:paraId="774C542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32°33′58.00″</w:t>
            </w:r>
          </w:p>
        </w:tc>
        <w:tc>
          <w:tcPr>
            <w:tcW w:w="420" w:type="pct"/>
            <w:tcBorders>
              <w:tl2br w:val="nil"/>
              <w:tr2bl w:val="nil"/>
            </w:tcBorders>
            <w:vAlign w:val="center"/>
          </w:tcPr>
          <w:p w14:paraId="2166A61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w:t>
            </w:r>
          </w:p>
        </w:tc>
        <w:tc>
          <w:tcPr>
            <w:tcW w:w="417" w:type="pct"/>
            <w:gridSpan w:val="2"/>
            <w:tcBorders>
              <w:tl2br w:val="nil"/>
              <w:tr2bl w:val="nil"/>
            </w:tcBorders>
            <w:vAlign w:val="center"/>
          </w:tcPr>
          <w:p w14:paraId="5BDA55D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0249980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230</w:t>
            </w:r>
          </w:p>
        </w:tc>
        <w:tc>
          <w:tcPr>
            <w:tcW w:w="417" w:type="pct"/>
            <w:tcBorders>
              <w:tl2br w:val="nil"/>
              <w:tr2bl w:val="nil"/>
            </w:tcBorders>
            <w:vAlign w:val="center"/>
          </w:tcPr>
          <w:p w14:paraId="280C14A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0CC66F74">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6D7D07F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618" w:hRule="exact"/>
        </w:trPr>
        <w:tc>
          <w:tcPr>
            <w:tcW w:w="175" w:type="pct"/>
            <w:tcBorders>
              <w:tl2br w:val="nil"/>
              <w:tr2bl w:val="nil"/>
            </w:tcBorders>
            <w:vAlign w:val="center"/>
          </w:tcPr>
          <w:p w14:paraId="7373C05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16</w:t>
            </w:r>
          </w:p>
        </w:tc>
        <w:tc>
          <w:tcPr>
            <w:tcW w:w="311" w:type="pct"/>
            <w:vMerge w:val="continue"/>
            <w:tcBorders>
              <w:tl2br w:val="nil"/>
              <w:tr2bl w:val="nil"/>
            </w:tcBorders>
            <w:vAlign w:val="center"/>
          </w:tcPr>
          <w:p w14:paraId="2F59B1A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4C4F68A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DA025</w:t>
            </w:r>
          </w:p>
        </w:tc>
        <w:tc>
          <w:tcPr>
            <w:tcW w:w="313" w:type="pct"/>
            <w:tcBorders>
              <w:tl2br w:val="nil"/>
              <w:tr2bl w:val="nil"/>
            </w:tcBorders>
            <w:vAlign w:val="center"/>
          </w:tcPr>
          <w:p w14:paraId="4EECB0E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张店4号</w:t>
            </w:r>
          </w:p>
          <w:p w14:paraId="25A12BE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7B3A85E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08F8211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68C1619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w:t>
            </w:r>
          </w:p>
          <w:p w14:paraId="7BD25FB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硫,颗粒</w:t>
            </w:r>
          </w:p>
          <w:p w14:paraId="1C1A817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物,氮氧</w:t>
            </w:r>
          </w:p>
          <w:p w14:paraId="1D4FEE2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w:t>
            </w:r>
          </w:p>
        </w:tc>
        <w:tc>
          <w:tcPr>
            <w:tcW w:w="850" w:type="pct"/>
            <w:tcBorders>
              <w:tl2br w:val="nil"/>
              <w:tr2bl w:val="nil"/>
            </w:tcBorders>
            <w:vAlign w:val="center"/>
          </w:tcPr>
          <w:p w14:paraId="46E6E7B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112°40′16.00″</w:t>
            </w:r>
          </w:p>
        </w:tc>
        <w:tc>
          <w:tcPr>
            <w:tcW w:w="653" w:type="pct"/>
            <w:tcBorders>
              <w:tl2br w:val="nil"/>
              <w:tr2bl w:val="nil"/>
            </w:tcBorders>
            <w:vAlign w:val="center"/>
          </w:tcPr>
          <w:p w14:paraId="08CB1C9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32°40′31.01″</w:t>
            </w:r>
          </w:p>
        </w:tc>
        <w:tc>
          <w:tcPr>
            <w:tcW w:w="420" w:type="pct"/>
            <w:tcBorders>
              <w:tl2br w:val="nil"/>
              <w:tr2bl w:val="nil"/>
            </w:tcBorders>
            <w:vAlign w:val="center"/>
          </w:tcPr>
          <w:p w14:paraId="74430E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417" w:type="pct"/>
            <w:gridSpan w:val="2"/>
            <w:tcBorders>
              <w:tl2br w:val="nil"/>
              <w:tr2bl w:val="nil"/>
            </w:tcBorders>
            <w:vAlign w:val="center"/>
          </w:tcPr>
          <w:p w14:paraId="0AE68CC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0.6</w:t>
            </w:r>
          </w:p>
        </w:tc>
        <w:tc>
          <w:tcPr>
            <w:tcW w:w="395" w:type="pct"/>
            <w:tcBorders>
              <w:tl2br w:val="nil"/>
              <w:tr2bl w:val="nil"/>
            </w:tcBorders>
            <w:vAlign w:val="center"/>
          </w:tcPr>
          <w:p w14:paraId="5D0E507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12C3287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24C00F1A">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670E941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560" w:hRule="exact"/>
        </w:trPr>
        <w:tc>
          <w:tcPr>
            <w:tcW w:w="175" w:type="pct"/>
            <w:tcBorders>
              <w:tl2br w:val="nil"/>
              <w:tr2bl w:val="nil"/>
            </w:tcBorders>
            <w:vAlign w:val="center"/>
          </w:tcPr>
          <w:p w14:paraId="2BE683F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17</w:t>
            </w:r>
          </w:p>
        </w:tc>
        <w:tc>
          <w:tcPr>
            <w:tcW w:w="311" w:type="pct"/>
            <w:vMerge w:val="continue"/>
            <w:tcBorders>
              <w:tl2br w:val="nil"/>
              <w:tr2bl w:val="nil"/>
            </w:tcBorders>
            <w:vAlign w:val="center"/>
          </w:tcPr>
          <w:p w14:paraId="6AE35FB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0D9AF55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DA026</w:t>
            </w:r>
          </w:p>
        </w:tc>
        <w:tc>
          <w:tcPr>
            <w:tcW w:w="313" w:type="pct"/>
            <w:tcBorders>
              <w:tl2br w:val="nil"/>
              <w:tr2bl w:val="nil"/>
            </w:tcBorders>
            <w:vAlign w:val="center"/>
          </w:tcPr>
          <w:p w14:paraId="1F43C63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安棚8计</w:t>
            </w:r>
          </w:p>
          <w:p w14:paraId="4110AB8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量站3号</w:t>
            </w:r>
          </w:p>
          <w:p w14:paraId="6865B00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7A407A4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01B14A8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24AD199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21C599B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01493BC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lang w:val="en-US" w:eastAsia="zh-CN"/>
              </w:rPr>
            </w:pPr>
            <w:r>
              <w:rPr>
                <w:rFonts w:hint="default" w:ascii="Times New Roman" w:hAnsi="Times New Roman" w:eastAsia="宋体" w:cs="Times New Roman"/>
                <w:b w:val="0"/>
                <w:sz w:val="21"/>
                <w:szCs w:val="21"/>
              </w:rPr>
              <w:t>,氮氧化</w:t>
            </w:r>
            <w:r>
              <w:rPr>
                <w:rFonts w:hint="default" w:ascii="Times New Roman" w:hAnsi="Times New Roman" w:eastAsia="宋体" w:cs="Times New Roman"/>
                <w:b w:val="0"/>
                <w:sz w:val="21"/>
                <w:szCs w:val="21"/>
                <w:lang w:eastAsia="zh-CN"/>
              </w:rPr>
              <w:t>物</w:t>
            </w:r>
          </w:p>
        </w:tc>
        <w:tc>
          <w:tcPr>
            <w:tcW w:w="850" w:type="pct"/>
            <w:tcBorders>
              <w:tl2br w:val="nil"/>
              <w:tr2bl w:val="nil"/>
            </w:tcBorders>
            <w:vAlign w:val="center"/>
          </w:tcPr>
          <w:p w14:paraId="3B45644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113°11′21.98″</w:t>
            </w:r>
          </w:p>
        </w:tc>
        <w:tc>
          <w:tcPr>
            <w:tcW w:w="653" w:type="pct"/>
            <w:tcBorders>
              <w:tl2br w:val="nil"/>
              <w:tr2bl w:val="nil"/>
            </w:tcBorders>
            <w:vAlign w:val="center"/>
          </w:tcPr>
          <w:p w14:paraId="06A8B6E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32°33′58.00″</w:t>
            </w:r>
          </w:p>
        </w:tc>
        <w:tc>
          <w:tcPr>
            <w:tcW w:w="420" w:type="pct"/>
            <w:tcBorders>
              <w:tl2br w:val="nil"/>
              <w:tr2bl w:val="nil"/>
            </w:tcBorders>
            <w:vAlign w:val="center"/>
          </w:tcPr>
          <w:p w14:paraId="3D884F6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417" w:type="pct"/>
            <w:gridSpan w:val="2"/>
            <w:tcBorders>
              <w:tl2br w:val="nil"/>
              <w:tr2bl w:val="nil"/>
            </w:tcBorders>
            <w:vAlign w:val="center"/>
          </w:tcPr>
          <w:p w14:paraId="48DBA1F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5" w:type="pct"/>
            <w:tcBorders>
              <w:tl2br w:val="nil"/>
              <w:tr2bl w:val="nil"/>
            </w:tcBorders>
            <w:vAlign w:val="center"/>
          </w:tcPr>
          <w:p w14:paraId="3FF686C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160</w:t>
            </w:r>
          </w:p>
        </w:tc>
        <w:tc>
          <w:tcPr>
            <w:tcW w:w="417" w:type="pct"/>
            <w:tcBorders>
              <w:tl2br w:val="nil"/>
              <w:tr2bl w:val="nil"/>
            </w:tcBorders>
            <w:vAlign w:val="center"/>
          </w:tcPr>
          <w:p w14:paraId="4C39443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2F081C8F">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2CC0364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912" w:hRule="exact"/>
        </w:trPr>
        <w:tc>
          <w:tcPr>
            <w:tcW w:w="175" w:type="pct"/>
            <w:tcBorders>
              <w:tl2br w:val="nil"/>
              <w:tr2bl w:val="nil"/>
            </w:tcBorders>
            <w:vAlign w:val="center"/>
          </w:tcPr>
          <w:p w14:paraId="0EBEF98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w:t>
            </w:r>
          </w:p>
        </w:tc>
        <w:tc>
          <w:tcPr>
            <w:tcW w:w="311" w:type="pct"/>
            <w:vMerge w:val="continue"/>
            <w:tcBorders>
              <w:tl2br w:val="nil"/>
              <w:tr2bl w:val="nil"/>
            </w:tcBorders>
            <w:vAlign w:val="center"/>
          </w:tcPr>
          <w:p w14:paraId="0ABBF41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7A19E4B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DA027</w:t>
            </w:r>
          </w:p>
        </w:tc>
        <w:tc>
          <w:tcPr>
            <w:tcW w:w="313" w:type="pct"/>
            <w:tcBorders>
              <w:tl2br w:val="nil"/>
              <w:tr2bl w:val="nil"/>
            </w:tcBorders>
            <w:vAlign w:val="center"/>
          </w:tcPr>
          <w:p w14:paraId="24C00AD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张店3号</w:t>
            </w:r>
          </w:p>
          <w:p w14:paraId="06F545E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799D38A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51F4CF9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3D63715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w:t>
            </w:r>
          </w:p>
          <w:p w14:paraId="60683A0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度,氮氧</w:t>
            </w:r>
          </w:p>
          <w:p w14:paraId="2D4631C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化物,颗</w:t>
            </w:r>
          </w:p>
          <w:p w14:paraId="60DD263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粒物</w:t>
            </w:r>
          </w:p>
        </w:tc>
        <w:tc>
          <w:tcPr>
            <w:tcW w:w="850" w:type="pct"/>
            <w:tcBorders>
              <w:tl2br w:val="nil"/>
              <w:tr2bl w:val="nil"/>
            </w:tcBorders>
            <w:vAlign w:val="center"/>
          </w:tcPr>
          <w:p w14:paraId="62331FF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112°40′16.00″</w:t>
            </w:r>
          </w:p>
        </w:tc>
        <w:tc>
          <w:tcPr>
            <w:tcW w:w="653" w:type="pct"/>
            <w:tcBorders>
              <w:tl2br w:val="nil"/>
              <w:tr2bl w:val="nil"/>
            </w:tcBorders>
            <w:vAlign w:val="center"/>
          </w:tcPr>
          <w:p w14:paraId="50F2F4B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32°40′31.01″</w:t>
            </w:r>
          </w:p>
        </w:tc>
        <w:tc>
          <w:tcPr>
            <w:tcW w:w="420" w:type="pct"/>
            <w:tcBorders>
              <w:tl2br w:val="nil"/>
              <w:tr2bl w:val="nil"/>
            </w:tcBorders>
            <w:vAlign w:val="center"/>
          </w:tcPr>
          <w:p w14:paraId="2589293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416" w:type="pct"/>
            <w:tcBorders>
              <w:tl2br w:val="nil"/>
              <w:tr2bl w:val="nil"/>
            </w:tcBorders>
            <w:vAlign w:val="center"/>
          </w:tcPr>
          <w:p w14:paraId="2108B78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5AFF669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176</w:t>
            </w:r>
          </w:p>
        </w:tc>
        <w:tc>
          <w:tcPr>
            <w:tcW w:w="417" w:type="pct"/>
            <w:tcBorders>
              <w:tl2br w:val="nil"/>
              <w:tr2bl w:val="nil"/>
            </w:tcBorders>
            <w:vAlign w:val="center"/>
          </w:tcPr>
          <w:p w14:paraId="0B7FDB9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65492B8">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1724037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3930" w:hRule="exact"/>
        </w:trPr>
        <w:tc>
          <w:tcPr>
            <w:tcW w:w="175" w:type="pct"/>
            <w:tcBorders>
              <w:tl2br w:val="nil"/>
              <w:tr2bl w:val="nil"/>
            </w:tcBorders>
            <w:vAlign w:val="center"/>
          </w:tcPr>
          <w:p w14:paraId="1D43216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19</w:t>
            </w:r>
          </w:p>
        </w:tc>
        <w:tc>
          <w:tcPr>
            <w:tcW w:w="311" w:type="pct"/>
            <w:vMerge w:val="continue"/>
            <w:tcBorders>
              <w:tl2br w:val="nil"/>
              <w:tr2bl w:val="nil"/>
            </w:tcBorders>
            <w:vAlign w:val="center"/>
          </w:tcPr>
          <w:p w14:paraId="0C03A0A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4223C7C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DA028</w:t>
            </w:r>
          </w:p>
        </w:tc>
        <w:tc>
          <w:tcPr>
            <w:tcW w:w="313" w:type="pct"/>
            <w:tcBorders>
              <w:tl2br w:val="nil"/>
              <w:tr2bl w:val="nil"/>
            </w:tcBorders>
            <w:vAlign w:val="center"/>
          </w:tcPr>
          <w:p w14:paraId="59C30BF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张店2号</w:t>
            </w:r>
          </w:p>
          <w:p w14:paraId="0522097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加热炉排</w:t>
            </w:r>
          </w:p>
          <w:p w14:paraId="6698B94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气筒</w:t>
            </w:r>
          </w:p>
        </w:tc>
        <w:tc>
          <w:tcPr>
            <w:tcW w:w="313" w:type="pct"/>
            <w:tcBorders>
              <w:tl2br w:val="nil"/>
              <w:tr2bl w:val="nil"/>
            </w:tcBorders>
            <w:vAlign w:val="center"/>
          </w:tcPr>
          <w:p w14:paraId="68DCAAC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氮氧化物</w:t>
            </w:r>
          </w:p>
          <w:p w14:paraId="6FCA098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6563680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26AA59B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w:t>
            </w:r>
          </w:p>
          <w:p w14:paraId="27CBBD2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硫</w:t>
            </w:r>
          </w:p>
        </w:tc>
        <w:tc>
          <w:tcPr>
            <w:tcW w:w="850" w:type="pct"/>
            <w:tcBorders>
              <w:tl2br w:val="nil"/>
              <w:tr2bl w:val="nil"/>
            </w:tcBorders>
            <w:vAlign w:val="center"/>
          </w:tcPr>
          <w:p w14:paraId="5F82498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112°40′16.00″</w:t>
            </w:r>
          </w:p>
        </w:tc>
        <w:tc>
          <w:tcPr>
            <w:tcW w:w="653" w:type="pct"/>
            <w:tcBorders>
              <w:tl2br w:val="nil"/>
              <w:tr2bl w:val="nil"/>
            </w:tcBorders>
            <w:vAlign w:val="center"/>
          </w:tcPr>
          <w:p w14:paraId="18E5FA4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32°40′31.01″</w:t>
            </w:r>
          </w:p>
        </w:tc>
        <w:tc>
          <w:tcPr>
            <w:tcW w:w="420" w:type="pct"/>
            <w:tcBorders>
              <w:tl2br w:val="nil"/>
              <w:tr2bl w:val="nil"/>
            </w:tcBorders>
            <w:vAlign w:val="center"/>
          </w:tcPr>
          <w:p w14:paraId="619B2DC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8</w:t>
            </w:r>
          </w:p>
        </w:tc>
        <w:tc>
          <w:tcPr>
            <w:tcW w:w="416" w:type="pct"/>
            <w:tcBorders>
              <w:tl2br w:val="nil"/>
              <w:tr2bl w:val="nil"/>
            </w:tcBorders>
            <w:vAlign w:val="center"/>
          </w:tcPr>
          <w:p w14:paraId="7CCA5C1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0.6</w:t>
            </w:r>
          </w:p>
        </w:tc>
        <w:tc>
          <w:tcPr>
            <w:tcW w:w="396" w:type="pct"/>
            <w:gridSpan w:val="2"/>
            <w:tcBorders>
              <w:tl2br w:val="nil"/>
              <w:tr2bl w:val="nil"/>
            </w:tcBorders>
            <w:vAlign w:val="center"/>
          </w:tcPr>
          <w:p w14:paraId="44FF6C5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210</w:t>
            </w:r>
          </w:p>
        </w:tc>
        <w:tc>
          <w:tcPr>
            <w:tcW w:w="417" w:type="pct"/>
            <w:tcBorders>
              <w:tl2br w:val="nil"/>
              <w:tr2bl w:val="nil"/>
            </w:tcBorders>
            <w:vAlign w:val="center"/>
          </w:tcPr>
          <w:p w14:paraId="0EB0826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507903D4">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5D2201A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45" w:hRule="exact"/>
        </w:trPr>
        <w:tc>
          <w:tcPr>
            <w:tcW w:w="175" w:type="pct"/>
            <w:tcBorders>
              <w:tl2br w:val="nil"/>
              <w:tr2bl w:val="nil"/>
            </w:tcBorders>
            <w:vAlign w:val="center"/>
          </w:tcPr>
          <w:p w14:paraId="6D1897B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20</w:t>
            </w:r>
          </w:p>
        </w:tc>
        <w:tc>
          <w:tcPr>
            <w:tcW w:w="311" w:type="pct"/>
            <w:vMerge w:val="continue"/>
            <w:tcBorders>
              <w:tl2br w:val="nil"/>
              <w:tr2bl w:val="nil"/>
            </w:tcBorders>
            <w:vAlign w:val="center"/>
          </w:tcPr>
          <w:p w14:paraId="42DE504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21C013F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DA029</w:t>
            </w:r>
          </w:p>
        </w:tc>
        <w:tc>
          <w:tcPr>
            <w:tcW w:w="313" w:type="pct"/>
            <w:tcBorders>
              <w:tl2br w:val="nil"/>
              <w:tr2bl w:val="nil"/>
            </w:tcBorders>
            <w:vAlign w:val="center"/>
          </w:tcPr>
          <w:p w14:paraId="1F7E7B6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安棚8计 量站1号 加热炉排 气筒</w:t>
            </w:r>
          </w:p>
        </w:tc>
        <w:tc>
          <w:tcPr>
            <w:tcW w:w="313" w:type="pct"/>
            <w:tcBorders>
              <w:tl2br w:val="nil"/>
              <w:tr2bl w:val="nil"/>
            </w:tcBorders>
            <w:vAlign w:val="center"/>
          </w:tcPr>
          <w:p w14:paraId="45AEA73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0892035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6D45F27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7D12606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 物</w:t>
            </w:r>
          </w:p>
        </w:tc>
        <w:tc>
          <w:tcPr>
            <w:tcW w:w="850" w:type="pct"/>
            <w:tcBorders>
              <w:tl2br w:val="nil"/>
              <w:tr2bl w:val="nil"/>
            </w:tcBorders>
            <w:vAlign w:val="center"/>
          </w:tcPr>
          <w:p w14:paraId="66E85D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113°11′21.98″</w:t>
            </w:r>
          </w:p>
        </w:tc>
        <w:tc>
          <w:tcPr>
            <w:tcW w:w="653" w:type="pct"/>
            <w:tcBorders>
              <w:tl2br w:val="nil"/>
              <w:tr2bl w:val="nil"/>
            </w:tcBorders>
            <w:vAlign w:val="center"/>
          </w:tcPr>
          <w:p w14:paraId="6A581F1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32°33′58.00″</w:t>
            </w:r>
          </w:p>
        </w:tc>
        <w:tc>
          <w:tcPr>
            <w:tcW w:w="420" w:type="pct"/>
            <w:tcBorders>
              <w:tl2br w:val="nil"/>
              <w:tr2bl w:val="nil"/>
            </w:tcBorders>
            <w:vAlign w:val="center"/>
          </w:tcPr>
          <w:p w14:paraId="6BDAB10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w:t>
            </w:r>
          </w:p>
        </w:tc>
        <w:tc>
          <w:tcPr>
            <w:tcW w:w="416" w:type="pct"/>
            <w:tcBorders>
              <w:tl2br w:val="nil"/>
              <w:tr2bl w:val="nil"/>
            </w:tcBorders>
            <w:vAlign w:val="center"/>
          </w:tcPr>
          <w:p w14:paraId="39E8DA6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2BD81F6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132</w:t>
            </w:r>
          </w:p>
        </w:tc>
        <w:tc>
          <w:tcPr>
            <w:tcW w:w="417" w:type="pct"/>
            <w:tcBorders>
              <w:tl2br w:val="nil"/>
              <w:tr2bl w:val="nil"/>
            </w:tcBorders>
            <w:vAlign w:val="center"/>
          </w:tcPr>
          <w:p w14:paraId="004755B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7D6B2CE9">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125E18A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446" w:hRule="exact"/>
        </w:trPr>
        <w:tc>
          <w:tcPr>
            <w:tcW w:w="175" w:type="pct"/>
            <w:tcBorders>
              <w:tl2br w:val="nil"/>
              <w:tr2bl w:val="nil"/>
            </w:tcBorders>
            <w:vAlign w:val="center"/>
          </w:tcPr>
          <w:p w14:paraId="3B74CAB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21</w:t>
            </w:r>
          </w:p>
        </w:tc>
        <w:tc>
          <w:tcPr>
            <w:tcW w:w="311" w:type="pct"/>
            <w:vMerge w:val="continue"/>
            <w:tcBorders>
              <w:tl2br w:val="nil"/>
              <w:tr2bl w:val="nil"/>
            </w:tcBorders>
            <w:vAlign w:val="center"/>
          </w:tcPr>
          <w:p w14:paraId="0058234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371962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DA030</w:t>
            </w:r>
          </w:p>
        </w:tc>
        <w:tc>
          <w:tcPr>
            <w:tcW w:w="313" w:type="pct"/>
            <w:tcBorders>
              <w:tl2br w:val="nil"/>
              <w:tr2bl w:val="nil"/>
            </w:tcBorders>
            <w:vAlign w:val="center"/>
          </w:tcPr>
          <w:p w14:paraId="29092FE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安棚转油</w:t>
            </w:r>
          </w:p>
          <w:p w14:paraId="61F67D2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站4号加热炉排气 筒</w:t>
            </w:r>
          </w:p>
        </w:tc>
        <w:tc>
          <w:tcPr>
            <w:tcW w:w="313" w:type="pct"/>
            <w:tcBorders>
              <w:tl2br w:val="nil"/>
              <w:tr2bl w:val="nil"/>
            </w:tcBorders>
            <w:vAlign w:val="center"/>
          </w:tcPr>
          <w:p w14:paraId="1ABA116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6F95EB3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,颗粒物,氮氧化物</w:t>
            </w:r>
          </w:p>
          <w:p w14:paraId="0B1CC72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 度</w:t>
            </w:r>
          </w:p>
        </w:tc>
        <w:tc>
          <w:tcPr>
            <w:tcW w:w="850" w:type="pct"/>
            <w:tcBorders>
              <w:tl2br w:val="nil"/>
              <w:tr2bl w:val="nil"/>
            </w:tcBorders>
            <w:vAlign w:val="center"/>
          </w:tcPr>
          <w:p w14:paraId="1207FB8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113°8′12.37″</w:t>
            </w:r>
          </w:p>
        </w:tc>
        <w:tc>
          <w:tcPr>
            <w:tcW w:w="653" w:type="pct"/>
            <w:tcBorders>
              <w:tl2br w:val="nil"/>
              <w:tr2bl w:val="nil"/>
            </w:tcBorders>
            <w:vAlign w:val="center"/>
          </w:tcPr>
          <w:p w14:paraId="0860E28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32°34′19.31″</w:t>
            </w:r>
          </w:p>
        </w:tc>
        <w:tc>
          <w:tcPr>
            <w:tcW w:w="420" w:type="pct"/>
            <w:tcBorders>
              <w:tl2br w:val="nil"/>
              <w:tr2bl w:val="nil"/>
            </w:tcBorders>
            <w:vAlign w:val="center"/>
          </w:tcPr>
          <w:p w14:paraId="57504B9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725B27E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6D67333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210</w:t>
            </w:r>
          </w:p>
        </w:tc>
        <w:tc>
          <w:tcPr>
            <w:tcW w:w="417" w:type="pct"/>
            <w:tcBorders>
              <w:tl2br w:val="nil"/>
              <w:tr2bl w:val="nil"/>
            </w:tcBorders>
            <w:vAlign w:val="center"/>
          </w:tcPr>
          <w:p w14:paraId="63258DD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eastAsia" w:ascii="Times New Roman" w:hAnsi="Times New Roman" w:eastAsia="宋体" w:cs="Times New Roman"/>
                <w:b w:val="0"/>
                <w:sz w:val="21"/>
                <w:lang w:val="en-US" w:eastAsia="zh-CN"/>
              </w:rPr>
            </w:pPr>
            <w:r>
              <w:rPr>
                <w:rFonts w:hint="eastAsia" w:ascii="Times New Roman" w:hAnsi="Times New Roman" w:cs="Times New Roman"/>
                <w:b w:val="0"/>
                <w:sz w:val="21"/>
                <w:lang w:val="en-US" w:eastAsia="zh-CN"/>
              </w:rPr>
              <w:t>/</w:t>
            </w:r>
          </w:p>
        </w:tc>
        <w:tc>
          <w:tcPr>
            <w:tcW w:w="417" w:type="pct"/>
            <w:tcBorders>
              <w:tl2br w:val="nil"/>
              <w:tr2bl w:val="nil"/>
            </w:tcBorders>
            <w:vAlign w:val="center"/>
          </w:tcPr>
          <w:p w14:paraId="7078134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停用</w:t>
            </w:r>
          </w:p>
        </w:tc>
      </w:tr>
      <w:tr w14:paraId="6DFB38E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40" w:hRule="exact"/>
        </w:trPr>
        <w:tc>
          <w:tcPr>
            <w:tcW w:w="175" w:type="pct"/>
            <w:tcBorders>
              <w:tl2br w:val="nil"/>
              <w:tr2bl w:val="nil"/>
            </w:tcBorders>
            <w:vAlign w:val="center"/>
          </w:tcPr>
          <w:p w14:paraId="3E35DD1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22</w:t>
            </w:r>
          </w:p>
        </w:tc>
        <w:tc>
          <w:tcPr>
            <w:tcW w:w="311" w:type="pct"/>
            <w:vMerge w:val="continue"/>
            <w:tcBorders>
              <w:tl2br w:val="nil"/>
              <w:tr2bl w:val="nil"/>
            </w:tcBorders>
            <w:vAlign w:val="center"/>
          </w:tcPr>
          <w:p w14:paraId="70D8062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082CACA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DA031</w:t>
            </w:r>
          </w:p>
        </w:tc>
        <w:tc>
          <w:tcPr>
            <w:tcW w:w="313" w:type="pct"/>
            <w:tcBorders>
              <w:tl2br w:val="nil"/>
              <w:tr2bl w:val="nil"/>
            </w:tcBorders>
            <w:vAlign w:val="center"/>
          </w:tcPr>
          <w:p w14:paraId="2D53657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安棚转油 站2号加 热炉排气 筒</w:t>
            </w:r>
          </w:p>
        </w:tc>
        <w:tc>
          <w:tcPr>
            <w:tcW w:w="313" w:type="pct"/>
            <w:tcBorders>
              <w:tl2br w:val="nil"/>
              <w:tr2bl w:val="nil"/>
            </w:tcBorders>
            <w:vAlign w:val="center"/>
          </w:tcPr>
          <w:p w14:paraId="7E23C2E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二氧化硫</w:t>
            </w:r>
          </w:p>
          <w:p w14:paraId="77F750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 度,颗粒 物,氮氧 化物</w:t>
            </w:r>
          </w:p>
        </w:tc>
        <w:tc>
          <w:tcPr>
            <w:tcW w:w="850" w:type="pct"/>
            <w:tcBorders>
              <w:tl2br w:val="nil"/>
              <w:tr2bl w:val="nil"/>
            </w:tcBorders>
            <w:vAlign w:val="center"/>
          </w:tcPr>
          <w:p w14:paraId="2DE48AC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113°8′11.36″</w:t>
            </w:r>
          </w:p>
        </w:tc>
        <w:tc>
          <w:tcPr>
            <w:tcW w:w="653" w:type="pct"/>
            <w:tcBorders>
              <w:tl2br w:val="nil"/>
              <w:tr2bl w:val="nil"/>
            </w:tcBorders>
            <w:vAlign w:val="center"/>
          </w:tcPr>
          <w:p w14:paraId="55E5A27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32°34′19.74″</w:t>
            </w:r>
          </w:p>
        </w:tc>
        <w:tc>
          <w:tcPr>
            <w:tcW w:w="420" w:type="pct"/>
            <w:tcBorders>
              <w:tl2br w:val="nil"/>
              <w:tr2bl w:val="nil"/>
            </w:tcBorders>
            <w:vAlign w:val="center"/>
          </w:tcPr>
          <w:p w14:paraId="2C7CE04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w:t>
            </w:r>
          </w:p>
        </w:tc>
        <w:tc>
          <w:tcPr>
            <w:tcW w:w="416" w:type="pct"/>
            <w:tcBorders>
              <w:tl2br w:val="nil"/>
              <w:tr2bl w:val="nil"/>
            </w:tcBorders>
            <w:vAlign w:val="center"/>
          </w:tcPr>
          <w:p w14:paraId="059B67B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55F9798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120</w:t>
            </w:r>
          </w:p>
        </w:tc>
        <w:tc>
          <w:tcPr>
            <w:tcW w:w="417" w:type="pct"/>
            <w:tcBorders>
              <w:tl2br w:val="nil"/>
              <w:tr2bl w:val="nil"/>
            </w:tcBorders>
            <w:vAlign w:val="center"/>
          </w:tcPr>
          <w:p w14:paraId="3398E7F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619215BD">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7A58A88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865" w:hRule="exact"/>
        </w:trPr>
        <w:tc>
          <w:tcPr>
            <w:tcW w:w="175" w:type="pct"/>
            <w:tcBorders>
              <w:tl2br w:val="nil"/>
              <w:tr2bl w:val="nil"/>
            </w:tcBorders>
            <w:vAlign w:val="center"/>
          </w:tcPr>
          <w:p w14:paraId="49D4784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23</w:t>
            </w:r>
          </w:p>
        </w:tc>
        <w:tc>
          <w:tcPr>
            <w:tcW w:w="311" w:type="pct"/>
            <w:vMerge w:val="continue"/>
            <w:tcBorders>
              <w:tl2br w:val="nil"/>
              <w:tr2bl w:val="nil"/>
            </w:tcBorders>
            <w:vAlign w:val="center"/>
          </w:tcPr>
          <w:p w14:paraId="2A63E30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6CB47BB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DA032</w:t>
            </w:r>
          </w:p>
        </w:tc>
        <w:tc>
          <w:tcPr>
            <w:tcW w:w="313" w:type="pct"/>
            <w:tcBorders>
              <w:tl2br w:val="nil"/>
              <w:tr2bl w:val="nil"/>
            </w:tcBorders>
            <w:vAlign w:val="center"/>
          </w:tcPr>
          <w:p w14:paraId="7009EBB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安棚转油 站3号加 热炉排气 筒</w:t>
            </w:r>
          </w:p>
        </w:tc>
        <w:tc>
          <w:tcPr>
            <w:tcW w:w="313" w:type="pct"/>
            <w:tcBorders>
              <w:tl2br w:val="nil"/>
              <w:tr2bl w:val="nil"/>
            </w:tcBorders>
            <w:vAlign w:val="center"/>
          </w:tcPr>
          <w:p w14:paraId="584CB40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426DC7E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 物,二氧 化硫,颗 粒物</w:t>
            </w:r>
          </w:p>
        </w:tc>
        <w:tc>
          <w:tcPr>
            <w:tcW w:w="850" w:type="pct"/>
            <w:tcBorders>
              <w:tl2br w:val="nil"/>
              <w:tr2bl w:val="nil"/>
            </w:tcBorders>
            <w:vAlign w:val="center"/>
          </w:tcPr>
          <w:p w14:paraId="71A03B4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113°8′11.76″</w:t>
            </w:r>
          </w:p>
        </w:tc>
        <w:tc>
          <w:tcPr>
            <w:tcW w:w="653" w:type="pct"/>
            <w:tcBorders>
              <w:tl2br w:val="nil"/>
              <w:tr2bl w:val="nil"/>
            </w:tcBorders>
            <w:vAlign w:val="center"/>
          </w:tcPr>
          <w:p w14:paraId="0D57FFE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32°34′19.42″</w:t>
            </w:r>
          </w:p>
        </w:tc>
        <w:tc>
          <w:tcPr>
            <w:tcW w:w="420" w:type="pct"/>
            <w:tcBorders>
              <w:tl2br w:val="nil"/>
              <w:tr2bl w:val="nil"/>
            </w:tcBorders>
            <w:vAlign w:val="center"/>
          </w:tcPr>
          <w:p w14:paraId="5CEBCD8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463F038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15F15BF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160</w:t>
            </w:r>
          </w:p>
        </w:tc>
        <w:tc>
          <w:tcPr>
            <w:tcW w:w="417" w:type="pct"/>
            <w:tcBorders>
              <w:tl2br w:val="nil"/>
              <w:tr2bl w:val="nil"/>
            </w:tcBorders>
            <w:vAlign w:val="center"/>
          </w:tcPr>
          <w:p w14:paraId="4E74434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1254076">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15660F6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080" w:hRule="exact"/>
        </w:trPr>
        <w:tc>
          <w:tcPr>
            <w:tcW w:w="175" w:type="pct"/>
            <w:tcBorders>
              <w:tl2br w:val="nil"/>
              <w:tr2bl w:val="nil"/>
            </w:tcBorders>
            <w:vAlign w:val="center"/>
          </w:tcPr>
          <w:p w14:paraId="097F7A1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24</w:t>
            </w:r>
          </w:p>
        </w:tc>
        <w:tc>
          <w:tcPr>
            <w:tcW w:w="311" w:type="pct"/>
            <w:vMerge w:val="continue"/>
            <w:tcBorders>
              <w:tl2br w:val="nil"/>
              <w:tr2bl w:val="nil"/>
            </w:tcBorders>
            <w:vAlign w:val="center"/>
          </w:tcPr>
          <w:p w14:paraId="6FF858C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7746681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DA033</w:t>
            </w:r>
          </w:p>
        </w:tc>
        <w:tc>
          <w:tcPr>
            <w:tcW w:w="313" w:type="pct"/>
            <w:tcBorders>
              <w:tl2br w:val="nil"/>
              <w:tr2bl w:val="nil"/>
            </w:tcBorders>
            <w:vAlign w:val="center"/>
          </w:tcPr>
          <w:p w14:paraId="6D5D87C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安棚转油 站1号加 热炉排气 筒</w:t>
            </w:r>
          </w:p>
        </w:tc>
        <w:tc>
          <w:tcPr>
            <w:tcW w:w="313" w:type="pct"/>
            <w:tcBorders>
              <w:tl2br w:val="nil"/>
              <w:tr2bl w:val="nil"/>
            </w:tcBorders>
            <w:vAlign w:val="center"/>
          </w:tcPr>
          <w:p w14:paraId="39E8D6F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氮氧化物</w:t>
            </w:r>
          </w:p>
          <w:p w14:paraId="3929D44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,颗粒物,</w:t>
            </w:r>
          </w:p>
          <w:p w14:paraId="51F78BE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24E76E7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 硫</w:t>
            </w:r>
          </w:p>
        </w:tc>
        <w:tc>
          <w:tcPr>
            <w:tcW w:w="850" w:type="pct"/>
            <w:tcBorders>
              <w:tl2br w:val="nil"/>
              <w:tr2bl w:val="nil"/>
            </w:tcBorders>
            <w:vAlign w:val="center"/>
          </w:tcPr>
          <w:p w14:paraId="0CD50A0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113°8′12.41″</w:t>
            </w:r>
          </w:p>
        </w:tc>
        <w:tc>
          <w:tcPr>
            <w:tcW w:w="653" w:type="pct"/>
            <w:tcBorders>
              <w:tl2br w:val="nil"/>
              <w:tr2bl w:val="nil"/>
            </w:tcBorders>
            <w:vAlign w:val="center"/>
          </w:tcPr>
          <w:p w14:paraId="409C126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32°34′20.46″</w:t>
            </w:r>
          </w:p>
        </w:tc>
        <w:tc>
          <w:tcPr>
            <w:tcW w:w="420" w:type="pct"/>
            <w:tcBorders>
              <w:tl2br w:val="nil"/>
              <w:tr2bl w:val="nil"/>
            </w:tcBorders>
            <w:vAlign w:val="center"/>
          </w:tcPr>
          <w:p w14:paraId="0D30F79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10</w:t>
            </w:r>
          </w:p>
        </w:tc>
        <w:tc>
          <w:tcPr>
            <w:tcW w:w="416" w:type="pct"/>
            <w:tcBorders>
              <w:tl2br w:val="nil"/>
              <w:tr2bl w:val="nil"/>
            </w:tcBorders>
            <w:vAlign w:val="center"/>
          </w:tcPr>
          <w:p w14:paraId="3B54622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0.4</w:t>
            </w:r>
          </w:p>
        </w:tc>
        <w:tc>
          <w:tcPr>
            <w:tcW w:w="396" w:type="pct"/>
            <w:gridSpan w:val="2"/>
            <w:tcBorders>
              <w:tl2br w:val="nil"/>
              <w:tr2bl w:val="nil"/>
            </w:tcBorders>
            <w:vAlign w:val="center"/>
          </w:tcPr>
          <w:p w14:paraId="3562842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210</w:t>
            </w:r>
          </w:p>
        </w:tc>
        <w:tc>
          <w:tcPr>
            <w:tcW w:w="417" w:type="pct"/>
            <w:tcBorders>
              <w:tl2br w:val="nil"/>
              <w:tr2bl w:val="nil"/>
            </w:tcBorders>
            <w:vAlign w:val="center"/>
          </w:tcPr>
          <w:p w14:paraId="649C22E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2EA2669D">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251F15B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145" w:hRule="exact"/>
        </w:trPr>
        <w:tc>
          <w:tcPr>
            <w:tcW w:w="175" w:type="pct"/>
            <w:tcBorders>
              <w:tl2br w:val="nil"/>
              <w:tr2bl w:val="nil"/>
            </w:tcBorders>
            <w:vAlign w:val="center"/>
          </w:tcPr>
          <w:p w14:paraId="7423FED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25</w:t>
            </w:r>
          </w:p>
        </w:tc>
        <w:tc>
          <w:tcPr>
            <w:tcW w:w="311" w:type="pct"/>
            <w:vMerge w:val="continue"/>
            <w:tcBorders>
              <w:tl2br w:val="nil"/>
              <w:tr2bl w:val="nil"/>
            </w:tcBorders>
            <w:vAlign w:val="center"/>
          </w:tcPr>
          <w:p w14:paraId="72C083A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381644C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DA034</w:t>
            </w:r>
          </w:p>
        </w:tc>
        <w:tc>
          <w:tcPr>
            <w:tcW w:w="313" w:type="pct"/>
            <w:tcBorders>
              <w:tl2br w:val="nil"/>
              <w:tr2bl w:val="nil"/>
            </w:tcBorders>
            <w:vAlign w:val="center"/>
          </w:tcPr>
          <w:p w14:paraId="5C11FC4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魏联3号 锅炉排气 筒</w:t>
            </w:r>
          </w:p>
        </w:tc>
        <w:tc>
          <w:tcPr>
            <w:tcW w:w="313" w:type="pct"/>
            <w:tcBorders>
              <w:tl2br w:val="nil"/>
              <w:tr2bl w:val="nil"/>
            </w:tcBorders>
            <w:vAlign w:val="center"/>
          </w:tcPr>
          <w:p w14:paraId="6901ED9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烟气黑度</w:t>
            </w:r>
          </w:p>
          <w:p w14:paraId="7675565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,二氧化 硫,颗粒 物,氮氧 化物</w:t>
            </w:r>
          </w:p>
        </w:tc>
        <w:tc>
          <w:tcPr>
            <w:tcW w:w="850" w:type="pct"/>
            <w:tcBorders>
              <w:tl2br w:val="nil"/>
              <w:tr2bl w:val="nil"/>
            </w:tcBorders>
            <w:vAlign w:val="center"/>
          </w:tcPr>
          <w:p w14:paraId="46FB05E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112°35′48.98″</w:t>
            </w:r>
          </w:p>
        </w:tc>
        <w:tc>
          <w:tcPr>
            <w:tcW w:w="653" w:type="pct"/>
            <w:tcBorders>
              <w:tl2br w:val="nil"/>
              <w:tr2bl w:val="nil"/>
            </w:tcBorders>
            <w:vAlign w:val="center"/>
          </w:tcPr>
          <w:p w14:paraId="7487699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32°39′42.01″</w:t>
            </w:r>
          </w:p>
        </w:tc>
        <w:tc>
          <w:tcPr>
            <w:tcW w:w="420" w:type="pct"/>
            <w:tcBorders>
              <w:tl2br w:val="nil"/>
              <w:tr2bl w:val="nil"/>
            </w:tcBorders>
            <w:vAlign w:val="center"/>
          </w:tcPr>
          <w:p w14:paraId="3A9C088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w:t>
            </w:r>
          </w:p>
        </w:tc>
        <w:tc>
          <w:tcPr>
            <w:tcW w:w="417" w:type="pct"/>
            <w:gridSpan w:val="2"/>
            <w:tcBorders>
              <w:tl2br w:val="nil"/>
              <w:tr2bl w:val="nil"/>
            </w:tcBorders>
            <w:vAlign w:val="center"/>
          </w:tcPr>
          <w:p w14:paraId="782F603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0.6</w:t>
            </w:r>
          </w:p>
        </w:tc>
        <w:tc>
          <w:tcPr>
            <w:tcW w:w="395" w:type="pct"/>
            <w:tcBorders>
              <w:tl2br w:val="nil"/>
              <w:tr2bl w:val="nil"/>
            </w:tcBorders>
            <w:vAlign w:val="center"/>
          </w:tcPr>
          <w:p w14:paraId="1CEEC80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180</w:t>
            </w:r>
          </w:p>
        </w:tc>
        <w:tc>
          <w:tcPr>
            <w:tcW w:w="417" w:type="pct"/>
            <w:tcBorders>
              <w:tl2br w:val="nil"/>
              <w:tr2bl w:val="nil"/>
            </w:tcBorders>
            <w:vAlign w:val="center"/>
          </w:tcPr>
          <w:p w14:paraId="5A1381A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24F990B4">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r>
              <w:rPr>
                <w:rFonts w:hint="eastAsia" w:cs="Times New Roman"/>
                <w:b w:val="0"/>
                <w:sz w:val="21"/>
                <w:lang w:eastAsia="zh-CN"/>
              </w:rPr>
              <w:t>低氮改造</w:t>
            </w:r>
          </w:p>
        </w:tc>
      </w:tr>
      <w:tr w14:paraId="69F5F25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9" w:hRule="exact"/>
        </w:trPr>
        <w:tc>
          <w:tcPr>
            <w:tcW w:w="175" w:type="pct"/>
            <w:tcBorders>
              <w:tl2br w:val="nil"/>
              <w:tr2bl w:val="nil"/>
            </w:tcBorders>
            <w:vAlign w:val="center"/>
          </w:tcPr>
          <w:p w14:paraId="04BA3BD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26</w:t>
            </w:r>
          </w:p>
        </w:tc>
        <w:tc>
          <w:tcPr>
            <w:tcW w:w="311" w:type="pct"/>
            <w:vMerge w:val="continue"/>
            <w:tcBorders>
              <w:tl2br w:val="nil"/>
              <w:tr2bl w:val="nil"/>
            </w:tcBorders>
            <w:vAlign w:val="center"/>
          </w:tcPr>
          <w:p w14:paraId="675E046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rPr>
            </w:pPr>
          </w:p>
        </w:tc>
        <w:tc>
          <w:tcPr>
            <w:tcW w:w="313" w:type="pct"/>
            <w:tcBorders>
              <w:tl2br w:val="nil"/>
              <w:tr2bl w:val="nil"/>
            </w:tcBorders>
            <w:vAlign w:val="center"/>
          </w:tcPr>
          <w:p w14:paraId="4765831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MF0112</w:t>
            </w:r>
          </w:p>
        </w:tc>
        <w:tc>
          <w:tcPr>
            <w:tcW w:w="313" w:type="pct"/>
            <w:tcBorders>
              <w:tl2br w:val="nil"/>
              <w:tr2bl w:val="nil"/>
            </w:tcBorders>
            <w:vAlign w:val="center"/>
          </w:tcPr>
          <w:p w14:paraId="71989BC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VOCs排放口</w:t>
            </w:r>
          </w:p>
        </w:tc>
        <w:tc>
          <w:tcPr>
            <w:tcW w:w="313" w:type="pct"/>
            <w:tcBorders>
              <w:tl2br w:val="nil"/>
              <w:tr2bl w:val="nil"/>
            </w:tcBorders>
            <w:vAlign w:val="center"/>
          </w:tcPr>
          <w:p w14:paraId="697E287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非甲烷总烃</w:t>
            </w:r>
          </w:p>
        </w:tc>
        <w:tc>
          <w:tcPr>
            <w:tcW w:w="850" w:type="pct"/>
            <w:tcBorders>
              <w:tl2br w:val="nil"/>
              <w:tr2bl w:val="nil"/>
            </w:tcBorders>
            <w:vAlign w:val="center"/>
          </w:tcPr>
          <w:p w14:paraId="214D0A1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112°35′48.01″</w:t>
            </w:r>
          </w:p>
        </w:tc>
        <w:tc>
          <w:tcPr>
            <w:tcW w:w="653" w:type="pct"/>
            <w:tcBorders>
              <w:tl2br w:val="nil"/>
              <w:tr2bl w:val="nil"/>
            </w:tcBorders>
            <w:vAlign w:val="center"/>
          </w:tcPr>
          <w:p w14:paraId="627DFF3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32°39′49.00″</w:t>
            </w:r>
          </w:p>
        </w:tc>
        <w:tc>
          <w:tcPr>
            <w:tcW w:w="420" w:type="pct"/>
            <w:tcBorders>
              <w:tl2br w:val="nil"/>
              <w:tr2bl w:val="nil"/>
            </w:tcBorders>
            <w:vAlign w:val="center"/>
          </w:tcPr>
          <w:p w14:paraId="7B4140A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15</w:t>
            </w:r>
          </w:p>
        </w:tc>
        <w:tc>
          <w:tcPr>
            <w:tcW w:w="417" w:type="pct"/>
            <w:gridSpan w:val="2"/>
            <w:tcBorders>
              <w:tl2br w:val="nil"/>
              <w:tr2bl w:val="nil"/>
            </w:tcBorders>
            <w:vAlign w:val="center"/>
          </w:tcPr>
          <w:p w14:paraId="276CE55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rPr>
              <w:t>0.50</w:t>
            </w:r>
          </w:p>
        </w:tc>
        <w:tc>
          <w:tcPr>
            <w:tcW w:w="395" w:type="pct"/>
            <w:tcBorders>
              <w:tl2br w:val="nil"/>
              <w:tr2bl w:val="nil"/>
            </w:tcBorders>
            <w:vAlign w:val="center"/>
          </w:tcPr>
          <w:p w14:paraId="51E8FDC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rPr>
            </w:pPr>
            <w:r>
              <w:rPr>
                <w:rFonts w:hint="default" w:ascii="Times New Roman" w:hAnsi="Times New Roman" w:eastAsia="宋体" w:cs="Times New Roman"/>
                <w:b w:val="0"/>
                <w:sz w:val="21"/>
                <w:szCs w:val="21"/>
              </w:rPr>
              <w:t>常温</w:t>
            </w:r>
          </w:p>
        </w:tc>
        <w:tc>
          <w:tcPr>
            <w:tcW w:w="417" w:type="pct"/>
            <w:tcBorders>
              <w:tl2br w:val="nil"/>
              <w:tr2bl w:val="nil"/>
            </w:tcBorders>
            <w:vAlign w:val="center"/>
          </w:tcPr>
          <w:p w14:paraId="50EC8B65">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lang w:val="en-US"/>
              </w:rPr>
            </w:pPr>
          </w:p>
        </w:tc>
        <w:tc>
          <w:tcPr>
            <w:tcW w:w="417" w:type="pct"/>
            <w:tcBorders>
              <w:tl2br w:val="nil"/>
              <w:tr2bl w:val="nil"/>
            </w:tcBorders>
            <w:vAlign w:val="center"/>
          </w:tcPr>
          <w:p w14:paraId="3D2601F7">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rPr>
            </w:pPr>
          </w:p>
        </w:tc>
      </w:tr>
      <w:tr w14:paraId="2062BF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9" w:hRule="exact"/>
        </w:trPr>
        <w:tc>
          <w:tcPr>
            <w:tcW w:w="175" w:type="pct"/>
            <w:tcBorders>
              <w:tl2br w:val="nil"/>
              <w:tr2bl w:val="nil"/>
            </w:tcBorders>
            <w:vAlign w:val="center"/>
          </w:tcPr>
          <w:p w14:paraId="05DC7DE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default" w:ascii="Times New Roman" w:hAnsi="Times New Roman" w:cs="Times New Roman"/>
                <w:b w:val="0"/>
                <w:sz w:val="21"/>
                <w:highlight w:val="none"/>
                <w:lang w:val="en-US" w:eastAsia="zh-CN"/>
              </w:rPr>
              <w:t>27</w:t>
            </w:r>
          </w:p>
        </w:tc>
        <w:tc>
          <w:tcPr>
            <w:tcW w:w="311" w:type="pct"/>
            <w:vMerge w:val="restart"/>
            <w:tcBorders>
              <w:tl2br w:val="nil"/>
              <w:tr2bl w:val="nil"/>
            </w:tcBorders>
            <w:vAlign w:val="center"/>
          </w:tcPr>
          <w:p w14:paraId="28F8599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default" w:ascii="Times New Roman" w:hAnsi="Times New Roman" w:cs="Times New Roman"/>
                <w:b w:val="0"/>
                <w:sz w:val="21"/>
                <w:highlight w:val="none"/>
                <w:lang w:val="en-US" w:eastAsia="zh-CN"/>
              </w:rPr>
              <w:t>驻马店区域</w:t>
            </w:r>
          </w:p>
        </w:tc>
        <w:tc>
          <w:tcPr>
            <w:tcW w:w="313" w:type="pct"/>
            <w:tcBorders>
              <w:tl2br w:val="nil"/>
              <w:tr2bl w:val="nil"/>
            </w:tcBorders>
            <w:vAlign w:val="center"/>
          </w:tcPr>
          <w:p w14:paraId="6C02679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default" w:ascii="Times New Roman" w:hAnsi="Times New Roman" w:cs="Times New Roman"/>
                <w:b w:val="0"/>
                <w:sz w:val="21"/>
                <w:highlight w:val="none"/>
                <w:lang w:val="en-US" w:eastAsia="zh-CN"/>
              </w:rPr>
              <w:t>DA013</w:t>
            </w:r>
          </w:p>
        </w:tc>
        <w:tc>
          <w:tcPr>
            <w:tcW w:w="313" w:type="pct"/>
            <w:tcBorders>
              <w:tl2br w:val="nil"/>
              <w:tr2bl w:val="nil"/>
            </w:tcBorders>
            <w:vAlign w:val="center"/>
          </w:tcPr>
          <w:p w14:paraId="7A2E35E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2#高效炉烟囱</w:t>
            </w:r>
          </w:p>
        </w:tc>
        <w:tc>
          <w:tcPr>
            <w:tcW w:w="313" w:type="pct"/>
            <w:tcBorders>
              <w:tl2br w:val="nil"/>
              <w:tr2bl w:val="nil"/>
            </w:tcBorders>
            <w:vAlign w:val="center"/>
          </w:tcPr>
          <w:p w14:paraId="4E05884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烟气黑度,二氧化硫,颗粒物,氮氧化物</w:t>
            </w:r>
          </w:p>
        </w:tc>
        <w:tc>
          <w:tcPr>
            <w:tcW w:w="850" w:type="pct"/>
            <w:tcBorders>
              <w:tl2br w:val="nil"/>
              <w:tr2bl w:val="nil"/>
            </w:tcBorders>
            <w:vAlign w:val="center"/>
          </w:tcPr>
          <w:p w14:paraId="4C5923E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113°13′4.</w:t>
            </w:r>
            <w:r>
              <w:rPr>
                <w:rFonts w:hint="default" w:ascii="Times New Roman" w:hAnsi="Times New Roman" w:cs="Times New Roman"/>
                <w:b w:val="0"/>
                <w:sz w:val="21"/>
                <w:szCs w:val="21"/>
                <w:highlight w:val="none"/>
                <w:lang w:val="en-US" w:eastAsia="zh-CN"/>
              </w:rPr>
              <w:t>90</w:t>
            </w:r>
            <w:r>
              <w:rPr>
                <w:rFonts w:hint="default" w:ascii="Times New Roman" w:hAnsi="Times New Roman" w:eastAsia="宋体" w:cs="Times New Roman"/>
                <w:b w:val="0"/>
                <w:sz w:val="21"/>
                <w:szCs w:val="21"/>
                <w:highlight w:val="none"/>
              </w:rPr>
              <w:t>″</w:t>
            </w:r>
          </w:p>
        </w:tc>
        <w:tc>
          <w:tcPr>
            <w:tcW w:w="653" w:type="pct"/>
            <w:tcBorders>
              <w:tl2br w:val="nil"/>
              <w:tr2bl w:val="nil"/>
            </w:tcBorders>
            <w:vAlign w:val="center"/>
          </w:tcPr>
          <w:p w14:paraId="70A4C6C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32°36′30.57″</w:t>
            </w:r>
          </w:p>
        </w:tc>
        <w:tc>
          <w:tcPr>
            <w:tcW w:w="420" w:type="pct"/>
            <w:tcBorders>
              <w:tl2br w:val="nil"/>
              <w:tr2bl w:val="nil"/>
            </w:tcBorders>
            <w:vAlign w:val="center"/>
          </w:tcPr>
          <w:p w14:paraId="22BE36C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11</w:t>
            </w:r>
          </w:p>
        </w:tc>
        <w:tc>
          <w:tcPr>
            <w:tcW w:w="417" w:type="pct"/>
            <w:gridSpan w:val="2"/>
            <w:tcBorders>
              <w:tl2br w:val="nil"/>
              <w:tr2bl w:val="nil"/>
            </w:tcBorders>
            <w:vAlign w:val="center"/>
          </w:tcPr>
          <w:p w14:paraId="44912A9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0.4</w:t>
            </w:r>
          </w:p>
        </w:tc>
        <w:tc>
          <w:tcPr>
            <w:tcW w:w="395" w:type="pct"/>
            <w:tcBorders>
              <w:tl2br w:val="nil"/>
              <w:tr2bl w:val="nil"/>
            </w:tcBorders>
            <w:vAlign w:val="center"/>
          </w:tcPr>
          <w:p w14:paraId="61FB322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lang w:val="en-US" w:eastAsia="zh-CN"/>
              </w:rPr>
            </w:pPr>
            <w:r>
              <w:rPr>
                <w:rFonts w:hint="eastAsia" w:ascii="Times New Roman" w:hAnsi="Times New Roman" w:cs="Times New Roman"/>
                <w:b w:val="0"/>
                <w:sz w:val="21"/>
                <w:szCs w:val="21"/>
                <w:highlight w:val="none"/>
                <w:lang w:val="en-US" w:eastAsia="zh-CN"/>
              </w:rPr>
              <w:t>75</w:t>
            </w:r>
          </w:p>
        </w:tc>
        <w:tc>
          <w:tcPr>
            <w:tcW w:w="417" w:type="pct"/>
            <w:tcBorders>
              <w:tl2br w:val="nil"/>
              <w:tr2bl w:val="nil"/>
            </w:tcBorders>
            <w:vAlign w:val="center"/>
          </w:tcPr>
          <w:p w14:paraId="6F72C36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yellow"/>
                <w:lang w:val="en-US" w:eastAsia="zh-CN"/>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1151F760">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highlight w:val="yellow"/>
              </w:rPr>
            </w:pPr>
            <w:r>
              <w:rPr>
                <w:rFonts w:hint="eastAsia" w:cs="Times New Roman"/>
                <w:b w:val="0"/>
                <w:sz w:val="21"/>
                <w:lang w:eastAsia="zh-CN"/>
              </w:rPr>
              <w:t>低氮改造</w:t>
            </w:r>
          </w:p>
        </w:tc>
      </w:tr>
      <w:tr w14:paraId="39C92E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9" w:hRule="exact"/>
        </w:trPr>
        <w:tc>
          <w:tcPr>
            <w:tcW w:w="175" w:type="pct"/>
            <w:tcBorders>
              <w:tl2br w:val="nil"/>
              <w:tr2bl w:val="nil"/>
            </w:tcBorders>
            <w:vAlign w:val="center"/>
          </w:tcPr>
          <w:p w14:paraId="5B0DDD2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28</w:t>
            </w:r>
          </w:p>
        </w:tc>
        <w:tc>
          <w:tcPr>
            <w:tcW w:w="311" w:type="pct"/>
            <w:vMerge w:val="continue"/>
            <w:tcBorders>
              <w:tl2br w:val="nil"/>
              <w:tr2bl w:val="nil"/>
            </w:tcBorders>
            <w:vAlign w:val="center"/>
          </w:tcPr>
          <w:p w14:paraId="7B48BE2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p>
        </w:tc>
        <w:tc>
          <w:tcPr>
            <w:tcW w:w="313" w:type="pct"/>
            <w:tcBorders>
              <w:tl2br w:val="nil"/>
              <w:tr2bl w:val="nil"/>
            </w:tcBorders>
            <w:vAlign w:val="center"/>
          </w:tcPr>
          <w:p w14:paraId="1F125D0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DA014</w:t>
            </w:r>
          </w:p>
        </w:tc>
        <w:tc>
          <w:tcPr>
            <w:tcW w:w="313" w:type="pct"/>
            <w:tcBorders>
              <w:tl2br w:val="nil"/>
              <w:tr2bl w:val="nil"/>
            </w:tcBorders>
            <w:vAlign w:val="center"/>
          </w:tcPr>
          <w:p w14:paraId="5E37BAB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1#真空炉烟囱</w:t>
            </w:r>
          </w:p>
        </w:tc>
        <w:tc>
          <w:tcPr>
            <w:tcW w:w="313" w:type="pct"/>
            <w:tcBorders>
              <w:tl2br w:val="nil"/>
              <w:tr2bl w:val="nil"/>
            </w:tcBorders>
            <w:vAlign w:val="center"/>
          </w:tcPr>
          <w:p w14:paraId="08B6642D">
            <w:pPr>
              <w:keepNext w:val="0"/>
              <w:keepLines w:val="0"/>
              <w:pageBreakBefore w:val="0"/>
              <w:widowControl/>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烟气黑度,二氧化硫,颗粒物,氮氧化物</w:t>
            </w:r>
          </w:p>
        </w:tc>
        <w:tc>
          <w:tcPr>
            <w:tcW w:w="850" w:type="pct"/>
            <w:tcBorders>
              <w:tl2br w:val="nil"/>
              <w:tr2bl w:val="nil"/>
            </w:tcBorders>
            <w:vAlign w:val="center"/>
          </w:tcPr>
          <w:p w14:paraId="6127BA8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113°13′4.</w:t>
            </w:r>
            <w:r>
              <w:rPr>
                <w:rFonts w:hint="default" w:ascii="Times New Roman" w:hAnsi="Times New Roman" w:cs="Times New Roman"/>
                <w:b w:val="0"/>
                <w:sz w:val="21"/>
                <w:szCs w:val="21"/>
                <w:highlight w:val="none"/>
                <w:lang w:val="en-US" w:eastAsia="zh-CN"/>
              </w:rPr>
              <w:t>72</w:t>
            </w:r>
            <w:r>
              <w:rPr>
                <w:rFonts w:hint="default" w:ascii="Times New Roman" w:hAnsi="Times New Roman" w:eastAsia="宋体" w:cs="Times New Roman"/>
                <w:b w:val="0"/>
                <w:sz w:val="21"/>
                <w:szCs w:val="21"/>
                <w:highlight w:val="none"/>
              </w:rPr>
              <w:t>″</w:t>
            </w:r>
          </w:p>
        </w:tc>
        <w:tc>
          <w:tcPr>
            <w:tcW w:w="653" w:type="pct"/>
            <w:tcBorders>
              <w:tl2br w:val="nil"/>
              <w:tr2bl w:val="nil"/>
            </w:tcBorders>
            <w:vAlign w:val="center"/>
          </w:tcPr>
          <w:p w14:paraId="3A3BFD99">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32°36′30.5</w:t>
            </w:r>
            <w:r>
              <w:rPr>
                <w:rFonts w:hint="default" w:ascii="Times New Roman" w:hAnsi="Times New Roman" w:cs="Times New Roman"/>
                <w:b w:val="0"/>
                <w:sz w:val="21"/>
                <w:szCs w:val="21"/>
                <w:highlight w:val="none"/>
                <w:lang w:val="en-US" w:eastAsia="zh-CN"/>
              </w:rPr>
              <w:t>8</w:t>
            </w:r>
            <w:r>
              <w:rPr>
                <w:rFonts w:hint="default" w:ascii="Times New Roman" w:hAnsi="Times New Roman" w:eastAsia="宋体" w:cs="Times New Roman"/>
                <w:b w:val="0"/>
                <w:sz w:val="21"/>
                <w:szCs w:val="21"/>
                <w:highlight w:val="none"/>
              </w:rPr>
              <w:t>″</w:t>
            </w:r>
          </w:p>
        </w:tc>
        <w:tc>
          <w:tcPr>
            <w:tcW w:w="420" w:type="pct"/>
            <w:tcBorders>
              <w:tl2br w:val="nil"/>
              <w:tr2bl w:val="nil"/>
            </w:tcBorders>
            <w:vAlign w:val="center"/>
          </w:tcPr>
          <w:p w14:paraId="72D11B8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10</w:t>
            </w:r>
          </w:p>
        </w:tc>
        <w:tc>
          <w:tcPr>
            <w:tcW w:w="417" w:type="pct"/>
            <w:gridSpan w:val="2"/>
            <w:tcBorders>
              <w:tl2br w:val="nil"/>
              <w:tr2bl w:val="nil"/>
            </w:tcBorders>
            <w:vAlign w:val="center"/>
          </w:tcPr>
          <w:p w14:paraId="12D2F3C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0.35</w:t>
            </w:r>
          </w:p>
        </w:tc>
        <w:tc>
          <w:tcPr>
            <w:tcW w:w="395" w:type="pct"/>
            <w:tcBorders>
              <w:tl2br w:val="nil"/>
              <w:tr2bl w:val="nil"/>
            </w:tcBorders>
            <w:vAlign w:val="center"/>
          </w:tcPr>
          <w:p w14:paraId="4903492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lang w:val="en-US" w:eastAsia="zh-CN"/>
              </w:rPr>
            </w:pPr>
            <w:r>
              <w:rPr>
                <w:rFonts w:hint="eastAsia" w:ascii="Times New Roman" w:hAnsi="Times New Roman" w:cs="Times New Roman"/>
                <w:b w:val="0"/>
                <w:sz w:val="21"/>
                <w:szCs w:val="21"/>
                <w:highlight w:val="none"/>
                <w:lang w:val="en-US" w:eastAsia="zh-CN"/>
              </w:rPr>
              <w:t>75</w:t>
            </w:r>
          </w:p>
        </w:tc>
        <w:tc>
          <w:tcPr>
            <w:tcW w:w="417" w:type="pct"/>
            <w:tcBorders>
              <w:tl2br w:val="nil"/>
              <w:tr2bl w:val="nil"/>
            </w:tcBorders>
            <w:vAlign w:val="center"/>
          </w:tcPr>
          <w:p w14:paraId="469E22A4">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yellow"/>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05ADC1DB">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highlight w:val="yellow"/>
              </w:rPr>
            </w:pPr>
            <w:r>
              <w:rPr>
                <w:rFonts w:hint="eastAsia" w:cs="Times New Roman"/>
                <w:b w:val="0"/>
                <w:sz w:val="21"/>
                <w:lang w:eastAsia="zh-CN"/>
              </w:rPr>
              <w:t>低氮改造</w:t>
            </w:r>
          </w:p>
        </w:tc>
      </w:tr>
      <w:tr w14:paraId="2E34EE9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9" w:hRule="exact"/>
        </w:trPr>
        <w:tc>
          <w:tcPr>
            <w:tcW w:w="175" w:type="pct"/>
            <w:tcBorders>
              <w:tl2br w:val="nil"/>
              <w:tr2bl w:val="nil"/>
            </w:tcBorders>
            <w:vAlign w:val="center"/>
          </w:tcPr>
          <w:p w14:paraId="1B81BA3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29</w:t>
            </w:r>
          </w:p>
        </w:tc>
        <w:tc>
          <w:tcPr>
            <w:tcW w:w="311" w:type="pct"/>
            <w:vMerge w:val="continue"/>
            <w:tcBorders>
              <w:tl2br w:val="nil"/>
              <w:tr2bl w:val="nil"/>
            </w:tcBorders>
            <w:vAlign w:val="center"/>
          </w:tcPr>
          <w:p w14:paraId="4C8EF2D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p>
        </w:tc>
        <w:tc>
          <w:tcPr>
            <w:tcW w:w="313" w:type="pct"/>
            <w:tcBorders>
              <w:tl2br w:val="nil"/>
              <w:tr2bl w:val="nil"/>
            </w:tcBorders>
            <w:vAlign w:val="center"/>
          </w:tcPr>
          <w:p w14:paraId="1D1F444D">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DA007</w:t>
            </w:r>
          </w:p>
        </w:tc>
        <w:tc>
          <w:tcPr>
            <w:tcW w:w="313" w:type="pct"/>
            <w:tcBorders>
              <w:tl2br w:val="nil"/>
              <w:tr2bl w:val="nil"/>
            </w:tcBorders>
            <w:vAlign w:val="center"/>
          </w:tcPr>
          <w:p w14:paraId="245DD27C">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2#真空炉烟囱</w:t>
            </w:r>
          </w:p>
        </w:tc>
        <w:tc>
          <w:tcPr>
            <w:tcW w:w="313" w:type="pct"/>
            <w:tcBorders>
              <w:tl2br w:val="nil"/>
              <w:tr2bl w:val="nil"/>
            </w:tcBorders>
            <w:vAlign w:val="center"/>
          </w:tcPr>
          <w:p w14:paraId="27356F20">
            <w:pPr>
              <w:keepNext w:val="0"/>
              <w:keepLines w:val="0"/>
              <w:pageBreakBefore w:val="0"/>
              <w:widowControl/>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烟气黑度,二氧化硫,颗粒物,氮氧化物</w:t>
            </w:r>
          </w:p>
        </w:tc>
        <w:tc>
          <w:tcPr>
            <w:tcW w:w="850" w:type="pct"/>
            <w:tcBorders>
              <w:tl2br w:val="nil"/>
              <w:tr2bl w:val="nil"/>
            </w:tcBorders>
            <w:vAlign w:val="center"/>
          </w:tcPr>
          <w:p w14:paraId="0216725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113°13′4.5</w:t>
            </w:r>
            <w:r>
              <w:rPr>
                <w:rFonts w:hint="default" w:ascii="Times New Roman" w:hAnsi="Times New Roman" w:cs="Times New Roman"/>
                <w:b w:val="0"/>
                <w:sz w:val="21"/>
                <w:szCs w:val="21"/>
                <w:highlight w:val="none"/>
                <w:lang w:val="en-US" w:eastAsia="zh-CN"/>
              </w:rPr>
              <w:t>9</w:t>
            </w:r>
            <w:r>
              <w:rPr>
                <w:rFonts w:hint="default" w:ascii="Times New Roman" w:hAnsi="Times New Roman" w:eastAsia="宋体" w:cs="Times New Roman"/>
                <w:b w:val="0"/>
                <w:sz w:val="21"/>
                <w:szCs w:val="21"/>
                <w:highlight w:val="none"/>
              </w:rPr>
              <w:t>″</w:t>
            </w:r>
          </w:p>
        </w:tc>
        <w:tc>
          <w:tcPr>
            <w:tcW w:w="653" w:type="pct"/>
            <w:tcBorders>
              <w:tl2br w:val="nil"/>
              <w:tr2bl w:val="nil"/>
            </w:tcBorders>
            <w:vAlign w:val="center"/>
          </w:tcPr>
          <w:p w14:paraId="4AFDA5D1">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32°36′30.</w:t>
            </w:r>
            <w:r>
              <w:rPr>
                <w:rFonts w:hint="default" w:ascii="Times New Roman" w:hAnsi="Times New Roman" w:cs="Times New Roman"/>
                <w:b w:val="0"/>
                <w:sz w:val="21"/>
                <w:szCs w:val="21"/>
                <w:highlight w:val="none"/>
                <w:lang w:val="en-US" w:eastAsia="zh-CN"/>
              </w:rPr>
              <w:t>60</w:t>
            </w:r>
            <w:r>
              <w:rPr>
                <w:rFonts w:hint="default" w:ascii="Times New Roman" w:hAnsi="Times New Roman" w:eastAsia="宋体" w:cs="Times New Roman"/>
                <w:b w:val="0"/>
                <w:sz w:val="21"/>
                <w:szCs w:val="21"/>
                <w:highlight w:val="none"/>
              </w:rPr>
              <w:t>″</w:t>
            </w:r>
          </w:p>
        </w:tc>
        <w:tc>
          <w:tcPr>
            <w:tcW w:w="420" w:type="pct"/>
            <w:tcBorders>
              <w:tl2br w:val="nil"/>
              <w:tr2bl w:val="nil"/>
            </w:tcBorders>
            <w:vAlign w:val="center"/>
          </w:tcPr>
          <w:p w14:paraId="553D871F">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10</w:t>
            </w:r>
          </w:p>
        </w:tc>
        <w:tc>
          <w:tcPr>
            <w:tcW w:w="417" w:type="pct"/>
            <w:gridSpan w:val="2"/>
            <w:tcBorders>
              <w:tl2br w:val="nil"/>
              <w:tr2bl w:val="nil"/>
            </w:tcBorders>
            <w:vAlign w:val="center"/>
          </w:tcPr>
          <w:p w14:paraId="6FE849C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0.35</w:t>
            </w:r>
          </w:p>
        </w:tc>
        <w:tc>
          <w:tcPr>
            <w:tcW w:w="395" w:type="pct"/>
            <w:tcBorders>
              <w:tl2br w:val="nil"/>
              <w:tr2bl w:val="nil"/>
            </w:tcBorders>
            <w:vAlign w:val="center"/>
          </w:tcPr>
          <w:p w14:paraId="7040A59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lang w:val="en-US" w:eastAsia="zh-CN"/>
              </w:rPr>
            </w:pPr>
            <w:r>
              <w:rPr>
                <w:rFonts w:hint="eastAsia" w:ascii="Times New Roman" w:hAnsi="Times New Roman" w:cs="Times New Roman"/>
                <w:b w:val="0"/>
                <w:sz w:val="21"/>
                <w:szCs w:val="21"/>
                <w:highlight w:val="none"/>
                <w:lang w:val="en-US" w:eastAsia="zh-CN"/>
              </w:rPr>
              <w:t>75</w:t>
            </w:r>
          </w:p>
        </w:tc>
        <w:tc>
          <w:tcPr>
            <w:tcW w:w="417" w:type="pct"/>
            <w:tcBorders>
              <w:tl2br w:val="nil"/>
              <w:tr2bl w:val="nil"/>
            </w:tcBorders>
            <w:vAlign w:val="center"/>
          </w:tcPr>
          <w:p w14:paraId="5C79BC9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yellow"/>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269350AD">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highlight w:val="yellow"/>
              </w:rPr>
            </w:pPr>
            <w:r>
              <w:rPr>
                <w:rFonts w:hint="eastAsia" w:cs="Times New Roman"/>
                <w:b w:val="0"/>
                <w:sz w:val="21"/>
                <w:lang w:eastAsia="zh-CN"/>
              </w:rPr>
              <w:t>低氮改造</w:t>
            </w:r>
          </w:p>
        </w:tc>
      </w:tr>
      <w:tr w14:paraId="32BBCAB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359" w:hRule="exact"/>
        </w:trPr>
        <w:tc>
          <w:tcPr>
            <w:tcW w:w="175" w:type="pct"/>
            <w:tcBorders>
              <w:tl2br w:val="nil"/>
              <w:tr2bl w:val="nil"/>
            </w:tcBorders>
            <w:vAlign w:val="center"/>
          </w:tcPr>
          <w:p w14:paraId="26E84CB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30</w:t>
            </w:r>
          </w:p>
        </w:tc>
        <w:tc>
          <w:tcPr>
            <w:tcW w:w="311" w:type="pct"/>
            <w:vMerge w:val="continue"/>
            <w:tcBorders>
              <w:tl2br w:val="nil"/>
              <w:tr2bl w:val="nil"/>
            </w:tcBorders>
            <w:vAlign w:val="center"/>
          </w:tcPr>
          <w:p w14:paraId="474CBB20">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p>
        </w:tc>
        <w:tc>
          <w:tcPr>
            <w:tcW w:w="313" w:type="pct"/>
            <w:tcBorders>
              <w:tl2br w:val="nil"/>
              <w:tr2bl w:val="nil"/>
            </w:tcBorders>
            <w:vAlign w:val="center"/>
          </w:tcPr>
          <w:p w14:paraId="678B6EE7">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cs="Times New Roman"/>
                <w:b w:val="0"/>
                <w:sz w:val="21"/>
                <w:highlight w:val="none"/>
                <w:lang w:val="en-US" w:eastAsia="zh-CN"/>
              </w:rPr>
            </w:pPr>
            <w:r>
              <w:rPr>
                <w:rFonts w:hint="default" w:ascii="Times New Roman" w:hAnsi="Times New Roman" w:cs="Times New Roman"/>
                <w:b w:val="0"/>
                <w:sz w:val="21"/>
                <w:highlight w:val="none"/>
                <w:lang w:val="en-US" w:eastAsia="zh-CN"/>
              </w:rPr>
              <w:t>DA015</w:t>
            </w:r>
          </w:p>
        </w:tc>
        <w:tc>
          <w:tcPr>
            <w:tcW w:w="313" w:type="pct"/>
            <w:tcBorders>
              <w:tl2br w:val="nil"/>
              <w:tr2bl w:val="nil"/>
            </w:tcBorders>
            <w:vAlign w:val="center"/>
          </w:tcPr>
          <w:p w14:paraId="153F6C86">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1#高效炉烟囱</w:t>
            </w:r>
          </w:p>
        </w:tc>
        <w:tc>
          <w:tcPr>
            <w:tcW w:w="313" w:type="pct"/>
            <w:tcBorders>
              <w:tl2br w:val="nil"/>
              <w:tr2bl w:val="nil"/>
            </w:tcBorders>
            <w:vAlign w:val="center"/>
          </w:tcPr>
          <w:p w14:paraId="04E2FDD2">
            <w:pPr>
              <w:keepNext w:val="0"/>
              <w:keepLines w:val="0"/>
              <w:pageBreakBefore w:val="0"/>
              <w:widowControl/>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烟气黑度,二氧化硫,颗粒物,氮氧化物</w:t>
            </w:r>
          </w:p>
        </w:tc>
        <w:tc>
          <w:tcPr>
            <w:tcW w:w="850" w:type="pct"/>
            <w:tcBorders>
              <w:tl2br w:val="nil"/>
              <w:tr2bl w:val="nil"/>
            </w:tcBorders>
            <w:vAlign w:val="center"/>
          </w:tcPr>
          <w:p w14:paraId="5E719562">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113°13′5.0</w:t>
            </w:r>
            <w:r>
              <w:rPr>
                <w:rFonts w:hint="default" w:ascii="Times New Roman" w:hAnsi="Times New Roman" w:cs="Times New Roman"/>
                <w:b w:val="0"/>
                <w:sz w:val="21"/>
                <w:szCs w:val="21"/>
                <w:highlight w:val="none"/>
                <w:lang w:val="en-US" w:eastAsia="zh-CN"/>
              </w:rPr>
              <w:t>6</w:t>
            </w:r>
            <w:r>
              <w:rPr>
                <w:rFonts w:hint="default" w:ascii="Times New Roman" w:hAnsi="Times New Roman" w:eastAsia="宋体" w:cs="Times New Roman"/>
                <w:b w:val="0"/>
                <w:sz w:val="21"/>
                <w:szCs w:val="21"/>
                <w:highlight w:val="none"/>
              </w:rPr>
              <w:t>″,</w:t>
            </w:r>
          </w:p>
        </w:tc>
        <w:tc>
          <w:tcPr>
            <w:tcW w:w="653" w:type="pct"/>
            <w:tcBorders>
              <w:tl2br w:val="nil"/>
              <w:tr2bl w:val="nil"/>
            </w:tcBorders>
            <w:vAlign w:val="center"/>
          </w:tcPr>
          <w:p w14:paraId="45C6693A">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rPr>
            </w:pPr>
            <w:r>
              <w:rPr>
                <w:rFonts w:hint="default" w:ascii="Times New Roman" w:hAnsi="Times New Roman" w:eastAsia="宋体" w:cs="Times New Roman"/>
                <w:b w:val="0"/>
                <w:sz w:val="21"/>
                <w:szCs w:val="21"/>
                <w:highlight w:val="none"/>
              </w:rPr>
              <w:t>32°36′30.56″</w:t>
            </w:r>
          </w:p>
        </w:tc>
        <w:tc>
          <w:tcPr>
            <w:tcW w:w="420" w:type="pct"/>
            <w:tcBorders>
              <w:tl2br w:val="nil"/>
              <w:tr2bl w:val="nil"/>
            </w:tcBorders>
            <w:vAlign w:val="center"/>
          </w:tcPr>
          <w:p w14:paraId="264E0D98">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11</w:t>
            </w:r>
          </w:p>
        </w:tc>
        <w:tc>
          <w:tcPr>
            <w:tcW w:w="417" w:type="pct"/>
            <w:gridSpan w:val="2"/>
            <w:tcBorders>
              <w:tl2br w:val="nil"/>
              <w:tr2bl w:val="nil"/>
            </w:tcBorders>
            <w:vAlign w:val="center"/>
          </w:tcPr>
          <w:p w14:paraId="49381E0B">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highlight w:val="none"/>
                <w:lang w:val="en-US" w:eastAsia="zh-CN"/>
              </w:rPr>
            </w:pPr>
            <w:r>
              <w:rPr>
                <w:rFonts w:hint="eastAsia" w:ascii="Times New Roman" w:hAnsi="Times New Roman" w:cs="Times New Roman"/>
                <w:b w:val="0"/>
                <w:sz w:val="21"/>
                <w:highlight w:val="none"/>
                <w:lang w:val="en-US" w:eastAsia="zh-CN"/>
              </w:rPr>
              <w:t>0.4</w:t>
            </w:r>
          </w:p>
        </w:tc>
        <w:tc>
          <w:tcPr>
            <w:tcW w:w="395" w:type="pct"/>
            <w:tcBorders>
              <w:tl2br w:val="nil"/>
              <w:tr2bl w:val="nil"/>
            </w:tcBorders>
            <w:vAlign w:val="center"/>
          </w:tcPr>
          <w:p w14:paraId="0FC12A2E">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none"/>
                <w:lang w:val="en-US" w:eastAsia="zh-CN"/>
              </w:rPr>
            </w:pPr>
            <w:r>
              <w:rPr>
                <w:rFonts w:hint="eastAsia" w:ascii="Times New Roman" w:hAnsi="Times New Roman" w:cs="Times New Roman"/>
                <w:b w:val="0"/>
                <w:sz w:val="21"/>
                <w:szCs w:val="21"/>
                <w:highlight w:val="none"/>
                <w:lang w:val="en-US" w:eastAsia="zh-CN"/>
              </w:rPr>
              <w:t>75</w:t>
            </w:r>
          </w:p>
        </w:tc>
        <w:tc>
          <w:tcPr>
            <w:tcW w:w="417" w:type="pct"/>
            <w:tcBorders>
              <w:tl2br w:val="nil"/>
              <w:tr2bl w:val="nil"/>
            </w:tcBorders>
            <w:vAlign w:val="center"/>
          </w:tcPr>
          <w:p w14:paraId="3FC11733">
            <w:pPr>
              <w:pStyle w:val="103"/>
              <w:keepNext w:val="0"/>
              <w:keepLines w:val="0"/>
              <w:pageBreakBefore w:val="0"/>
              <w:kinsoku/>
              <w:wordWrap/>
              <w:overflowPunct/>
              <w:topLinePunct w:val="0"/>
              <w:bidi w:val="0"/>
              <w:adjustRightInd/>
              <w:snapToGrid/>
              <w:spacing w:before="0" w:line="240" w:lineRule="auto"/>
              <w:ind w:left="0" w:right="0" w:firstLine="0" w:firstLineChars="0"/>
              <w:jc w:val="center"/>
              <w:textAlignment w:val="auto"/>
              <w:rPr>
                <w:rFonts w:hint="default" w:ascii="Times New Roman" w:hAnsi="Times New Roman" w:eastAsia="宋体" w:cs="Times New Roman"/>
                <w:b w:val="0"/>
                <w:sz w:val="21"/>
                <w:szCs w:val="21"/>
                <w:highlight w:val="yellow"/>
              </w:rPr>
            </w:pPr>
            <w:r>
              <w:rPr>
                <w:rFonts w:hint="eastAsia" w:ascii="Times New Roman" w:hAnsi="Times New Roman" w:cs="Times New Roman"/>
                <w:b w:val="0"/>
                <w:sz w:val="21"/>
                <w:lang w:val="en-US" w:eastAsia="zh-CN"/>
              </w:rPr>
              <w:t>70%</w:t>
            </w:r>
          </w:p>
        </w:tc>
        <w:tc>
          <w:tcPr>
            <w:tcW w:w="417" w:type="pct"/>
            <w:tcBorders>
              <w:tl2br w:val="nil"/>
              <w:tr2bl w:val="nil"/>
            </w:tcBorders>
            <w:vAlign w:val="center"/>
          </w:tcPr>
          <w:p w14:paraId="4AA583C6">
            <w:pPr>
              <w:keepNext w:val="0"/>
              <w:keepLines w:val="0"/>
              <w:pageBreakBefore w:val="0"/>
              <w:kinsoku/>
              <w:wordWrap/>
              <w:overflowPunct/>
              <w:topLinePunct w:val="0"/>
              <w:bidi w:val="0"/>
              <w:adjustRightInd/>
              <w:snapToGrid/>
              <w:spacing w:line="240" w:lineRule="auto"/>
              <w:ind w:left="0" w:right="0" w:firstLine="0" w:firstLineChars="0"/>
              <w:jc w:val="center"/>
              <w:textAlignment w:val="auto"/>
              <w:rPr>
                <w:rFonts w:hint="default" w:ascii="Times New Roman" w:hAnsi="Times New Roman" w:eastAsia="宋体" w:cs="Times New Roman"/>
                <w:b w:val="0"/>
                <w:sz w:val="21"/>
                <w:highlight w:val="yellow"/>
              </w:rPr>
            </w:pPr>
            <w:r>
              <w:rPr>
                <w:rFonts w:hint="eastAsia" w:cs="Times New Roman"/>
                <w:b w:val="0"/>
                <w:sz w:val="21"/>
                <w:lang w:eastAsia="zh-CN"/>
              </w:rPr>
              <w:t>低氮改造</w:t>
            </w:r>
          </w:p>
        </w:tc>
      </w:tr>
    </w:tbl>
    <w:p w14:paraId="0416C90C">
      <w:pPr>
        <w:ind w:firstLine="480"/>
        <w:rPr>
          <w:rFonts w:hint="default" w:ascii="Times New Roman" w:hAnsi="Times New Roman" w:cs="Times New Roman"/>
          <w:color w:val="000000"/>
        </w:rPr>
      </w:pPr>
    </w:p>
    <w:tbl>
      <w:tblPr>
        <w:tblStyle w:val="187"/>
        <w:tblW w:w="156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8"/>
        <w:gridCol w:w="1875"/>
        <w:gridCol w:w="1677"/>
        <w:gridCol w:w="1677"/>
        <w:gridCol w:w="1677"/>
        <w:gridCol w:w="1677"/>
        <w:gridCol w:w="1677"/>
        <w:gridCol w:w="1677"/>
        <w:gridCol w:w="1677"/>
      </w:tblGrid>
      <w:tr w14:paraId="38FAB0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5"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748B8593">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color w:val="000000"/>
                <w:lang w:eastAsia="zh-CN"/>
              </w:rPr>
              <w:drawing>
                <wp:inline distT="0" distB="0" distL="114300" distR="114300">
                  <wp:extent cx="1029335" cy="2265045"/>
                  <wp:effectExtent l="0" t="0" r="18415" b="1905"/>
                  <wp:docPr id="2" name="图片 2" descr="魏岗联合站1号锅炉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魏岗联合站1号锅炉 (3)"/>
                          <pic:cNvPicPr>
                            <a:picLocks noChangeAspect="1"/>
                          </pic:cNvPicPr>
                        </pic:nvPicPr>
                        <pic:blipFill>
                          <a:blip r:embed="rId14"/>
                          <a:stretch>
                            <a:fillRect/>
                          </a:stretch>
                        </pic:blipFill>
                        <pic:spPr>
                          <a:xfrm>
                            <a:off x="0" y="0"/>
                            <a:ext cx="1029335" cy="2265045"/>
                          </a:xfrm>
                          <a:prstGeom prst="rect">
                            <a:avLst/>
                          </a:prstGeom>
                        </pic:spPr>
                      </pic:pic>
                    </a:graphicData>
                  </a:graphic>
                </wp:inline>
              </w:drawing>
            </w:r>
          </w:p>
        </w:tc>
        <w:tc>
          <w:tcPr>
            <w:tcW w:w="1875" w:type="dxa"/>
            <w:tcBorders>
              <w:top w:val="single" w:color="auto" w:sz="4" w:space="0"/>
              <w:left w:val="single" w:color="auto" w:sz="4" w:space="0"/>
              <w:bottom w:val="single" w:color="auto" w:sz="4" w:space="0"/>
              <w:right w:val="single" w:color="auto" w:sz="4" w:space="0"/>
            </w:tcBorders>
            <w:vAlign w:val="center"/>
          </w:tcPr>
          <w:p w14:paraId="27905B61">
            <w:pPr>
              <w:pStyle w:val="185"/>
              <w:rPr>
                <w:rFonts w:hint="default" w:ascii="Times New Roman" w:hAnsi="Times New Roman" w:cs="Times New Roman"/>
                <w:color w:val="000000"/>
              </w:rPr>
            </w:pPr>
            <w:r>
              <w:rPr>
                <w:rFonts w:hint="default" w:ascii="Times New Roman" w:hAnsi="Times New Roman" w:cs="Times New Roman"/>
              </w:rPr>
              <w:drawing>
                <wp:inline distT="0" distB="0" distL="0" distR="0">
                  <wp:extent cx="922655" cy="2371725"/>
                  <wp:effectExtent l="0" t="0" r="10795" b="9525"/>
                  <wp:docPr id="4" name="图片 2" descr="DSC029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DSC02977.JPG"/>
                          <pic:cNvPicPr>
                            <a:picLocks noChangeAspect="1"/>
                          </pic:cNvPicPr>
                        </pic:nvPicPr>
                        <pic:blipFill>
                          <a:blip r:embed="rId15" cstate="print"/>
                          <a:stretch>
                            <a:fillRect/>
                          </a:stretch>
                        </pic:blipFill>
                        <pic:spPr>
                          <a:xfrm>
                            <a:off x="0" y="0"/>
                            <a:ext cx="922655" cy="237172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2179275F">
            <w:pPr>
              <w:pStyle w:val="185"/>
              <w:rPr>
                <w:rFonts w:hint="default" w:ascii="Times New Roman" w:hAnsi="Times New Roman" w:cs="Times New Roman"/>
              </w:rPr>
            </w:pPr>
            <w:r>
              <w:rPr>
                <w:rFonts w:hint="default" w:ascii="Times New Roman" w:hAnsi="Times New Roman" w:cs="Times New Roman"/>
              </w:rPr>
              <w:drawing>
                <wp:inline distT="0" distB="0" distL="0" distR="0">
                  <wp:extent cx="941705" cy="2524760"/>
                  <wp:effectExtent l="0" t="0" r="10795" b="8890"/>
                  <wp:docPr id="9" name="图片 8" descr="DSC029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DSC02978.JPG"/>
                          <pic:cNvPicPr>
                            <a:picLocks noChangeAspect="1"/>
                          </pic:cNvPicPr>
                        </pic:nvPicPr>
                        <pic:blipFill>
                          <a:blip r:embed="rId16" cstate="print"/>
                          <a:stretch>
                            <a:fillRect/>
                          </a:stretch>
                        </pic:blipFill>
                        <pic:spPr>
                          <a:xfrm>
                            <a:off x="0" y="0"/>
                            <a:ext cx="941705" cy="252476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36BB0118">
            <w:pPr>
              <w:pStyle w:val="185"/>
              <w:rPr>
                <w:rFonts w:hint="default" w:ascii="Times New Roman" w:hAnsi="Times New Roman" w:cs="Times New Roman"/>
              </w:rPr>
            </w:pPr>
            <w:r>
              <w:rPr>
                <w:rFonts w:hint="default" w:ascii="Times New Roman" w:hAnsi="Times New Roman" w:cs="Times New Roman"/>
              </w:rPr>
              <w:drawing>
                <wp:inline distT="0" distB="0" distL="0" distR="0">
                  <wp:extent cx="782320" cy="2459990"/>
                  <wp:effectExtent l="0" t="0" r="17780" b="16510"/>
                  <wp:docPr id="6" name="图片 2" descr="DSC02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DSC02976.JPG"/>
                          <pic:cNvPicPr>
                            <a:picLocks noChangeAspect="1"/>
                          </pic:cNvPicPr>
                        </pic:nvPicPr>
                        <pic:blipFill>
                          <a:blip r:embed="rId17" cstate="print"/>
                          <a:stretch>
                            <a:fillRect/>
                          </a:stretch>
                        </pic:blipFill>
                        <pic:spPr>
                          <a:xfrm>
                            <a:off x="0" y="0"/>
                            <a:ext cx="782320" cy="245999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2CF45D0D">
            <w:pPr>
              <w:pStyle w:val="185"/>
              <w:rPr>
                <w:rFonts w:hint="default" w:ascii="Times New Roman" w:hAnsi="Times New Roman" w:cs="Times New Roman"/>
              </w:rPr>
            </w:pPr>
            <w:r>
              <w:rPr>
                <w:rFonts w:hint="default" w:ascii="Times New Roman" w:hAnsi="Times New Roman" w:cs="Times New Roman"/>
              </w:rPr>
              <w:drawing>
                <wp:inline distT="0" distB="0" distL="0" distR="0">
                  <wp:extent cx="855980" cy="2381885"/>
                  <wp:effectExtent l="0" t="0" r="1270" b="18415"/>
                  <wp:docPr id="5" name="图片 4" descr="DSC02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DSC02986.JPG"/>
                          <pic:cNvPicPr>
                            <a:picLocks noChangeAspect="1"/>
                          </pic:cNvPicPr>
                        </pic:nvPicPr>
                        <pic:blipFill>
                          <a:blip r:embed="rId18" cstate="print"/>
                          <a:stretch>
                            <a:fillRect/>
                          </a:stretch>
                        </pic:blipFill>
                        <pic:spPr>
                          <a:xfrm>
                            <a:off x="0" y="0"/>
                            <a:ext cx="855980" cy="238188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5A1238C2">
            <w:pPr>
              <w:pStyle w:val="185"/>
              <w:rPr>
                <w:rFonts w:hint="default" w:ascii="Times New Roman" w:hAnsi="Times New Roman" w:cs="Times New Roman"/>
              </w:rPr>
            </w:pPr>
            <w:r>
              <w:rPr>
                <w:rFonts w:hint="default" w:ascii="Times New Roman" w:hAnsi="Times New Roman" w:cs="Times New Roman"/>
              </w:rPr>
              <w:drawing>
                <wp:inline distT="0" distB="0" distL="0" distR="0">
                  <wp:extent cx="888365" cy="2487930"/>
                  <wp:effectExtent l="0" t="0" r="6985" b="7620"/>
                  <wp:docPr id="23" name="图片 4" descr="DSC02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DSC02980.JPG"/>
                          <pic:cNvPicPr>
                            <a:picLocks noChangeAspect="1"/>
                          </pic:cNvPicPr>
                        </pic:nvPicPr>
                        <pic:blipFill>
                          <a:blip r:embed="rId19" cstate="print"/>
                          <a:stretch>
                            <a:fillRect/>
                          </a:stretch>
                        </pic:blipFill>
                        <pic:spPr>
                          <a:xfrm>
                            <a:off x="0" y="0"/>
                            <a:ext cx="888365" cy="248793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3EF6CE8C">
            <w:pPr>
              <w:pStyle w:val="185"/>
              <w:rPr>
                <w:rFonts w:hint="default" w:ascii="Times New Roman" w:hAnsi="Times New Roman" w:cs="Times New Roman"/>
              </w:rPr>
            </w:pPr>
            <w:r>
              <w:rPr>
                <w:rFonts w:hint="default" w:ascii="Times New Roman" w:hAnsi="Times New Roman" w:cs="Times New Roman"/>
              </w:rPr>
              <w:drawing>
                <wp:inline distT="0" distB="0" distL="0" distR="0">
                  <wp:extent cx="866775" cy="2510790"/>
                  <wp:effectExtent l="0" t="0" r="9525" b="3810"/>
                  <wp:docPr id="22" name="图片 4" descr="DSC02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DSC02982.JPG"/>
                          <pic:cNvPicPr>
                            <a:picLocks noChangeAspect="1"/>
                          </pic:cNvPicPr>
                        </pic:nvPicPr>
                        <pic:blipFill>
                          <a:blip r:embed="rId20" cstate="print"/>
                          <a:stretch>
                            <a:fillRect/>
                          </a:stretch>
                        </pic:blipFill>
                        <pic:spPr>
                          <a:xfrm>
                            <a:off x="0" y="0"/>
                            <a:ext cx="866775" cy="251079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1609C05D">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1385" cy="2477135"/>
                  <wp:effectExtent l="0" t="0" r="12065" b="18415"/>
                  <wp:docPr id="16" name="图片 16" descr="IMG_20250228_09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IMG_20250228_095151"/>
                          <pic:cNvPicPr>
                            <a:picLocks noChangeAspect="1"/>
                          </pic:cNvPicPr>
                        </pic:nvPicPr>
                        <pic:blipFill>
                          <a:blip r:embed="rId21"/>
                          <a:stretch>
                            <a:fillRect/>
                          </a:stretch>
                        </pic:blipFill>
                        <pic:spPr>
                          <a:xfrm>
                            <a:off x="0" y="0"/>
                            <a:ext cx="921385" cy="247713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3111EA8C">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1385" cy="2571115"/>
                  <wp:effectExtent l="0" t="0" r="12065" b="635"/>
                  <wp:docPr id="17" name="图片 17" descr="IMG_20250228_09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20250228_095229"/>
                          <pic:cNvPicPr>
                            <a:picLocks noChangeAspect="1"/>
                          </pic:cNvPicPr>
                        </pic:nvPicPr>
                        <pic:blipFill>
                          <a:blip r:embed="rId22"/>
                          <a:stretch>
                            <a:fillRect/>
                          </a:stretch>
                        </pic:blipFill>
                        <pic:spPr>
                          <a:xfrm>
                            <a:off x="0" y="0"/>
                            <a:ext cx="921385" cy="2571115"/>
                          </a:xfrm>
                          <a:prstGeom prst="rect">
                            <a:avLst/>
                          </a:prstGeom>
                        </pic:spPr>
                      </pic:pic>
                    </a:graphicData>
                  </a:graphic>
                </wp:inline>
              </w:drawing>
            </w:r>
          </w:p>
        </w:tc>
      </w:tr>
      <w:tr w14:paraId="59021B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0A66DB88">
            <w:pPr>
              <w:pStyle w:val="185"/>
              <w:rPr>
                <w:rFonts w:hint="default" w:ascii="Times New Roman" w:hAnsi="Times New Roman" w:cs="Times New Roman"/>
                <w:color w:val="000000"/>
              </w:rPr>
            </w:pPr>
            <w:r>
              <w:rPr>
                <w:rFonts w:hint="default" w:ascii="Times New Roman" w:hAnsi="Times New Roman" w:cs="Times New Roman"/>
                <w:color w:val="000000"/>
              </w:rPr>
              <w:t>DA001</w:t>
            </w:r>
          </w:p>
        </w:tc>
        <w:tc>
          <w:tcPr>
            <w:tcW w:w="1875" w:type="dxa"/>
            <w:tcBorders>
              <w:top w:val="single" w:color="auto" w:sz="4" w:space="0"/>
              <w:left w:val="single" w:color="auto" w:sz="4" w:space="0"/>
              <w:bottom w:val="single" w:color="auto" w:sz="4" w:space="0"/>
              <w:right w:val="single" w:color="auto" w:sz="4" w:space="0"/>
            </w:tcBorders>
            <w:vAlign w:val="center"/>
          </w:tcPr>
          <w:p w14:paraId="2700A622">
            <w:pPr>
              <w:pStyle w:val="185"/>
              <w:rPr>
                <w:rFonts w:hint="default" w:ascii="Times New Roman" w:hAnsi="Times New Roman" w:cs="Times New Roman"/>
                <w:color w:val="000000"/>
              </w:rPr>
            </w:pPr>
            <w:r>
              <w:rPr>
                <w:rFonts w:hint="default" w:ascii="Times New Roman" w:hAnsi="Times New Roman" w:cs="Times New Roman"/>
                <w:color w:val="000000"/>
              </w:rPr>
              <w:t>DA00</w:t>
            </w:r>
            <w:r>
              <w:rPr>
                <w:rFonts w:hint="default" w:ascii="Times New Roman" w:hAnsi="Times New Roman" w:cs="Times New Roman"/>
                <w:color w:val="000000"/>
                <w:lang w:val="en-US" w:eastAsia="zh-CN"/>
              </w:rPr>
              <w:t>2</w:t>
            </w:r>
          </w:p>
        </w:tc>
        <w:tc>
          <w:tcPr>
            <w:tcW w:w="1677" w:type="dxa"/>
            <w:tcBorders>
              <w:top w:val="single" w:color="auto" w:sz="4" w:space="0"/>
              <w:left w:val="single" w:color="auto" w:sz="4" w:space="0"/>
              <w:bottom w:val="single" w:color="auto" w:sz="4" w:space="0"/>
              <w:right w:val="single" w:color="auto" w:sz="4" w:space="0"/>
            </w:tcBorders>
            <w:vAlign w:val="center"/>
          </w:tcPr>
          <w:p w14:paraId="53355190">
            <w:pPr>
              <w:pStyle w:val="185"/>
              <w:rPr>
                <w:rFonts w:hint="default" w:ascii="Times New Roman" w:hAnsi="Times New Roman" w:cs="Times New Roman"/>
                <w:color w:val="000000"/>
              </w:rPr>
            </w:pPr>
            <w:r>
              <w:rPr>
                <w:rFonts w:hint="default" w:ascii="Times New Roman" w:hAnsi="Times New Roman" w:cs="Times New Roman"/>
                <w:color w:val="000000"/>
              </w:rPr>
              <w:t>DA00</w:t>
            </w:r>
            <w:r>
              <w:rPr>
                <w:rFonts w:hint="default" w:ascii="Times New Roman" w:hAnsi="Times New Roman" w:cs="Times New Roman"/>
                <w:color w:val="000000"/>
                <w:lang w:val="en-US" w:eastAsia="zh-CN"/>
              </w:rPr>
              <w:t>3</w:t>
            </w:r>
          </w:p>
        </w:tc>
        <w:tc>
          <w:tcPr>
            <w:tcW w:w="1677" w:type="dxa"/>
            <w:tcBorders>
              <w:top w:val="single" w:color="auto" w:sz="4" w:space="0"/>
              <w:left w:val="single" w:color="auto" w:sz="4" w:space="0"/>
              <w:bottom w:val="single" w:color="auto" w:sz="4" w:space="0"/>
              <w:right w:val="single" w:color="auto" w:sz="4" w:space="0"/>
            </w:tcBorders>
            <w:vAlign w:val="center"/>
          </w:tcPr>
          <w:p w14:paraId="71E35A74">
            <w:pPr>
              <w:pStyle w:val="185"/>
              <w:rPr>
                <w:rFonts w:hint="default" w:ascii="Times New Roman" w:hAnsi="Times New Roman" w:cs="Times New Roman"/>
                <w:color w:val="000000"/>
              </w:rPr>
            </w:pPr>
            <w:r>
              <w:rPr>
                <w:rFonts w:hint="default" w:ascii="Times New Roman" w:hAnsi="Times New Roman" w:cs="Times New Roman"/>
                <w:color w:val="000000"/>
              </w:rPr>
              <w:t>DA00</w:t>
            </w:r>
            <w:r>
              <w:rPr>
                <w:rFonts w:hint="default" w:ascii="Times New Roman" w:hAnsi="Times New Roman" w:cs="Times New Roman"/>
                <w:color w:val="000000"/>
                <w:lang w:val="en-US" w:eastAsia="zh-CN"/>
              </w:rPr>
              <w:t>5</w:t>
            </w:r>
          </w:p>
        </w:tc>
        <w:tc>
          <w:tcPr>
            <w:tcW w:w="1677" w:type="dxa"/>
            <w:tcBorders>
              <w:top w:val="single" w:color="auto" w:sz="4" w:space="0"/>
              <w:left w:val="single" w:color="auto" w:sz="4" w:space="0"/>
              <w:bottom w:val="single" w:color="auto" w:sz="4" w:space="0"/>
              <w:right w:val="single" w:color="auto" w:sz="4" w:space="0"/>
            </w:tcBorders>
            <w:vAlign w:val="center"/>
          </w:tcPr>
          <w:p w14:paraId="115D2802">
            <w:pPr>
              <w:pStyle w:val="185"/>
              <w:rPr>
                <w:rFonts w:hint="default" w:ascii="Times New Roman" w:hAnsi="Times New Roman" w:cs="Times New Roman"/>
                <w:color w:val="000000"/>
              </w:rPr>
            </w:pPr>
            <w:r>
              <w:rPr>
                <w:rFonts w:hint="default" w:ascii="Times New Roman" w:hAnsi="Times New Roman" w:cs="Times New Roman"/>
                <w:sz w:val="21"/>
              </w:rPr>
              <w:t>DA009</w:t>
            </w:r>
          </w:p>
        </w:tc>
        <w:tc>
          <w:tcPr>
            <w:tcW w:w="1677" w:type="dxa"/>
            <w:tcBorders>
              <w:top w:val="single" w:color="auto" w:sz="4" w:space="0"/>
              <w:left w:val="single" w:color="auto" w:sz="4" w:space="0"/>
              <w:bottom w:val="single" w:color="auto" w:sz="4" w:space="0"/>
              <w:right w:val="single" w:color="auto" w:sz="4" w:space="0"/>
            </w:tcBorders>
            <w:vAlign w:val="center"/>
          </w:tcPr>
          <w:p w14:paraId="028E00E2">
            <w:pPr>
              <w:pStyle w:val="185"/>
              <w:rPr>
                <w:rFonts w:hint="default" w:ascii="Times New Roman" w:hAnsi="Times New Roman" w:cs="Times New Roman"/>
                <w:sz w:val="21"/>
              </w:rPr>
            </w:pPr>
            <w:r>
              <w:rPr>
                <w:rFonts w:hint="default" w:ascii="Times New Roman" w:hAnsi="Times New Roman" w:cs="Times New Roman"/>
                <w:sz w:val="21"/>
              </w:rPr>
              <w:t>DA010</w:t>
            </w:r>
          </w:p>
        </w:tc>
        <w:tc>
          <w:tcPr>
            <w:tcW w:w="1677" w:type="dxa"/>
            <w:tcBorders>
              <w:top w:val="single" w:color="auto" w:sz="4" w:space="0"/>
              <w:left w:val="single" w:color="auto" w:sz="4" w:space="0"/>
              <w:bottom w:val="single" w:color="auto" w:sz="4" w:space="0"/>
              <w:right w:val="single" w:color="auto" w:sz="4" w:space="0"/>
            </w:tcBorders>
            <w:vAlign w:val="center"/>
          </w:tcPr>
          <w:p w14:paraId="223B5BC6">
            <w:pPr>
              <w:pStyle w:val="185"/>
              <w:rPr>
                <w:rFonts w:hint="default" w:ascii="Times New Roman" w:hAnsi="Times New Roman" w:cs="Times New Roman"/>
                <w:sz w:val="21"/>
                <w:highlight w:val="none"/>
              </w:rPr>
            </w:pPr>
            <w:r>
              <w:rPr>
                <w:rFonts w:hint="default" w:ascii="Times New Roman" w:hAnsi="Times New Roman" w:cs="Times New Roman"/>
                <w:sz w:val="21"/>
                <w:highlight w:val="none"/>
              </w:rPr>
              <w:t>DA012</w:t>
            </w:r>
          </w:p>
        </w:tc>
        <w:tc>
          <w:tcPr>
            <w:tcW w:w="1677" w:type="dxa"/>
            <w:tcBorders>
              <w:top w:val="single" w:color="auto" w:sz="4" w:space="0"/>
              <w:left w:val="single" w:color="auto" w:sz="4" w:space="0"/>
              <w:bottom w:val="single" w:color="auto" w:sz="4" w:space="0"/>
              <w:right w:val="single" w:color="auto" w:sz="4" w:space="0"/>
            </w:tcBorders>
            <w:vAlign w:val="center"/>
          </w:tcPr>
          <w:p w14:paraId="3D342665">
            <w:pPr>
              <w:pStyle w:val="185"/>
              <w:rPr>
                <w:rFonts w:hint="default" w:ascii="Times New Roman" w:hAnsi="Times New Roman" w:eastAsia="宋体" w:cs="Times New Roman"/>
                <w:sz w:val="21"/>
                <w:highlight w:val="none"/>
                <w:lang w:val="en-US" w:eastAsia="zh-CN"/>
              </w:rPr>
            </w:pPr>
            <w:r>
              <w:rPr>
                <w:rFonts w:hint="default" w:ascii="Times New Roman" w:hAnsi="Times New Roman" w:cs="Times New Roman"/>
                <w:sz w:val="21"/>
                <w:highlight w:val="none"/>
              </w:rPr>
              <w:t>DA01</w:t>
            </w:r>
            <w:r>
              <w:rPr>
                <w:rFonts w:hint="default" w:ascii="Times New Roman" w:hAnsi="Times New Roman" w:cs="Times New Roman"/>
                <w:sz w:val="21"/>
                <w:highlight w:val="none"/>
                <w:lang w:val="en-US" w:eastAsia="zh-CN"/>
              </w:rPr>
              <w:t>7</w:t>
            </w:r>
          </w:p>
        </w:tc>
        <w:tc>
          <w:tcPr>
            <w:tcW w:w="1677" w:type="dxa"/>
            <w:tcBorders>
              <w:top w:val="single" w:color="auto" w:sz="4" w:space="0"/>
              <w:left w:val="single" w:color="auto" w:sz="4" w:space="0"/>
              <w:bottom w:val="single" w:color="auto" w:sz="4" w:space="0"/>
              <w:right w:val="single" w:color="auto" w:sz="4" w:space="0"/>
            </w:tcBorders>
            <w:vAlign w:val="center"/>
          </w:tcPr>
          <w:p w14:paraId="2B3C3AD1">
            <w:pPr>
              <w:pStyle w:val="185"/>
              <w:rPr>
                <w:rFonts w:hint="default" w:ascii="Times New Roman" w:hAnsi="Times New Roman" w:eastAsia="宋体" w:cs="Times New Roman"/>
                <w:sz w:val="21"/>
                <w:highlight w:val="none"/>
                <w:lang w:val="en-US" w:eastAsia="zh-CN"/>
              </w:rPr>
            </w:pPr>
            <w:r>
              <w:rPr>
                <w:rFonts w:hint="default" w:ascii="Times New Roman" w:hAnsi="Times New Roman" w:cs="Times New Roman"/>
                <w:sz w:val="21"/>
                <w:highlight w:val="none"/>
                <w:lang w:val="en-US" w:eastAsia="zh-CN"/>
              </w:rPr>
              <w:t>DA018</w:t>
            </w:r>
          </w:p>
        </w:tc>
      </w:tr>
    </w:tbl>
    <w:p w14:paraId="5FF2790D">
      <w:pPr>
        <w:pStyle w:val="54"/>
        <w:rPr>
          <w:rFonts w:hint="default" w:ascii="Times New Roman" w:hAnsi="Times New Roman" w:cs="Times New Roman"/>
          <w:color w:val="000000"/>
        </w:rPr>
      </w:pPr>
    </w:p>
    <w:tbl>
      <w:tblPr>
        <w:tblStyle w:val="187"/>
        <w:tblW w:w="1560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8"/>
        <w:gridCol w:w="1875"/>
        <w:gridCol w:w="1677"/>
        <w:gridCol w:w="1677"/>
        <w:gridCol w:w="1677"/>
        <w:gridCol w:w="1677"/>
        <w:gridCol w:w="1677"/>
        <w:gridCol w:w="1677"/>
        <w:gridCol w:w="1677"/>
      </w:tblGrid>
      <w:tr w14:paraId="16F5C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5"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01E42FBF">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color w:val="000000"/>
                <w:lang w:eastAsia="zh-CN"/>
              </w:rPr>
              <w:drawing>
                <wp:inline distT="0" distB="0" distL="114300" distR="114300">
                  <wp:extent cx="1119505" cy="2476500"/>
                  <wp:effectExtent l="0" t="0" r="4445" b="0"/>
                  <wp:docPr id="15" name="图片 15" descr="IMG_20250228_09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0250228_095112"/>
                          <pic:cNvPicPr>
                            <a:picLocks noChangeAspect="1"/>
                          </pic:cNvPicPr>
                        </pic:nvPicPr>
                        <pic:blipFill>
                          <a:blip r:embed="rId23"/>
                          <a:stretch>
                            <a:fillRect/>
                          </a:stretch>
                        </pic:blipFill>
                        <pic:spPr>
                          <a:xfrm>
                            <a:off x="0" y="0"/>
                            <a:ext cx="1119505" cy="2476500"/>
                          </a:xfrm>
                          <a:prstGeom prst="rect">
                            <a:avLst/>
                          </a:prstGeom>
                        </pic:spPr>
                      </pic:pic>
                    </a:graphicData>
                  </a:graphic>
                </wp:inline>
              </w:drawing>
            </w:r>
          </w:p>
        </w:tc>
        <w:tc>
          <w:tcPr>
            <w:tcW w:w="1875" w:type="dxa"/>
            <w:tcBorders>
              <w:top w:val="single" w:color="auto" w:sz="4" w:space="0"/>
              <w:left w:val="single" w:color="auto" w:sz="4" w:space="0"/>
              <w:bottom w:val="single" w:color="auto" w:sz="4" w:space="0"/>
              <w:right w:val="single" w:color="auto" w:sz="4" w:space="0"/>
            </w:tcBorders>
            <w:vAlign w:val="center"/>
          </w:tcPr>
          <w:p w14:paraId="2FC7D968">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color w:val="000000"/>
                <w:lang w:eastAsia="zh-CN"/>
              </w:rPr>
              <w:drawing>
                <wp:inline distT="0" distB="0" distL="114300" distR="114300">
                  <wp:extent cx="1050290" cy="2324100"/>
                  <wp:effectExtent l="0" t="0" r="16510" b="0"/>
                  <wp:docPr id="18" name="图片 18" descr="IMG_20250228_10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20250228_104205"/>
                          <pic:cNvPicPr>
                            <a:picLocks noChangeAspect="1"/>
                          </pic:cNvPicPr>
                        </pic:nvPicPr>
                        <pic:blipFill>
                          <a:blip r:embed="rId24"/>
                          <a:stretch>
                            <a:fillRect/>
                          </a:stretch>
                        </pic:blipFill>
                        <pic:spPr>
                          <a:xfrm>
                            <a:off x="0" y="0"/>
                            <a:ext cx="1050290" cy="232410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04ED76BD">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462530"/>
                  <wp:effectExtent l="0" t="0" r="7620" b="13970"/>
                  <wp:docPr id="25" name="图片 25" descr="lQDPDhs8WGYazqHND6DNC7iwsli08zCE4owCM4r7a8AhAA_3000_4000.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lQDPDhs8WGYazqHND6DNC7iwsli08zCE4owCM4r7a8AhAA_3000_4000.jpg_720x720q90g"/>
                          <pic:cNvPicPr>
                            <a:picLocks noChangeAspect="1"/>
                          </pic:cNvPicPr>
                        </pic:nvPicPr>
                        <pic:blipFill>
                          <a:blip r:embed="rId25"/>
                          <a:stretch>
                            <a:fillRect/>
                          </a:stretch>
                        </pic:blipFill>
                        <pic:spPr>
                          <a:xfrm>
                            <a:off x="0" y="0"/>
                            <a:ext cx="925830" cy="246253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7D83F181">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371090"/>
                  <wp:effectExtent l="0" t="0" r="7620" b="10160"/>
                  <wp:docPr id="26" name="图片 26" descr="lQDPDhs8WlTSwLzNA8DNBQCwr_IqCMM58loCM44o78BeAA_1280_960.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lQDPDhs8WlTSwLzNA8DNBQCwr_IqCMM58loCM44o78BeAA_1280_960.jpg_720x720q90g"/>
                          <pic:cNvPicPr>
                            <a:picLocks noChangeAspect="1"/>
                          </pic:cNvPicPr>
                        </pic:nvPicPr>
                        <pic:blipFill>
                          <a:blip r:embed="rId26"/>
                          <a:stretch>
                            <a:fillRect/>
                          </a:stretch>
                        </pic:blipFill>
                        <pic:spPr>
                          <a:xfrm>
                            <a:off x="0" y="0"/>
                            <a:ext cx="925830" cy="237109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17892FBD">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290445"/>
                  <wp:effectExtent l="0" t="0" r="7620" b="14605"/>
                  <wp:docPr id="27" name="图片 27" descr="lQDPDhs8Wk0THivNEgDNDYCw1jk8hchGZgkCM44bgYBeAA_3456_4608.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lQDPDhs8Wk0THivNEgDNDYCw1jk8hchGZgkCM44bgYBeAA_3456_4608.jpg_720x720q90g"/>
                          <pic:cNvPicPr>
                            <a:picLocks noChangeAspect="1"/>
                          </pic:cNvPicPr>
                        </pic:nvPicPr>
                        <pic:blipFill>
                          <a:blip r:embed="rId27"/>
                          <a:stretch>
                            <a:fillRect/>
                          </a:stretch>
                        </pic:blipFill>
                        <pic:spPr>
                          <a:xfrm>
                            <a:off x="0" y="0"/>
                            <a:ext cx="925830" cy="229044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5EA0EE66">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225040"/>
                  <wp:effectExtent l="0" t="0" r="7620" b="3810"/>
                  <wp:docPr id="28" name="图片 28" descr="lQDPDhtDO2k-UgrNDxjNFCCwO1QPizRdib4CPtNz1EBwAA_5152_3864.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lQDPDhtDO2k-UgrNDxjNFCCwO1QPizRdib4CPtNz1EBwAA_5152_3864.jpg_720x720q90g"/>
                          <pic:cNvPicPr>
                            <a:picLocks noChangeAspect="1"/>
                          </pic:cNvPicPr>
                        </pic:nvPicPr>
                        <pic:blipFill>
                          <a:blip r:embed="rId28"/>
                          <a:stretch>
                            <a:fillRect/>
                          </a:stretch>
                        </pic:blipFill>
                        <pic:spPr>
                          <a:xfrm>
                            <a:off x="0" y="0"/>
                            <a:ext cx="925830" cy="222504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5D56EA99">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176780"/>
                  <wp:effectExtent l="0" t="0" r="7620" b="13970"/>
                  <wp:docPr id="29" name="图片 29" descr="lQDPDhs8WCsYoubND6DNC7iw_Xtxeuh3Pp4CM4qaRcAhAA_3000_4000.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lQDPDhs8WCsYoubND6DNC7iw_Xtxeuh3Pp4CM4qaRcAhAA_3000_4000.jpg_720x720q90g"/>
                          <pic:cNvPicPr>
                            <a:picLocks noChangeAspect="1"/>
                          </pic:cNvPicPr>
                        </pic:nvPicPr>
                        <pic:blipFill>
                          <a:blip r:embed="rId29"/>
                          <a:stretch>
                            <a:fillRect/>
                          </a:stretch>
                        </pic:blipFill>
                        <pic:spPr>
                          <a:xfrm>
                            <a:off x="0" y="0"/>
                            <a:ext cx="925830" cy="217678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2B7CBE1A">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6465" cy="2158365"/>
                  <wp:effectExtent l="0" t="0" r="6985" b="13335"/>
                  <wp:docPr id="19" name="图片 19" descr="IMG_20250228_10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0250228_101004"/>
                          <pic:cNvPicPr>
                            <a:picLocks noChangeAspect="1"/>
                          </pic:cNvPicPr>
                        </pic:nvPicPr>
                        <pic:blipFill>
                          <a:blip r:embed="rId30"/>
                          <a:stretch>
                            <a:fillRect/>
                          </a:stretch>
                        </pic:blipFill>
                        <pic:spPr>
                          <a:xfrm>
                            <a:off x="0" y="0"/>
                            <a:ext cx="926465" cy="215836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6ED55C03">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2167255"/>
                  <wp:effectExtent l="0" t="0" r="7620" b="4445"/>
                  <wp:docPr id="31" name="图片 31" descr="lQDPDhs8WAuBcsbND6DNC7iwTFFQZ9LaUFQCM4plzAAhAA_3000_4000.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lQDPDhs8WAuBcsbND6DNC7iwTFFQZ9LaUFQCM4plzAAhAA_3000_4000.jpg_720x720q90g"/>
                          <pic:cNvPicPr>
                            <a:picLocks noChangeAspect="1"/>
                          </pic:cNvPicPr>
                        </pic:nvPicPr>
                        <pic:blipFill>
                          <a:blip r:embed="rId31"/>
                          <a:stretch>
                            <a:fillRect/>
                          </a:stretch>
                        </pic:blipFill>
                        <pic:spPr>
                          <a:xfrm>
                            <a:off x="0" y="0"/>
                            <a:ext cx="925830" cy="2167255"/>
                          </a:xfrm>
                          <a:prstGeom prst="rect">
                            <a:avLst/>
                          </a:prstGeom>
                        </pic:spPr>
                      </pic:pic>
                    </a:graphicData>
                  </a:graphic>
                </wp:inline>
              </w:drawing>
            </w:r>
          </w:p>
        </w:tc>
      </w:tr>
      <w:tr w14:paraId="15FDC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56F6E6CD">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DA0</w:t>
            </w:r>
            <w:r>
              <w:rPr>
                <w:rFonts w:hint="default" w:ascii="Times New Roman" w:hAnsi="Times New Roman" w:cs="Times New Roman"/>
                <w:color w:val="000000"/>
                <w:highlight w:val="none"/>
                <w:lang w:val="en-US" w:eastAsia="zh-CN"/>
              </w:rPr>
              <w:t>19</w:t>
            </w:r>
          </w:p>
        </w:tc>
        <w:tc>
          <w:tcPr>
            <w:tcW w:w="1875" w:type="dxa"/>
            <w:tcBorders>
              <w:top w:val="single" w:color="auto" w:sz="4" w:space="0"/>
              <w:left w:val="single" w:color="auto" w:sz="4" w:space="0"/>
              <w:bottom w:val="single" w:color="auto" w:sz="4" w:space="0"/>
              <w:right w:val="single" w:color="auto" w:sz="4" w:space="0"/>
            </w:tcBorders>
            <w:vAlign w:val="center"/>
          </w:tcPr>
          <w:p w14:paraId="46F845E9">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DA0</w:t>
            </w:r>
            <w:r>
              <w:rPr>
                <w:rFonts w:hint="default" w:ascii="Times New Roman" w:hAnsi="Times New Roman" w:cs="Times New Roman"/>
                <w:color w:val="000000"/>
                <w:highlight w:val="none"/>
                <w:lang w:val="en-US" w:eastAsia="zh-CN"/>
              </w:rPr>
              <w:t>20</w:t>
            </w:r>
          </w:p>
        </w:tc>
        <w:tc>
          <w:tcPr>
            <w:tcW w:w="1677" w:type="dxa"/>
            <w:tcBorders>
              <w:top w:val="single" w:color="auto" w:sz="4" w:space="0"/>
              <w:left w:val="single" w:color="auto" w:sz="4" w:space="0"/>
              <w:bottom w:val="single" w:color="auto" w:sz="4" w:space="0"/>
              <w:right w:val="single" w:color="auto" w:sz="4" w:space="0"/>
            </w:tcBorders>
            <w:vAlign w:val="center"/>
          </w:tcPr>
          <w:p w14:paraId="4CBC9866">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21</w:t>
            </w:r>
          </w:p>
        </w:tc>
        <w:tc>
          <w:tcPr>
            <w:tcW w:w="1677" w:type="dxa"/>
            <w:tcBorders>
              <w:top w:val="single" w:color="auto" w:sz="4" w:space="0"/>
              <w:left w:val="single" w:color="auto" w:sz="4" w:space="0"/>
              <w:bottom w:val="single" w:color="auto" w:sz="4" w:space="0"/>
              <w:right w:val="single" w:color="auto" w:sz="4" w:space="0"/>
            </w:tcBorders>
            <w:vAlign w:val="center"/>
          </w:tcPr>
          <w:p w14:paraId="6B1A7B37">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22</w:t>
            </w:r>
          </w:p>
        </w:tc>
        <w:tc>
          <w:tcPr>
            <w:tcW w:w="1677" w:type="dxa"/>
            <w:tcBorders>
              <w:top w:val="single" w:color="auto" w:sz="4" w:space="0"/>
              <w:left w:val="single" w:color="auto" w:sz="4" w:space="0"/>
              <w:bottom w:val="single" w:color="auto" w:sz="4" w:space="0"/>
              <w:right w:val="single" w:color="auto" w:sz="4" w:space="0"/>
            </w:tcBorders>
            <w:vAlign w:val="center"/>
          </w:tcPr>
          <w:p w14:paraId="1FA9AF36">
            <w:pPr>
              <w:pStyle w:val="185"/>
              <w:rPr>
                <w:rFonts w:hint="default" w:ascii="Times New Roman" w:hAnsi="Times New Roman" w:eastAsia="宋体" w:cs="Times New Roman"/>
                <w:color w:val="000000"/>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23</w:t>
            </w:r>
          </w:p>
        </w:tc>
        <w:tc>
          <w:tcPr>
            <w:tcW w:w="1677" w:type="dxa"/>
            <w:tcBorders>
              <w:top w:val="single" w:color="auto" w:sz="4" w:space="0"/>
              <w:left w:val="single" w:color="auto" w:sz="4" w:space="0"/>
              <w:bottom w:val="single" w:color="auto" w:sz="4" w:space="0"/>
              <w:right w:val="single" w:color="auto" w:sz="4" w:space="0"/>
            </w:tcBorders>
            <w:vAlign w:val="center"/>
          </w:tcPr>
          <w:p w14:paraId="60B0AB27">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24</w:t>
            </w:r>
          </w:p>
        </w:tc>
        <w:tc>
          <w:tcPr>
            <w:tcW w:w="1677" w:type="dxa"/>
            <w:tcBorders>
              <w:top w:val="single" w:color="auto" w:sz="4" w:space="0"/>
              <w:left w:val="single" w:color="auto" w:sz="4" w:space="0"/>
              <w:bottom w:val="single" w:color="auto" w:sz="4" w:space="0"/>
              <w:right w:val="single" w:color="auto" w:sz="4" w:space="0"/>
            </w:tcBorders>
            <w:vAlign w:val="center"/>
          </w:tcPr>
          <w:p w14:paraId="5DBC26D0">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25</w:t>
            </w:r>
          </w:p>
        </w:tc>
        <w:tc>
          <w:tcPr>
            <w:tcW w:w="1677" w:type="dxa"/>
            <w:tcBorders>
              <w:top w:val="single" w:color="auto" w:sz="4" w:space="0"/>
              <w:left w:val="single" w:color="auto" w:sz="4" w:space="0"/>
              <w:bottom w:val="single" w:color="auto" w:sz="4" w:space="0"/>
              <w:right w:val="single" w:color="auto" w:sz="4" w:space="0"/>
            </w:tcBorders>
            <w:vAlign w:val="center"/>
          </w:tcPr>
          <w:p w14:paraId="0CAC4A9D">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26</w:t>
            </w:r>
          </w:p>
        </w:tc>
        <w:tc>
          <w:tcPr>
            <w:tcW w:w="1677" w:type="dxa"/>
            <w:tcBorders>
              <w:top w:val="single" w:color="auto" w:sz="4" w:space="0"/>
              <w:left w:val="single" w:color="auto" w:sz="4" w:space="0"/>
              <w:bottom w:val="single" w:color="auto" w:sz="4" w:space="0"/>
              <w:right w:val="single" w:color="auto" w:sz="4" w:space="0"/>
            </w:tcBorders>
            <w:vAlign w:val="center"/>
          </w:tcPr>
          <w:p w14:paraId="4A886FC3">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DA027</w:t>
            </w:r>
          </w:p>
        </w:tc>
      </w:tr>
    </w:tbl>
    <w:p w14:paraId="05D7AEAA">
      <w:pPr>
        <w:pStyle w:val="54"/>
        <w:jc w:val="both"/>
        <w:rPr>
          <w:rFonts w:hint="default" w:ascii="Times New Roman" w:hAnsi="Times New Roman" w:cs="Times New Roman"/>
          <w:color w:val="000000"/>
        </w:rPr>
      </w:pPr>
    </w:p>
    <w:p w14:paraId="602DD0D4">
      <w:pPr>
        <w:pStyle w:val="54"/>
        <w:rPr>
          <w:rFonts w:hint="default" w:ascii="Times New Roman" w:hAnsi="Times New Roman" w:cs="Times New Roman"/>
          <w:color w:val="000000"/>
        </w:rPr>
      </w:pPr>
    </w:p>
    <w:p w14:paraId="204EE276">
      <w:pPr>
        <w:pStyle w:val="54"/>
        <w:rPr>
          <w:rFonts w:hint="default" w:ascii="Times New Roman" w:hAnsi="Times New Roman" w:cs="Times New Roman"/>
          <w:color w:val="000000"/>
        </w:rPr>
      </w:pPr>
    </w:p>
    <w:p w14:paraId="701711F7">
      <w:pPr>
        <w:pStyle w:val="54"/>
        <w:rPr>
          <w:rFonts w:hint="default" w:ascii="Times New Roman" w:hAnsi="Times New Roman" w:cs="Times New Roman"/>
          <w:color w:val="000000"/>
        </w:rPr>
      </w:pPr>
    </w:p>
    <w:p w14:paraId="175954DC">
      <w:pPr>
        <w:rPr>
          <w:rFonts w:hint="default" w:ascii="Times New Roman" w:hAnsi="Times New Roman" w:cs="Times New Roman"/>
          <w:color w:val="000000"/>
        </w:rPr>
      </w:pPr>
    </w:p>
    <w:p w14:paraId="1BBA5406">
      <w:pPr>
        <w:rPr>
          <w:rFonts w:hint="default" w:ascii="Times New Roman" w:hAnsi="Times New Roman" w:cs="Times New Roman"/>
          <w:color w:val="000000"/>
        </w:rPr>
      </w:pPr>
    </w:p>
    <w:p w14:paraId="77A24CC5">
      <w:pPr>
        <w:rPr>
          <w:rFonts w:hint="default" w:ascii="Times New Roman" w:hAnsi="Times New Roman" w:cs="Times New Roman"/>
          <w:color w:val="000000"/>
        </w:rPr>
      </w:pPr>
    </w:p>
    <w:tbl>
      <w:tblPr>
        <w:tblStyle w:val="187"/>
        <w:tblW w:w="1224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8"/>
        <w:gridCol w:w="1875"/>
        <w:gridCol w:w="1677"/>
        <w:gridCol w:w="1677"/>
        <w:gridCol w:w="1677"/>
        <w:gridCol w:w="1677"/>
        <w:gridCol w:w="1677"/>
      </w:tblGrid>
      <w:tr w14:paraId="798F5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5"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7AA6850E">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color w:val="000000"/>
                <w:lang w:eastAsia="zh-CN"/>
              </w:rPr>
              <w:drawing>
                <wp:inline distT="0" distB="0" distL="114300" distR="114300">
                  <wp:extent cx="1121410" cy="1875790"/>
                  <wp:effectExtent l="0" t="0" r="2540" b="10160"/>
                  <wp:docPr id="41" name="图片 41" descr="lQDPDhs8VgkeHBnND6DNC7iw1U0KoI6bUakCM4ccIwBFAA_3000_4000.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lQDPDhs8VgkeHBnND6DNC7iw1U0KoI6bUakCM4ccIwBFAA_3000_4000.jpg_720x720q90g"/>
                          <pic:cNvPicPr>
                            <a:picLocks noChangeAspect="1"/>
                          </pic:cNvPicPr>
                        </pic:nvPicPr>
                        <pic:blipFill>
                          <a:blip r:embed="rId32"/>
                          <a:stretch>
                            <a:fillRect/>
                          </a:stretch>
                        </pic:blipFill>
                        <pic:spPr>
                          <a:xfrm>
                            <a:off x="0" y="0"/>
                            <a:ext cx="1121410" cy="1875790"/>
                          </a:xfrm>
                          <a:prstGeom prst="rect">
                            <a:avLst/>
                          </a:prstGeom>
                        </pic:spPr>
                      </pic:pic>
                    </a:graphicData>
                  </a:graphic>
                </wp:inline>
              </w:drawing>
            </w:r>
          </w:p>
        </w:tc>
        <w:tc>
          <w:tcPr>
            <w:tcW w:w="1875" w:type="dxa"/>
            <w:tcBorders>
              <w:top w:val="single" w:color="auto" w:sz="4" w:space="0"/>
              <w:left w:val="single" w:color="auto" w:sz="4" w:space="0"/>
              <w:bottom w:val="single" w:color="auto" w:sz="4" w:space="0"/>
              <w:right w:val="single" w:color="auto" w:sz="4" w:space="0"/>
            </w:tcBorders>
            <w:vAlign w:val="center"/>
          </w:tcPr>
          <w:p w14:paraId="0E7DEB35">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color w:val="000000"/>
                <w:lang w:eastAsia="zh-CN"/>
              </w:rPr>
              <w:drawing>
                <wp:inline distT="0" distB="0" distL="114300" distR="114300">
                  <wp:extent cx="1053465" cy="1908175"/>
                  <wp:effectExtent l="0" t="0" r="13335" b="15875"/>
                  <wp:docPr id="20" name="图片 20" descr="IMG_20250228_10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IMG_20250228_100953"/>
                          <pic:cNvPicPr>
                            <a:picLocks noChangeAspect="1"/>
                          </pic:cNvPicPr>
                        </pic:nvPicPr>
                        <pic:blipFill>
                          <a:blip r:embed="rId33"/>
                          <a:stretch>
                            <a:fillRect/>
                          </a:stretch>
                        </pic:blipFill>
                        <pic:spPr>
                          <a:xfrm>
                            <a:off x="0" y="0"/>
                            <a:ext cx="1053465" cy="190817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47B517EC">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925830" cy="1947545"/>
                  <wp:effectExtent l="0" t="0" r="7620" b="14605"/>
                  <wp:docPr id="21" name="图片 21" descr="lQDPDhtDO2iludbNDxjNFCCwKOFJ7xjf6tICPtNwP0BwAA_5152_3864.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lQDPDhtDO2iludbNDxjNFCCwKOFJ7xjf6tICPtNwP0BwAA_5152_3864.jpg_720x720q90g"/>
                          <pic:cNvPicPr>
                            <a:picLocks noChangeAspect="1"/>
                          </pic:cNvPicPr>
                        </pic:nvPicPr>
                        <pic:blipFill>
                          <a:blip r:embed="rId34"/>
                          <a:stretch>
                            <a:fillRect/>
                          </a:stretch>
                        </pic:blipFill>
                        <pic:spPr>
                          <a:xfrm>
                            <a:off x="0" y="0"/>
                            <a:ext cx="925830" cy="194754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149FDFD5">
            <w:pPr>
              <w:pStyle w:val="185"/>
              <w:rPr>
                <w:rFonts w:hint="default" w:ascii="Times New Roman" w:hAnsi="Times New Roman" w:eastAsia="宋体" w:cs="Times New Roman"/>
                <w:lang w:eastAsia="zh-CN"/>
              </w:rPr>
            </w:pPr>
            <w:r>
              <w:rPr>
                <w:rFonts w:hint="default" w:ascii="Times New Roman" w:hAnsi="Times New Roman" w:eastAsia="宋体" w:cs="Times New Roman"/>
                <w:lang w:eastAsia="zh-CN"/>
              </w:rPr>
              <w:drawing>
                <wp:inline distT="0" distB="0" distL="114300" distR="114300">
                  <wp:extent cx="792480" cy="2061845"/>
                  <wp:effectExtent l="0" t="0" r="7620" b="14605"/>
                  <wp:docPr id="49" name="图片 49" descr="lQDPDhtDO3bz0CvNDxjNFCCw0zxzEJKr_tACPtN0V8CRAQ_5152_3864.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lQDPDhtDO3bz0CvNDxjNFCCw0zxzEJKr_tACPtN0V8CRAQ_5152_3864.jpg_720x720q90g"/>
                          <pic:cNvPicPr>
                            <a:picLocks noChangeAspect="1"/>
                          </pic:cNvPicPr>
                        </pic:nvPicPr>
                        <pic:blipFill>
                          <a:blip r:embed="rId35"/>
                          <a:stretch>
                            <a:fillRect/>
                          </a:stretch>
                        </pic:blipFill>
                        <pic:spPr>
                          <a:xfrm>
                            <a:off x="0" y="0"/>
                            <a:ext cx="792480" cy="206184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7434FFE1">
            <w:pPr>
              <w:pStyle w:val="185"/>
              <w:rPr>
                <w:rFonts w:hint="default" w:ascii="Times New Roman" w:hAnsi="Times New Roman" w:eastAsia="宋体" w:cs="Times New Roman"/>
                <w:lang w:eastAsia="zh-CN"/>
              </w:rPr>
            </w:pPr>
            <w:r>
              <w:rPr>
                <w:rFonts w:hint="default" w:ascii="Times New Roman" w:hAnsi="Times New Roman" w:eastAsia="宋体" w:cs="Times New Roman"/>
                <w:color w:val="000000"/>
                <w:lang w:eastAsia="zh-CN"/>
              </w:rPr>
              <w:drawing>
                <wp:inline distT="0" distB="0" distL="114300" distR="114300">
                  <wp:extent cx="883920" cy="2113915"/>
                  <wp:effectExtent l="0" t="0" r="11430" b="635"/>
                  <wp:docPr id="50" name="图片 50" descr="lQDPDhtDO5cjkffNDxjNFCCwva6ZRU0rLgcCPtNy7oBTAA_5152_3864.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lQDPDhtDO5cjkffNDxjNFCCwva6ZRU0rLgcCPtNy7oBTAA_5152_3864.jpg_720x720q90g"/>
                          <pic:cNvPicPr>
                            <a:picLocks noChangeAspect="1"/>
                          </pic:cNvPicPr>
                        </pic:nvPicPr>
                        <pic:blipFill>
                          <a:blip r:embed="rId36"/>
                          <a:stretch>
                            <a:fillRect/>
                          </a:stretch>
                        </pic:blipFill>
                        <pic:spPr>
                          <a:xfrm>
                            <a:off x="0" y="0"/>
                            <a:ext cx="883920" cy="2113915"/>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73AE9C1D">
            <w:pPr>
              <w:pStyle w:val="185"/>
              <w:rPr>
                <w:rFonts w:hint="default" w:ascii="Times New Roman" w:hAnsi="Times New Roman" w:eastAsia="宋体" w:cs="Times New Roman"/>
                <w:lang w:eastAsia="zh-CN"/>
              </w:rPr>
            </w:pPr>
            <w:r>
              <w:rPr>
                <w:rFonts w:hint="default" w:ascii="Times New Roman" w:hAnsi="Times New Roman" w:eastAsia="宋体" w:cs="Times New Roman"/>
                <w:color w:val="000000"/>
                <w:lang w:eastAsia="zh-CN"/>
              </w:rPr>
              <w:drawing>
                <wp:inline distT="0" distB="0" distL="114300" distR="114300">
                  <wp:extent cx="696595" cy="2016760"/>
                  <wp:effectExtent l="0" t="0" r="8255" b="2540"/>
                  <wp:docPr id="51" name="图片 51" descr="lQDPDhtDO5XyaTHNDxjNFCCwovpbr9LsGLMCPtN0psBTAA_5152_3864.jpg_720x720q9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lQDPDhtDO5XyaTHNDxjNFCCwovpbr9LsGLMCPtN0psBTAA_5152_3864.jpg_720x720q90g"/>
                          <pic:cNvPicPr>
                            <a:picLocks noChangeAspect="1"/>
                          </pic:cNvPicPr>
                        </pic:nvPicPr>
                        <pic:blipFill>
                          <a:blip r:embed="rId37"/>
                          <a:stretch>
                            <a:fillRect/>
                          </a:stretch>
                        </pic:blipFill>
                        <pic:spPr>
                          <a:xfrm>
                            <a:off x="0" y="0"/>
                            <a:ext cx="696595" cy="2016760"/>
                          </a:xfrm>
                          <a:prstGeom prst="rect">
                            <a:avLst/>
                          </a:prstGeom>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19AEBB47">
            <w:pPr>
              <w:pStyle w:val="185"/>
              <w:rPr>
                <w:rFonts w:hint="default" w:ascii="Times New Roman" w:hAnsi="Times New Roman" w:eastAsia="宋体" w:cs="Times New Roman"/>
                <w:lang w:eastAsia="zh-CN"/>
              </w:rPr>
            </w:pPr>
            <w:r>
              <w:rPr>
                <w:rFonts w:hint="default" w:ascii="Times New Roman" w:hAnsi="Times New Roman" w:eastAsia="宋体" w:cs="Times New Roman"/>
                <w:sz w:val="24"/>
                <w:szCs w:val="24"/>
              </w:rPr>
              <w:drawing>
                <wp:inline distT="0" distB="0" distL="114300" distR="114300">
                  <wp:extent cx="831215" cy="2078990"/>
                  <wp:effectExtent l="0" t="0" r="6985" b="16510"/>
                  <wp:docPr id="4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descr="IMG_256"/>
                          <pic:cNvPicPr>
                            <a:picLocks noChangeAspect="1"/>
                          </pic:cNvPicPr>
                        </pic:nvPicPr>
                        <pic:blipFill>
                          <a:blip r:embed="rId38"/>
                          <a:stretch>
                            <a:fillRect/>
                          </a:stretch>
                        </pic:blipFill>
                        <pic:spPr>
                          <a:xfrm>
                            <a:off x="0" y="0"/>
                            <a:ext cx="831215" cy="2078990"/>
                          </a:xfrm>
                          <a:prstGeom prst="rect">
                            <a:avLst/>
                          </a:prstGeom>
                          <a:noFill/>
                          <a:ln w="9525">
                            <a:noFill/>
                          </a:ln>
                        </pic:spPr>
                      </pic:pic>
                    </a:graphicData>
                  </a:graphic>
                </wp:inline>
              </w:drawing>
            </w:r>
          </w:p>
        </w:tc>
      </w:tr>
      <w:tr w14:paraId="4DEFF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26C95D6B">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28</w:t>
            </w:r>
          </w:p>
        </w:tc>
        <w:tc>
          <w:tcPr>
            <w:tcW w:w="1875" w:type="dxa"/>
            <w:tcBorders>
              <w:top w:val="single" w:color="auto" w:sz="4" w:space="0"/>
              <w:left w:val="single" w:color="auto" w:sz="4" w:space="0"/>
              <w:bottom w:val="single" w:color="auto" w:sz="4" w:space="0"/>
              <w:right w:val="single" w:color="auto" w:sz="4" w:space="0"/>
            </w:tcBorders>
            <w:vAlign w:val="center"/>
          </w:tcPr>
          <w:p w14:paraId="7747919A">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highlight w:val="none"/>
              </w:rPr>
              <w:t>DA0</w:t>
            </w:r>
            <w:r>
              <w:rPr>
                <w:rFonts w:hint="default" w:ascii="Times New Roman" w:hAnsi="Times New Roman" w:cs="Times New Roman"/>
                <w:color w:val="000000"/>
                <w:highlight w:val="none"/>
                <w:lang w:val="en-US" w:eastAsia="zh-CN"/>
              </w:rPr>
              <w:t>29</w:t>
            </w:r>
          </w:p>
        </w:tc>
        <w:tc>
          <w:tcPr>
            <w:tcW w:w="1677" w:type="dxa"/>
            <w:tcBorders>
              <w:top w:val="single" w:color="auto" w:sz="4" w:space="0"/>
              <w:left w:val="single" w:color="auto" w:sz="4" w:space="0"/>
              <w:bottom w:val="single" w:color="auto" w:sz="4" w:space="0"/>
              <w:right w:val="single" w:color="auto" w:sz="4" w:space="0"/>
            </w:tcBorders>
            <w:vAlign w:val="center"/>
          </w:tcPr>
          <w:p w14:paraId="1066B88A">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30</w:t>
            </w:r>
          </w:p>
        </w:tc>
        <w:tc>
          <w:tcPr>
            <w:tcW w:w="1677" w:type="dxa"/>
            <w:tcBorders>
              <w:top w:val="single" w:color="auto" w:sz="4" w:space="0"/>
              <w:left w:val="single" w:color="auto" w:sz="4" w:space="0"/>
              <w:bottom w:val="single" w:color="auto" w:sz="4" w:space="0"/>
              <w:right w:val="single" w:color="auto" w:sz="4" w:space="0"/>
            </w:tcBorders>
            <w:vAlign w:val="center"/>
          </w:tcPr>
          <w:p w14:paraId="644B145F">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31</w:t>
            </w:r>
          </w:p>
        </w:tc>
        <w:tc>
          <w:tcPr>
            <w:tcW w:w="1677" w:type="dxa"/>
            <w:tcBorders>
              <w:top w:val="single" w:color="auto" w:sz="4" w:space="0"/>
              <w:left w:val="single" w:color="auto" w:sz="4" w:space="0"/>
              <w:bottom w:val="single" w:color="auto" w:sz="4" w:space="0"/>
              <w:right w:val="single" w:color="auto" w:sz="4" w:space="0"/>
            </w:tcBorders>
            <w:vAlign w:val="center"/>
          </w:tcPr>
          <w:p w14:paraId="572A6C2C">
            <w:pPr>
              <w:pStyle w:val="185"/>
              <w:rPr>
                <w:rFonts w:hint="default" w:ascii="Times New Roman" w:hAnsi="Times New Roman" w:eastAsia="宋体" w:cs="Times New Roman"/>
                <w:color w:val="000000"/>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32</w:t>
            </w:r>
          </w:p>
        </w:tc>
        <w:tc>
          <w:tcPr>
            <w:tcW w:w="1677" w:type="dxa"/>
            <w:tcBorders>
              <w:top w:val="single" w:color="auto" w:sz="4" w:space="0"/>
              <w:left w:val="single" w:color="auto" w:sz="4" w:space="0"/>
              <w:bottom w:val="single" w:color="auto" w:sz="4" w:space="0"/>
              <w:right w:val="single" w:color="auto" w:sz="4" w:space="0"/>
            </w:tcBorders>
            <w:vAlign w:val="center"/>
          </w:tcPr>
          <w:p w14:paraId="32AB25A6">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33</w:t>
            </w:r>
          </w:p>
        </w:tc>
        <w:tc>
          <w:tcPr>
            <w:tcW w:w="1677" w:type="dxa"/>
            <w:tcBorders>
              <w:top w:val="single" w:color="auto" w:sz="4" w:space="0"/>
              <w:left w:val="single" w:color="auto" w:sz="4" w:space="0"/>
              <w:bottom w:val="single" w:color="auto" w:sz="4" w:space="0"/>
              <w:right w:val="single" w:color="auto" w:sz="4" w:space="0"/>
            </w:tcBorders>
            <w:vAlign w:val="center"/>
          </w:tcPr>
          <w:p w14:paraId="5AB05FFC">
            <w:pPr>
              <w:pStyle w:val="185"/>
              <w:rPr>
                <w:rFonts w:hint="default" w:ascii="Times New Roman" w:hAnsi="Times New Roman" w:eastAsia="宋体" w:cs="Times New Roman"/>
                <w:sz w:val="21"/>
                <w:lang w:val="en-US" w:eastAsia="zh-CN"/>
              </w:rPr>
            </w:pPr>
            <w:r>
              <w:rPr>
                <w:rFonts w:hint="default" w:ascii="Times New Roman" w:hAnsi="Times New Roman" w:cs="Times New Roman"/>
                <w:sz w:val="21"/>
              </w:rPr>
              <w:t>DA0</w:t>
            </w:r>
            <w:r>
              <w:rPr>
                <w:rFonts w:hint="default" w:ascii="Times New Roman" w:hAnsi="Times New Roman" w:cs="Times New Roman"/>
                <w:sz w:val="21"/>
                <w:lang w:val="en-US" w:eastAsia="zh-CN"/>
              </w:rPr>
              <w:t>34</w:t>
            </w:r>
          </w:p>
        </w:tc>
      </w:tr>
      <w:tr w14:paraId="1DF9B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75"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5821CAF9">
            <w:pPr>
              <w:pStyle w:val="185"/>
              <w:rPr>
                <w:rFonts w:hint="default" w:ascii="Times New Roman" w:hAnsi="Times New Roman" w:eastAsia="宋体" w:cs="Times New Roman"/>
                <w:color w:val="000000"/>
                <w:lang w:eastAsia="zh-CN"/>
              </w:rPr>
            </w:pPr>
            <w:r>
              <w:rPr>
                <w:rFonts w:hint="default" w:ascii="Times New Roman" w:hAnsi="Times New Roman" w:eastAsia="宋体" w:cs="Times New Roman"/>
                <w:sz w:val="22"/>
                <w:szCs w:val="28"/>
                <w:lang w:eastAsia="zh-CN"/>
              </w:rPr>
              <w:drawing>
                <wp:inline distT="0" distB="0" distL="114300" distR="114300">
                  <wp:extent cx="1156335" cy="867410"/>
                  <wp:effectExtent l="0" t="0" r="5715" b="8890"/>
                  <wp:docPr id="30" name="图片 1" descr="DSC0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descr="DSC02813"/>
                          <pic:cNvPicPr>
                            <a:picLocks noChangeAspect="1"/>
                          </pic:cNvPicPr>
                        </pic:nvPicPr>
                        <pic:blipFill>
                          <a:blip r:embed="rId39"/>
                          <a:stretch>
                            <a:fillRect/>
                          </a:stretch>
                        </pic:blipFill>
                        <pic:spPr>
                          <a:xfrm>
                            <a:off x="0" y="0"/>
                            <a:ext cx="1156335" cy="867410"/>
                          </a:xfrm>
                          <a:prstGeom prst="rect">
                            <a:avLst/>
                          </a:prstGeom>
                          <a:noFill/>
                          <a:ln>
                            <a:noFill/>
                          </a:ln>
                        </pic:spPr>
                      </pic:pic>
                    </a:graphicData>
                  </a:graphic>
                </wp:inline>
              </w:drawing>
            </w:r>
          </w:p>
        </w:tc>
        <w:tc>
          <w:tcPr>
            <w:tcW w:w="1875" w:type="dxa"/>
            <w:tcBorders>
              <w:top w:val="single" w:color="auto" w:sz="4" w:space="0"/>
              <w:left w:val="single" w:color="auto" w:sz="4" w:space="0"/>
              <w:bottom w:val="single" w:color="auto" w:sz="4" w:space="0"/>
              <w:right w:val="single" w:color="auto" w:sz="4" w:space="0"/>
            </w:tcBorders>
            <w:vAlign w:val="center"/>
          </w:tcPr>
          <w:p w14:paraId="1CD688F1">
            <w:pPr>
              <w:pStyle w:val="185"/>
              <w:rPr>
                <w:rFonts w:hint="default" w:ascii="Times New Roman" w:hAnsi="Times New Roman" w:eastAsia="宋体" w:cs="Times New Roman"/>
                <w:color w:val="000000"/>
                <w:lang w:eastAsia="zh-CN"/>
              </w:rPr>
            </w:pPr>
            <w:r>
              <w:rPr>
                <w:rFonts w:hint="default" w:ascii="Times New Roman" w:hAnsi="Times New Roman" w:cs="Times New Roman"/>
                <w:sz w:val="22"/>
                <w:szCs w:val="28"/>
                <w:lang w:val="en-US" w:eastAsia="zh-CN"/>
              </w:rPr>
              <w:drawing>
                <wp:inline distT="0" distB="0" distL="114300" distR="114300">
                  <wp:extent cx="935355" cy="701675"/>
                  <wp:effectExtent l="0" t="0" r="17145" b="3175"/>
                  <wp:docPr id="32" name="图片 2" descr="一号真空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descr="一号真空炉"/>
                          <pic:cNvPicPr>
                            <a:picLocks noChangeAspect="1"/>
                          </pic:cNvPicPr>
                        </pic:nvPicPr>
                        <pic:blipFill>
                          <a:blip r:embed="rId40"/>
                          <a:stretch>
                            <a:fillRect/>
                          </a:stretch>
                        </pic:blipFill>
                        <pic:spPr>
                          <a:xfrm>
                            <a:off x="0" y="0"/>
                            <a:ext cx="935355" cy="701675"/>
                          </a:xfrm>
                          <a:prstGeom prst="rect">
                            <a:avLst/>
                          </a:prstGeom>
                          <a:noFill/>
                          <a:ln>
                            <a:noFill/>
                          </a:ln>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2F52DB5C">
            <w:pPr>
              <w:pStyle w:val="185"/>
              <w:rPr>
                <w:rFonts w:hint="default" w:ascii="Times New Roman" w:hAnsi="Times New Roman" w:eastAsia="宋体" w:cs="Times New Roman"/>
                <w:lang w:eastAsia="zh-CN"/>
              </w:rPr>
            </w:pPr>
            <w:r>
              <w:rPr>
                <w:rFonts w:hint="default" w:ascii="Times New Roman" w:hAnsi="Times New Roman" w:cs="Times New Roman"/>
                <w:sz w:val="22"/>
                <w:szCs w:val="28"/>
                <w:lang w:eastAsia="zh-CN"/>
              </w:rPr>
              <w:drawing>
                <wp:inline distT="0" distB="0" distL="114300" distR="114300">
                  <wp:extent cx="1041400" cy="781050"/>
                  <wp:effectExtent l="0" t="0" r="6350" b="0"/>
                  <wp:docPr id="33" name="图片 3" descr="DSC0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 descr="DSC02805"/>
                          <pic:cNvPicPr>
                            <a:picLocks noChangeAspect="1"/>
                          </pic:cNvPicPr>
                        </pic:nvPicPr>
                        <pic:blipFill>
                          <a:blip r:embed="rId41"/>
                          <a:stretch>
                            <a:fillRect/>
                          </a:stretch>
                        </pic:blipFill>
                        <pic:spPr>
                          <a:xfrm>
                            <a:off x="0" y="0"/>
                            <a:ext cx="1041400" cy="781050"/>
                          </a:xfrm>
                          <a:prstGeom prst="rect">
                            <a:avLst/>
                          </a:prstGeom>
                          <a:noFill/>
                          <a:ln>
                            <a:noFill/>
                          </a:ln>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5E3700AA">
            <w:pPr>
              <w:pStyle w:val="185"/>
              <w:rPr>
                <w:rFonts w:hint="default" w:ascii="Times New Roman" w:hAnsi="Times New Roman" w:eastAsia="宋体" w:cs="Times New Roman"/>
                <w:lang w:eastAsia="zh-CN"/>
              </w:rPr>
            </w:pPr>
            <w:r>
              <w:rPr>
                <w:rFonts w:hint="default" w:ascii="Times New Roman" w:hAnsi="Times New Roman" w:cs="Times New Roman"/>
                <w:sz w:val="22"/>
                <w:szCs w:val="28"/>
                <w:lang w:val="en-US" w:eastAsia="zh-CN"/>
              </w:rPr>
              <w:drawing>
                <wp:inline distT="0" distB="0" distL="114300" distR="114300">
                  <wp:extent cx="1027430" cy="770890"/>
                  <wp:effectExtent l="0" t="0" r="1270" b="10160"/>
                  <wp:docPr id="34" name="图片 4" descr="DSC0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DSC02812"/>
                          <pic:cNvPicPr>
                            <a:picLocks noChangeAspect="1"/>
                          </pic:cNvPicPr>
                        </pic:nvPicPr>
                        <pic:blipFill>
                          <a:blip r:embed="rId42"/>
                          <a:stretch>
                            <a:fillRect/>
                          </a:stretch>
                        </pic:blipFill>
                        <pic:spPr>
                          <a:xfrm>
                            <a:off x="0" y="0"/>
                            <a:ext cx="1027430" cy="770890"/>
                          </a:xfrm>
                          <a:prstGeom prst="rect">
                            <a:avLst/>
                          </a:prstGeom>
                          <a:noFill/>
                          <a:ln>
                            <a:noFill/>
                          </a:ln>
                        </pic:spPr>
                      </pic:pic>
                    </a:graphicData>
                  </a:graphic>
                </wp:inline>
              </w:drawing>
            </w:r>
          </w:p>
        </w:tc>
        <w:tc>
          <w:tcPr>
            <w:tcW w:w="1677" w:type="dxa"/>
            <w:tcBorders>
              <w:top w:val="single" w:color="auto" w:sz="4" w:space="0"/>
              <w:left w:val="single" w:color="auto" w:sz="4" w:space="0"/>
              <w:bottom w:val="single" w:color="auto" w:sz="4" w:space="0"/>
              <w:right w:val="single" w:color="auto" w:sz="4" w:space="0"/>
            </w:tcBorders>
            <w:vAlign w:val="center"/>
          </w:tcPr>
          <w:p w14:paraId="659EC054">
            <w:pPr>
              <w:pStyle w:val="185"/>
              <w:rPr>
                <w:rFonts w:hint="default" w:ascii="Times New Roman" w:hAnsi="Times New Roman" w:eastAsia="宋体" w:cs="Times New Roman"/>
                <w:lang w:eastAsia="zh-CN"/>
              </w:rPr>
            </w:pPr>
          </w:p>
        </w:tc>
        <w:tc>
          <w:tcPr>
            <w:tcW w:w="1677" w:type="dxa"/>
            <w:tcBorders>
              <w:top w:val="single" w:color="auto" w:sz="4" w:space="0"/>
              <w:left w:val="single" w:color="auto" w:sz="4" w:space="0"/>
              <w:bottom w:val="single" w:color="auto" w:sz="4" w:space="0"/>
              <w:right w:val="single" w:color="auto" w:sz="4" w:space="0"/>
            </w:tcBorders>
            <w:vAlign w:val="center"/>
          </w:tcPr>
          <w:p w14:paraId="2D695FF2">
            <w:pPr>
              <w:pStyle w:val="185"/>
              <w:rPr>
                <w:rFonts w:hint="default" w:ascii="Times New Roman" w:hAnsi="Times New Roman" w:eastAsia="宋体" w:cs="Times New Roman"/>
                <w:lang w:eastAsia="zh-CN"/>
              </w:rPr>
            </w:pPr>
          </w:p>
        </w:tc>
        <w:tc>
          <w:tcPr>
            <w:tcW w:w="1677" w:type="dxa"/>
            <w:tcBorders>
              <w:top w:val="single" w:color="auto" w:sz="4" w:space="0"/>
              <w:left w:val="single" w:color="auto" w:sz="4" w:space="0"/>
              <w:bottom w:val="single" w:color="auto" w:sz="4" w:space="0"/>
              <w:right w:val="single" w:color="auto" w:sz="4" w:space="0"/>
            </w:tcBorders>
            <w:vAlign w:val="center"/>
          </w:tcPr>
          <w:p w14:paraId="7C7A3A49">
            <w:pPr>
              <w:pStyle w:val="185"/>
              <w:rPr>
                <w:rFonts w:hint="default" w:ascii="Times New Roman" w:hAnsi="Times New Roman" w:eastAsia="宋体" w:cs="Times New Roman"/>
                <w:lang w:eastAsia="zh-CN"/>
              </w:rPr>
            </w:pPr>
          </w:p>
        </w:tc>
      </w:tr>
      <w:tr w14:paraId="084D1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88" w:type="dxa"/>
            <w:tcBorders>
              <w:top w:val="single" w:color="auto" w:sz="4" w:space="0"/>
              <w:left w:val="single" w:color="auto" w:sz="4" w:space="0"/>
              <w:bottom w:val="single" w:color="auto" w:sz="4" w:space="0"/>
              <w:right w:val="single" w:color="auto" w:sz="4" w:space="0"/>
            </w:tcBorders>
            <w:vAlign w:val="center"/>
          </w:tcPr>
          <w:p w14:paraId="4AD2844C">
            <w:pPr>
              <w:pStyle w:val="185"/>
              <w:rPr>
                <w:rFonts w:hint="default" w:ascii="Times New Roman" w:hAnsi="Times New Roman" w:eastAsia="宋体" w:cs="Times New Roman"/>
                <w:color w:val="000000"/>
                <w:lang w:val="en-US" w:eastAsia="zh-CN"/>
              </w:rPr>
            </w:pPr>
            <w:r>
              <w:rPr>
                <w:rFonts w:hint="default" w:ascii="Times New Roman" w:hAnsi="Times New Roman" w:eastAsia="宋体" w:cs="Times New Roman"/>
                <w:color w:val="000000"/>
                <w:lang w:val="en-US" w:eastAsia="zh-CN"/>
              </w:rPr>
              <w:t>DA013</w:t>
            </w:r>
          </w:p>
        </w:tc>
        <w:tc>
          <w:tcPr>
            <w:tcW w:w="1875" w:type="dxa"/>
            <w:tcBorders>
              <w:top w:val="single" w:color="auto" w:sz="4" w:space="0"/>
              <w:left w:val="single" w:color="auto" w:sz="4" w:space="0"/>
              <w:bottom w:val="single" w:color="auto" w:sz="4" w:space="0"/>
              <w:right w:val="single" w:color="auto" w:sz="4" w:space="0"/>
            </w:tcBorders>
            <w:vAlign w:val="center"/>
          </w:tcPr>
          <w:p w14:paraId="43A6EC4C">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highlight w:val="none"/>
              </w:rPr>
              <w:t>DA0</w:t>
            </w:r>
            <w:r>
              <w:rPr>
                <w:rFonts w:hint="default" w:ascii="Times New Roman" w:hAnsi="Times New Roman" w:cs="Times New Roman"/>
                <w:color w:val="000000"/>
                <w:highlight w:val="none"/>
                <w:lang w:val="en-US" w:eastAsia="zh-CN"/>
              </w:rPr>
              <w:t>14</w:t>
            </w:r>
          </w:p>
        </w:tc>
        <w:tc>
          <w:tcPr>
            <w:tcW w:w="1677" w:type="dxa"/>
            <w:tcBorders>
              <w:top w:val="single" w:color="auto" w:sz="4" w:space="0"/>
              <w:left w:val="single" w:color="auto" w:sz="4" w:space="0"/>
              <w:bottom w:val="single" w:color="auto" w:sz="4" w:space="0"/>
              <w:right w:val="single" w:color="auto" w:sz="4" w:space="0"/>
            </w:tcBorders>
            <w:vAlign w:val="center"/>
          </w:tcPr>
          <w:p w14:paraId="0C930A5A">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07</w:t>
            </w:r>
          </w:p>
        </w:tc>
        <w:tc>
          <w:tcPr>
            <w:tcW w:w="1677" w:type="dxa"/>
            <w:tcBorders>
              <w:top w:val="single" w:color="auto" w:sz="4" w:space="0"/>
              <w:left w:val="single" w:color="auto" w:sz="4" w:space="0"/>
              <w:bottom w:val="single" w:color="auto" w:sz="4" w:space="0"/>
              <w:right w:val="single" w:color="auto" w:sz="4" w:space="0"/>
            </w:tcBorders>
            <w:vAlign w:val="center"/>
          </w:tcPr>
          <w:p w14:paraId="5488A9EE">
            <w:pPr>
              <w:pStyle w:val="185"/>
              <w:rPr>
                <w:rFonts w:hint="default" w:ascii="Times New Roman" w:hAnsi="Times New Roman" w:eastAsia="宋体" w:cs="Times New Roman"/>
                <w:color w:val="000000"/>
                <w:lang w:val="en-US" w:eastAsia="zh-CN"/>
              </w:rPr>
            </w:pPr>
            <w:r>
              <w:rPr>
                <w:rFonts w:hint="default" w:ascii="Times New Roman" w:hAnsi="Times New Roman" w:cs="Times New Roman"/>
                <w:color w:val="000000"/>
              </w:rPr>
              <w:t>DA0</w:t>
            </w:r>
            <w:r>
              <w:rPr>
                <w:rFonts w:hint="default" w:ascii="Times New Roman" w:hAnsi="Times New Roman" w:cs="Times New Roman"/>
                <w:color w:val="000000"/>
                <w:lang w:val="en-US" w:eastAsia="zh-CN"/>
              </w:rPr>
              <w:t>15</w:t>
            </w:r>
          </w:p>
        </w:tc>
        <w:tc>
          <w:tcPr>
            <w:tcW w:w="1677" w:type="dxa"/>
            <w:tcBorders>
              <w:top w:val="single" w:color="auto" w:sz="4" w:space="0"/>
              <w:left w:val="single" w:color="auto" w:sz="4" w:space="0"/>
              <w:bottom w:val="single" w:color="auto" w:sz="4" w:space="0"/>
              <w:right w:val="single" w:color="auto" w:sz="4" w:space="0"/>
            </w:tcBorders>
            <w:vAlign w:val="center"/>
          </w:tcPr>
          <w:p w14:paraId="56D3BE54">
            <w:pPr>
              <w:pStyle w:val="185"/>
              <w:rPr>
                <w:rFonts w:hint="default" w:ascii="Times New Roman" w:hAnsi="Times New Roman" w:eastAsia="宋体" w:cs="Times New Roman"/>
                <w:color w:val="000000"/>
                <w:lang w:val="en-US" w:eastAsia="zh-CN"/>
              </w:rPr>
            </w:pPr>
          </w:p>
        </w:tc>
        <w:tc>
          <w:tcPr>
            <w:tcW w:w="1677" w:type="dxa"/>
            <w:tcBorders>
              <w:top w:val="single" w:color="auto" w:sz="4" w:space="0"/>
              <w:left w:val="single" w:color="auto" w:sz="4" w:space="0"/>
              <w:bottom w:val="single" w:color="auto" w:sz="4" w:space="0"/>
              <w:right w:val="single" w:color="auto" w:sz="4" w:space="0"/>
            </w:tcBorders>
            <w:vAlign w:val="center"/>
          </w:tcPr>
          <w:p w14:paraId="24FF1852">
            <w:pPr>
              <w:pStyle w:val="185"/>
              <w:rPr>
                <w:rFonts w:hint="default" w:ascii="Times New Roman" w:hAnsi="Times New Roman" w:eastAsia="宋体" w:cs="Times New Roman"/>
                <w:sz w:val="21"/>
                <w:lang w:val="en-US" w:eastAsia="zh-CN"/>
              </w:rPr>
            </w:pPr>
          </w:p>
        </w:tc>
        <w:tc>
          <w:tcPr>
            <w:tcW w:w="1677" w:type="dxa"/>
            <w:tcBorders>
              <w:top w:val="single" w:color="auto" w:sz="4" w:space="0"/>
              <w:left w:val="single" w:color="auto" w:sz="4" w:space="0"/>
              <w:bottom w:val="single" w:color="auto" w:sz="4" w:space="0"/>
              <w:right w:val="single" w:color="auto" w:sz="4" w:space="0"/>
            </w:tcBorders>
            <w:vAlign w:val="center"/>
          </w:tcPr>
          <w:p w14:paraId="7EDEEEE7">
            <w:pPr>
              <w:pStyle w:val="185"/>
              <w:rPr>
                <w:rFonts w:hint="default" w:ascii="Times New Roman" w:hAnsi="Times New Roman" w:eastAsia="宋体" w:cs="Times New Roman"/>
                <w:sz w:val="21"/>
                <w:lang w:val="en-US" w:eastAsia="zh-CN"/>
              </w:rPr>
            </w:pPr>
          </w:p>
        </w:tc>
      </w:tr>
    </w:tbl>
    <w:p w14:paraId="7A05E081">
      <w:pPr>
        <w:pStyle w:val="54"/>
        <w:jc w:val="center"/>
        <w:rPr>
          <w:rFonts w:hint="default" w:ascii="Times New Roman" w:hAnsi="Times New Roman" w:cs="Times New Roman"/>
          <w:color w:val="000000"/>
        </w:rPr>
      </w:pPr>
      <w:r>
        <w:rPr>
          <w:rFonts w:hint="default" w:ascii="Times New Roman" w:hAnsi="Times New Roman" w:cs="Times New Roman"/>
          <w:color w:val="000000"/>
        </w:rPr>
        <w:t xml:space="preserve">图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 SEQ 图 \* ARABIC </w:instrText>
      </w:r>
      <w:r>
        <w:rPr>
          <w:rFonts w:hint="default" w:ascii="Times New Roman" w:hAnsi="Times New Roman" w:cs="Times New Roman"/>
          <w:color w:val="000000"/>
        </w:rPr>
        <w:fldChar w:fldCharType="separate"/>
      </w:r>
      <w:r>
        <w:rPr>
          <w:rFonts w:hint="default" w:ascii="Times New Roman" w:hAnsi="Times New Roman" w:cs="Times New Roman"/>
          <w:color w:val="000000"/>
        </w:rPr>
        <w:t>2</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w:t>
      </w:r>
      <w:r>
        <w:rPr>
          <w:rFonts w:hint="default" w:ascii="Times New Roman" w:hAnsi="Times New Roman" w:cs="Times New Roman"/>
          <w:color w:val="000000"/>
          <w:lang w:eastAsia="zh-CN"/>
        </w:rPr>
        <w:t>采油一</w:t>
      </w:r>
      <w:r>
        <w:rPr>
          <w:rFonts w:hint="default" w:ascii="Times New Roman" w:hAnsi="Times New Roman" w:cs="Times New Roman"/>
          <w:color w:val="000000"/>
        </w:rPr>
        <w:t>厂排气筒监测点位照片</w:t>
      </w:r>
    </w:p>
    <w:p w14:paraId="41484EDE">
      <w:pPr>
        <w:rPr>
          <w:rFonts w:hint="default" w:ascii="Times New Roman" w:hAnsi="Times New Roman" w:cs="Times New Roman"/>
          <w:color w:val="000000"/>
        </w:rPr>
      </w:pPr>
    </w:p>
    <w:p w14:paraId="31916581">
      <w:pPr>
        <w:rPr>
          <w:rFonts w:hint="default" w:ascii="Times New Roman" w:hAnsi="Times New Roman" w:cs="Times New Roman"/>
          <w:color w:val="000000"/>
        </w:rPr>
      </w:pPr>
    </w:p>
    <w:p w14:paraId="514E11CF">
      <w:pPr>
        <w:rPr>
          <w:rFonts w:hint="default" w:ascii="Times New Roman" w:hAnsi="Times New Roman" w:cs="Times New Roman"/>
          <w:color w:val="000000"/>
        </w:rPr>
      </w:pPr>
    </w:p>
    <w:p w14:paraId="3D934B80">
      <w:pPr>
        <w:pStyle w:val="54"/>
        <w:jc w:val="both"/>
        <w:rPr>
          <w:rFonts w:hint="default" w:ascii="Times New Roman" w:hAnsi="Times New Roman" w:cs="Times New Roman"/>
          <w:color w:val="000000"/>
        </w:rPr>
      </w:pPr>
    </w:p>
    <w:p w14:paraId="4C0B335C">
      <w:pPr>
        <w:pStyle w:val="54"/>
        <w:rPr>
          <w:rFonts w:hint="default" w:ascii="Times New Roman" w:hAnsi="Times New Roman" w:cs="Times New Roman"/>
          <w:color w:val="000000"/>
        </w:rPr>
      </w:pPr>
    </w:p>
    <w:p w14:paraId="75C52607">
      <w:pPr>
        <w:ind w:left="0" w:leftChars="0" w:firstLine="0" w:firstLineChars="0"/>
        <w:rPr>
          <w:rFonts w:hint="default" w:ascii="Times New Roman" w:hAnsi="Times New Roman" w:cs="Times New Roman"/>
          <w:color w:val="000000"/>
        </w:rPr>
      </w:pPr>
    </w:p>
    <w:p w14:paraId="34EBC72D">
      <w:pPr>
        <w:ind w:left="0" w:leftChars="0" w:firstLine="0" w:firstLineChars="0"/>
        <w:jc w:val="center"/>
        <w:rPr>
          <w:rFonts w:hint="default" w:ascii="Times New Roman" w:hAnsi="Times New Roman" w:cs="Times New Roman"/>
          <w:color w:val="000000"/>
        </w:rPr>
      </w:pPr>
      <w:r>
        <w:rPr>
          <w:rFonts w:hint="default" w:ascii="Times New Roman" w:hAnsi="Times New Roman" w:cs="Times New Roman"/>
          <w:color w:val="000000"/>
        </w:rPr>
        <w:t>（2）有组织废气监测指标、频次及分析方法</w:t>
      </w:r>
    </w:p>
    <w:p w14:paraId="5444E608">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4</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有组织废气监测频次</w:t>
      </w:r>
    </w:p>
    <w:tbl>
      <w:tblPr>
        <w:tblStyle w:val="177"/>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8"/>
        <w:gridCol w:w="2956"/>
        <w:gridCol w:w="1377"/>
        <w:gridCol w:w="2114"/>
        <w:gridCol w:w="2536"/>
        <w:gridCol w:w="1802"/>
      </w:tblGrid>
      <w:tr w14:paraId="6F750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92" w:type="pct"/>
            <w:shd w:val="clear" w:color="auto" w:fill="auto"/>
            <w:vAlign w:val="center"/>
          </w:tcPr>
          <w:p w14:paraId="7239B531">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类别</w:t>
            </w:r>
          </w:p>
        </w:tc>
        <w:tc>
          <w:tcPr>
            <w:tcW w:w="1043" w:type="pct"/>
            <w:shd w:val="clear" w:color="auto" w:fill="auto"/>
            <w:vAlign w:val="center"/>
          </w:tcPr>
          <w:p w14:paraId="2AE91568">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额定功率</w:t>
            </w:r>
          </w:p>
        </w:tc>
        <w:tc>
          <w:tcPr>
            <w:tcW w:w="486" w:type="pct"/>
            <w:shd w:val="clear" w:color="auto" w:fill="auto"/>
            <w:vAlign w:val="center"/>
          </w:tcPr>
          <w:p w14:paraId="4AE71351">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数量</w:t>
            </w:r>
          </w:p>
        </w:tc>
        <w:tc>
          <w:tcPr>
            <w:tcW w:w="746" w:type="pct"/>
            <w:shd w:val="clear" w:color="auto" w:fill="auto"/>
            <w:vAlign w:val="center"/>
          </w:tcPr>
          <w:p w14:paraId="1DDCF0C8">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监测点位</w:t>
            </w:r>
          </w:p>
        </w:tc>
        <w:tc>
          <w:tcPr>
            <w:tcW w:w="1531" w:type="pct"/>
            <w:gridSpan w:val="2"/>
            <w:shd w:val="clear" w:color="auto" w:fill="auto"/>
            <w:vAlign w:val="center"/>
          </w:tcPr>
          <w:p w14:paraId="400DE0C7">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监测指标及监测频次</w:t>
            </w:r>
          </w:p>
        </w:tc>
      </w:tr>
      <w:tr w14:paraId="799AB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restart"/>
            <w:shd w:val="clear" w:color="auto" w:fill="auto"/>
            <w:vAlign w:val="center"/>
          </w:tcPr>
          <w:p w14:paraId="4B70018E">
            <w:pPr>
              <w:pStyle w:val="185"/>
              <w:rPr>
                <w:rFonts w:hint="default" w:ascii="Times New Roman" w:hAnsi="Times New Roman" w:eastAsia="宋体" w:cs="Times New Roman"/>
                <w:color w:val="000000"/>
                <w:lang w:eastAsia="zh-CN"/>
              </w:rPr>
            </w:pPr>
            <w:r>
              <w:rPr>
                <w:rFonts w:hint="default" w:ascii="Times New Roman" w:hAnsi="Times New Roman" w:eastAsia="Times New Roman" w:cs="Times New Roman"/>
                <w:color w:val="000000"/>
              </w:rPr>
              <w:t>加热炉</w:t>
            </w:r>
            <w:r>
              <w:rPr>
                <w:rFonts w:hint="default" w:ascii="Times New Roman" w:hAnsi="Times New Roman" w:cs="Times New Roman"/>
                <w:color w:val="000000"/>
                <w:lang w:eastAsia="zh-CN"/>
              </w:rPr>
              <w:t>、锅炉</w:t>
            </w:r>
          </w:p>
        </w:tc>
        <w:tc>
          <w:tcPr>
            <w:tcW w:w="1043" w:type="pct"/>
            <w:vMerge w:val="restart"/>
            <w:shd w:val="clear" w:color="auto" w:fill="auto"/>
            <w:vAlign w:val="center"/>
          </w:tcPr>
          <w:p w14:paraId="4610598D">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单台额定功率</w:t>
            </w:r>
          </w:p>
          <w:p w14:paraId="22F892BC">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0.5MW</w:t>
            </w:r>
            <w:r>
              <w:rPr>
                <w:rFonts w:hint="default" w:ascii="Times New Roman" w:hAnsi="Times New Roman" w:cs="Times New Roman" w:eastAsiaTheme="minorEastAsia"/>
                <w:color w:val="000000"/>
              </w:rPr>
              <w:t>~14</w:t>
            </w:r>
            <w:r>
              <w:rPr>
                <w:rFonts w:hint="default" w:ascii="Times New Roman" w:hAnsi="Times New Roman" w:eastAsia="Times New Roman" w:cs="Times New Roman"/>
                <w:color w:val="000000"/>
              </w:rPr>
              <w:t>MW</w:t>
            </w:r>
          </w:p>
        </w:tc>
        <w:tc>
          <w:tcPr>
            <w:tcW w:w="486" w:type="pct"/>
            <w:vMerge w:val="restart"/>
            <w:shd w:val="clear" w:color="auto" w:fill="auto"/>
            <w:vAlign w:val="center"/>
          </w:tcPr>
          <w:p w14:paraId="3521EA39">
            <w:pPr>
              <w:pStyle w:val="185"/>
              <w:rPr>
                <w:rFonts w:hint="default" w:ascii="Times New Roman" w:hAnsi="Times New Roman" w:eastAsia="Times New Roman" w:cs="Times New Roman"/>
                <w:color w:val="000000"/>
              </w:rPr>
            </w:pPr>
            <w:r>
              <w:rPr>
                <w:rFonts w:hint="eastAsia" w:ascii="Times New Roman" w:cs="Times New Roman"/>
                <w:color w:val="000000"/>
                <w:lang w:val="en-US" w:eastAsia="zh-CN"/>
              </w:rPr>
              <w:t>28</w:t>
            </w:r>
            <w:r>
              <w:rPr>
                <w:rFonts w:hint="default" w:ascii="Times New Roman" w:hAnsi="Times New Roman" w:eastAsia="Times New Roman" w:cs="Times New Roman"/>
                <w:color w:val="000000"/>
              </w:rPr>
              <w:t>台</w:t>
            </w:r>
          </w:p>
        </w:tc>
        <w:tc>
          <w:tcPr>
            <w:tcW w:w="746" w:type="pct"/>
            <w:vMerge w:val="restart"/>
            <w:shd w:val="clear" w:color="auto" w:fill="auto"/>
            <w:vAlign w:val="center"/>
          </w:tcPr>
          <w:p w14:paraId="712361D3">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排气筒</w:t>
            </w:r>
          </w:p>
        </w:tc>
        <w:tc>
          <w:tcPr>
            <w:tcW w:w="895" w:type="pct"/>
            <w:shd w:val="clear" w:color="auto" w:fill="auto"/>
            <w:vAlign w:val="center"/>
          </w:tcPr>
          <w:p w14:paraId="756CC2AD">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氮氧化物</w:t>
            </w:r>
          </w:p>
        </w:tc>
        <w:tc>
          <w:tcPr>
            <w:tcW w:w="635" w:type="pct"/>
            <w:shd w:val="clear" w:color="auto" w:fill="auto"/>
            <w:vAlign w:val="center"/>
          </w:tcPr>
          <w:p w14:paraId="68755DC2">
            <w:pPr>
              <w:pStyle w:val="185"/>
              <w:rPr>
                <w:rFonts w:hint="default" w:ascii="Times New Roman" w:hAnsi="Times New Roman" w:eastAsia="宋体" w:cs="Times New Roman"/>
                <w:color w:val="auto"/>
                <w:lang w:eastAsia="zh-CN"/>
              </w:rPr>
            </w:pPr>
            <w:r>
              <w:rPr>
                <w:rFonts w:hint="default" w:ascii="Times New Roman" w:hAnsi="Times New Roman" w:eastAsia="Times New Roman" w:cs="Times New Roman"/>
                <w:color w:val="auto"/>
              </w:rPr>
              <w:t>1次/</w:t>
            </w:r>
            <w:r>
              <w:rPr>
                <w:rFonts w:hint="default" w:ascii="Times New Roman" w:hAnsi="Times New Roman" w:cs="Times New Roman"/>
                <w:color w:val="auto"/>
                <w:lang w:eastAsia="zh-CN"/>
              </w:rPr>
              <w:t>月</w:t>
            </w:r>
          </w:p>
        </w:tc>
      </w:tr>
      <w:tr w14:paraId="2AD3C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40B1A482">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7A00F7C0">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122D6981">
            <w:pPr>
              <w:pStyle w:val="185"/>
              <w:rPr>
                <w:rFonts w:hint="default" w:ascii="Times New Roman" w:hAnsi="Times New Roman" w:eastAsia="Times New Roman" w:cs="Times New Roman"/>
                <w:color w:val="000000"/>
                <w:highlight w:val="none"/>
              </w:rPr>
            </w:pPr>
          </w:p>
        </w:tc>
        <w:tc>
          <w:tcPr>
            <w:tcW w:w="746" w:type="pct"/>
            <w:vMerge w:val="continue"/>
            <w:shd w:val="clear" w:color="auto" w:fill="auto"/>
            <w:vAlign w:val="center"/>
          </w:tcPr>
          <w:p w14:paraId="73352AF0">
            <w:pPr>
              <w:pStyle w:val="185"/>
              <w:rPr>
                <w:rFonts w:hint="default" w:ascii="Times New Roman" w:hAnsi="Times New Roman" w:eastAsia="Times New Roman" w:cs="Times New Roman"/>
                <w:color w:val="000000"/>
                <w:highlight w:val="none"/>
              </w:rPr>
            </w:pPr>
          </w:p>
        </w:tc>
        <w:tc>
          <w:tcPr>
            <w:tcW w:w="895" w:type="pct"/>
            <w:shd w:val="clear" w:color="auto" w:fill="auto"/>
            <w:vAlign w:val="center"/>
          </w:tcPr>
          <w:p w14:paraId="59BD386A">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二氧化硫</w:t>
            </w:r>
          </w:p>
        </w:tc>
        <w:tc>
          <w:tcPr>
            <w:tcW w:w="635" w:type="pct"/>
            <w:shd w:val="clear" w:color="auto" w:fill="auto"/>
          </w:tcPr>
          <w:p w14:paraId="4B2A24D5">
            <w:pPr>
              <w:pStyle w:val="185"/>
              <w:rPr>
                <w:rFonts w:hint="default" w:ascii="Times New Roman" w:hAnsi="Times New Roman" w:eastAsia="宋体" w:cs="Times New Roman"/>
                <w:color w:val="auto"/>
                <w:highlight w:val="none"/>
                <w:lang w:eastAsia="zh-CN"/>
              </w:rPr>
            </w:pPr>
            <w:r>
              <w:rPr>
                <w:rFonts w:hint="default" w:ascii="Times New Roman" w:hAnsi="Times New Roman" w:eastAsia="Times New Roman" w:cs="Times New Roman"/>
                <w:color w:val="auto"/>
                <w:highlight w:val="none"/>
              </w:rPr>
              <w:t>1次/</w:t>
            </w:r>
            <w:r>
              <w:rPr>
                <w:rFonts w:hint="default" w:ascii="Times New Roman" w:hAnsi="Times New Roman" w:eastAsia="宋体" w:cs="Times New Roman"/>
                <w:color w:val="auto"/>
                <w:highlight w:val="none"/>
                <w:lang w:val="en-US" w:eastAsia="zh-CN"/>
              </w:rPr>
              <w:t>月</w:t>
            </w:r>
          </w:p>
        </w:tc>
      </w:tr>
      <w:tr w14:paraId="01C53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1ACE3BB4">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74D515F2">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2DB7CF8A">
            <w:pPr>
              <w:pStyle w:val="185"/>
              <w:rPr>
                <w:rFonts w:hint="default" w:ascii="Times New Roman" w:hAnsi="Times New Roman" w:eastAsia="Times New Roman" w:cs="Times New Roman"/>
                <w:color w:val="000000"/>
              </w:rPr>
            </w:pPr>
          </w:p>
        </w:tc>
        <w:tc>
          <w:tcPr>
            <w:tcW w:w="746" w:type="pct"/>
            <w:vMerge w:val="continue"/>
            <w:shd w:val="clear" w:color="auto" w:fill="auto"/>
            <w:vAlign w:val="center"/>
          </w:tcPr>
          <w:p w14:paraId="7FA1A6E3">
            <w:pPr>
              <w:pStyle w:val="185"/>
              <w:rPr>
                <w:rFonts w:hint="default" w:ascii="Times New Roman" w:hAnsi="Times New Roman" w:eastAsia="Times New Roman" w:cs="Times New Roman"/>
                <w:color w:val="000000"/>
              </w:rPr>
            </w:pPr>
          </w:p>
        </w:tc>
        <w:tc>
          <w:tcPr>
            <w:tcW w:w="895" w:type="pct"/>
            <w:shd w:val="clear" w:color="auto" w:fill="auto"/>
            <w:vAlign w:val="center"/>
          </w:tcPr>
          <w:p w14:paraId="778C56C9">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颗粒物</w:t>
            </w:r>
          </w:p>
        </w:tc>
        <w:tc>
          <w:tcPr>
            <w:tcW w:w="635" w:type="pct"/>
            <w:shd w:val="clear" w:color="auto" w:fill="auto"/>
          </w:tcPr>
          <w:p w14:paraId="5DEA54D4">
            <w:pPr>
              <w:pStyle w:val="185"/>
              <w:rPr>
                <w:rFonts w:hint="default" w:ascii="Times New Roman" w:hAnsi="Times New Roman" w:eastAsia="Times New Roman" w:cs="Times New Roman"/>
                <w:color w:val="auto"/>
              </w:rPr>
            </w:pPr>
            <w:r>
              <w:rPr>
                <w:rFonts w:hint="default" w:ascii="Times New Roman" w:hAnsi="Times New Roman" w:eastAsia="Times New Roman" w:cs="Times New Roman"/>
                <w:color w:val="auto"/>
              </w:rPr>
              <w:t>1次/年</w:t>
            </w:r>
          </w:p>
        </w:tc>
      </w:tr>
      <w:tr w14:paraId="50252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05665FBF">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4373E8E6">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50BA871A">
            <w:pPr>
              <w:pStyle w:val="185"/>
              <w:rPr>
                <w:rFonts w:hint="default" w:ascii="Times New Roman" w:hAnsi="Times New Roman" w:eastAsia="Times New Roman" w:cs="Times New Roman"/>
                <w:color w:val="000000"/>
              </w:rPr>
            </w:pPr>
          </w:p>
        </w:tc>
        <w:tc>
          <w:tcPr>
            <w:tcW w:w="746" w:type="pct"/>
            <w:vMerge w:val="continue"/>
            <w:shd w:val="clear" w:color="auto" w:fill="auto"/>
            <w:vAlign w:val="center"/>
          </w:tcPr>
          <w:p w14:paraId="1EDDCCE9">
            <w:pPr>
              <w:pStyle w:val="185"/>
              <w:rPr>
                <w:rFonts w:hint="default" w:ascii="Times New Roman" w:hAnsi="Times New Roman" w:eastAsia="Times New Roman" w:cs="Times New Roman"/>
                <w:color w:val="000000"/>
              </w:rPr>
            </w:pPr>
          </w:p>
        </w:tc>
        <w:tc>
          <w:tcPr>
            <w:tcW w:w="895" w:type="pct"/>
            <w:shd w:val="clear" w:color="auto" w:fill="auto"/>
            <w:vAlign w:val="center"/>
          </w:tcPr>
          <w:p w14:paraId="3E0ABFAA">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林格曼黑度</w:t>
            </w:r>
          </w:p>
        </w:tc>
        <w:tc>
          <w:tcPr>
            <w:tcW w:w="635" w:type="pct"/>
            <w:shd w:val="clear" w:color="auto" w:fill="auto"/>
          </w:tcPr>
          <w:p w14:paraId="3D67BF5D">
            <w:pPr>
              <w:pStyle w:val="185"/>
              <w:rPr>
                <w:rFonts w:hint="default" w:ascii="Times New Roman" w:hAnsi="Times New Roman" w:eastAsia="Times New Roman" w:cs="Times New Roman"/>
                <w:color w:val="auto"/>
              </w:rPr>
            </w:pPr>
            <w:r>
              <w:rPr>
                <w:rFonts w:hint="default" w:ascii="Times New Roman" w:hAnsi="Times New Roman" w:eastAsia="Times New Roman" w:cs="Times New Roman"/>
                <w:color w:val="auto"/>
              </w:rPr>
              <w:t>1次/年</w:t>
            </w:r>
          </w:p>
        </w:tc>
      </w:tr>
      <w:tr w14:paraId="43438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restart"/>
            <w:shd w:val="clear" w:color="auto" w:fill="auto"/>
            <w:vAlign w:val="center"/>
          </w:tcPr>
          <w:p w14:paraId="78A722CA">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加热炉</w:t>
            </w:r>
            <w:r>
              <w:rPr>
                <w:rFonts w:hint="default" w:ascii="Times New Roman" w:hAnsi="Times New Roman" w:cs="Times New Roman"/>
                <w:color w:val="000000"/>
                <w:lang w:eastAsia="zh-CN"/>
              </w:rPr>
              <w:t>、锅炉</w:t>
            </w:r>
          </w:p>
        </w:tc>
        <w:tc>
          <w:tcPr>
            <w:tcW w:w="1043" w:type="pct"/>
            <w:vMerge w:val="restart"/>
            <w:shd w:val="clear" w:color="auto" w:fill="auto"/>
            <w:vAlign w:val="center"/>
          </w:tcPr>
          <w:p w14:paraId="3EEE84E9">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单台额定功率</w:t>
            </w:r>
          </w:p>
          <w:p w14:paraId="5F6DBD47">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＜0.5MW</w:t>
            </w:r>
          </w:p>
        </w:tc>
        <w:tc>
          <w:tcPr>
            <w:tcW w:w="486" w:type="pct"/>
            <w:vMerge w:val="restart"/>
            <w:shd w:val="clear" w:color="auto" w:fill="auto"/>
            <w:vAlign w:val="center"/>
          </w:tcPr>
          <w:p w14:paraId="10033672">
            <w:pPr>
              <w:pStyle w:val="185"/>
              <w:rPr>
                <w:rFonts w:hint="default" w:ascii="Times New Roman" w:hAnsi="Times New Roman" w:eastAsia="Times New Roman" w:cs="Times New Roman"/>
                <w:color w:val="000000"/>
              </w:rPr>
            </w:pPr>
            <w:r>
              <w:rPr>
                <w:rFonts w:hint="eastAsia" w:ascii="Times New Roman" w:cs="Times New Roman"/>
                <w:color w:val="000000"/>
                <w:lang w:val="en-US" w:eastAsia="zh-CN"/>
              </w:rPr>
              <w:t>1</w:t>
            </w:r>
            <w:r>
              <w:rPr>
                <w:rFonts w:hint="default" w:ascii="Times New Roman" w:hAnsi="Times New Roman" w:eastAsia="Times New Roman" w:cs="Times New Roman"/>
                <w:color w:val="000000"/>
              </w:rPr>
              <w:t>台</w:t>
            </w:r>
          </w:p>
        </w:tc>
        <w:tc>
          <w:tcPr>
            <w:tcW w:w="746" w:type="pct"/>
            <w:vMerge w:val="restart"/>
            <w:shd w:val="clear" w:color="auto" w:fill="auto"/>
            <w:vAlign w:val="center"/>
          </w:tcPr>
          <w:p w14:paraId="664C6B3C">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排气筒</w:t>
            </w:r>
          </w:p>
        </w:tc>
        <w:tc>
          <w:tcPr>
            <w:tcW w:w="895" w:type="pct"/>
            <w:shd w:val="clear" w:color="auto" w:fill="auto"/>
            <w:vAlign w:val="center"/>
          </w:tcPr>
          <w:p w14:paraId="1CBAC300">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氮氧化物</w:t>
            </w:r>
          </w:p>
        </w:tc>
        <w:tc>
          <w:tcPr>
            <w:tcW w:w="635" w:type="pct"/>
            <w:shd w:val="clear" w:color="auto" w:fill="auto"/>
            <w:vAlign w:val="center"/>
          </w:tcPr>
          <w:p w14:paraId="43D7A78C">
            <w:pPr>
              <w:pStyle w:val="185"/>
              <w:rPr>
                <w:rFonts w:hint="default" w:ascii="Times New Roman" w:hAnsi="Times New Roman" w:eastAsia="宋体" w:cs="Times New Roman"/>
                <w:color w:val="auto"/>
                <w:lang w:eastAsia="zh-CN"/>
              </w:rPr>
            </w:pPr>
            <w:r>
              <w:rPr>
                <w:rFonts w:hint="default" w:ascii="Times New Roman" w:hAnsi="Times New Roman" w:eastAsia="Times New Roman" w:cs="Times New Roman"/>
                <w:color w:val="auto"/>
              </w:rPr>
              <w:t>1次/</w:t>
            </w:r>
            <w:r>
              <w:rPr>
                <w:rFonts w:hint="default" w:ascii="Times New Roman" w:hAnsi="Times New Roman" w:cs="Times New Roman"/>
                <w:color w:val="auto"/>
                <w:lang w:eastAsia="zh-CN"/>
              </w:rPr>
              <w:t>月</w:t>
            </w:r>
          </w:p>
        </w:tc>
      </w:tr>
      <w:tr w14:paraId="4CA61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110AD63E">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67C9CEA7">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4409DD78">
            <w:pPr>
              <w:pStyle w:val="185"/>
              <w:rPr>
                <w:rFonts w:hint="default" w:ascii="Times New Roman" w:hAnsi="Times New Roman" w:eastAsia="Times New Roman" w:cs="Times New Roman"/>
                <w:color w:val="000000"/>
                <w:highlight w:val="none"/>
              </w:rPr>
            </w:pPr>
          </w:p>
        </w:tc>
        <w:tc>
          <w:tcPr>
            <w:tcW w:w="746" w:type="pct"/>
            <w:vMerge w:val="continue"/>
            <w:shd w:val="clear" w:color="auto" w:fill="auto"/>
            <w:vAlign w:val="center"/>
          </w:tcPr>
          <w:p w14:paraId="498227A6">
            <w:pPr>
              <w:pStyle w:val="185"/>
              <w:rPr>
                <w:rFonts w:hint="default" w:ascii="Times New Roman" w:hAnsi="Times New Roman" w:eastAsia="Times New Roman" w:cs="Times New Roman"/>
                <w:color w:val="000000"/>
                <w:highlight w:val="none"/>
              </w:rPr>
            </w:pPr>
          </w:p>
        </w:tc>
        <w:tc>
          <w:tcPr>
            <w:tcW w:w="895" w:type="pct"/>
            <w:shd w:val="clear" w:color="auto" w:fill="auto"/>
            <w:vAlign w:val="center"/>
          </w:tcPr>
          <w:p w14:paraId="2137EA17">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二氧化硫</w:t>
            </w:r>
          </w:p>
        </w:tc>
        <w:tc>
          <w:tcPr>
            <w:tcW w:w="635" w:type="pct"/>
            <w:shd w:val="clear" w:color="auto" w:fill="auto"/>
          </w:tcPr>
          <w:p w14:paraId="791C4593">
            <w:pPr>
              <w:pStyle w:val="185"/>
              <w:rPr>
                <w:rFonts w:hint="default" w:ascii="Times New Roman" w:hAnsi="Times New Roman" w:eastAsia="宋体" w:cs="Times New Roman"/>
                <w:color w:val="auto"/>
                <w:highlight w:val="none"/>
                <w:lang w:eastAsia="zh-CN"/>
              </w:rPr>
            </w:pPr>
            <w:r>
              <w:rPr>
                <w:rFonts w:hint="default" w:ascii="Times New Roman" w:hAnsi="Times New Roman" w:eastAsia="Times New Roman" w:cs="Times New Roman"/>
                <w:color w:val="auto"/>
                <w:highlight w:val="none"/>
              </w:rPr>
              <w:t>1次/</w:t>
            </w:r>
            <w:r>
              <w:rPr>
                <w:rFonts w:hint="default" w:ascii="Times New Roman" w:hAnsi="Times New Roman" w:eastAsia="宋体" w:cs="Times New Roman"/>
                <w:color w:val="auto"/>
                <w:highlight w:val="none"/>
                <w:lang w:val="en-US" w:eastAsia="zh-CN"/>
              </w:rPr>
              <w:t>月</w:t>
            </w:r>
          </w:p>
        </w:tc>
      </w:tr>
      <w:tr w14:paraId="418DA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1A754AC8">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20C2AB22">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672BEDF9">
            <w:pPr>
              <w:pStyle w:val="185"/>
              <w:rPr>
                <w:rFonts w:hint="default" w:ascii="Times New Roman" w:hAnsi="Times New Roman" w:eastAsia="Times New Roman" w:cs="Times New Roman"/>
                <w:color w:val="000000"/>
              </w:rPr>
            </w:pPr>
          </w:p>
        </w:tc>
        <w:tc>
          <w:tcPr>
            <w:tcW w:w="746" w:type="pct"/>
            <w:vMerge w:val="continue"/>
            <w:shd w:val="clear" w:color="auto" w:fill="auto"/>
            <w:vAlign w:val="center"/>
          </w:tcPr>
          <w:p w14:paraId="1B555342">
            <w:pPr>
              <w:pStyle w:val="185"/>
              <w:rPr>
                <w:rFonts w:hint="default" w:ascii="Times New Roman" w:hAnsi="Times New Roman" w:eastAsia="Times New Roman" w:cs="Times New Roman"/>
                <w:color w:val="000000"/>
              </w:rPr>
            </w:pPr>
          </w:p>
        </w:tc>
        <w:tc>
          <w:tcPr>
            <w:tcW w:w="895" w:type="pct"/>
            <w:shd w:val="clear" w:color="auto" w:fill="auto"/>
            <w:vAlign w:val="center"/>
          </w:tcPr>
          <w:p w14:paraId="3367D0BC">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颗粒物</w:t>
            </w:r>
          </w:p>
        </w:tc>
        <w:tc>
          <w:tcPr>
            <w:tcW w:w="635" w:type="pct"/>
            <w:shd w:val="clear" w:color="auto" w:fill="auto"/>
          </w:tcPr>
          <w:p w14:paraId="30BF9A42">
            <w:pPr>
              <w:pStyle w:val="185"/>
              <w:rPr>
                <w:rFonts w:hint="default" w:ascii="Times New Roman" w:hAnsi="Times New Roman" w:eastAsia="Times New Roman" w:cs="Times New Roman"/>
                <w:color w:val="auto"/>
              </w:rPr>
            </w:pPr>
            <w:r>
              <w:rPr>
                <w:rFonts w:hint="default" w:ascii="Times New Roman" w:hAnsi="Times New Roman" w:eastAsia="Times New Roman" w:cs="Times New Roman"/>
                <w:color w:val="auto"/>
              </w:rPr>
              <w:t>1次/年</w:t>
            </w:r>
          </w:p>
        </w:tc>
      </w:tr>
      <w:tr w14:paraId="6EF6E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192" w:type="pct"/>
            <w:vMerge w:val="continue"/>
            <w:shd w:val="clear" w:color="auto" w:fill="auto"/>
            <w:vAlign w:val="center"/>
          </w:tcPr>
          <w:p w14:paraId="72570557">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0F74BD70">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0C943BA5">
            <w:pPr>
              <w:pStyle w:val="185"/>
              <w:rPr>
                <w:rFonts w:hint="default" w:ascii="Times New Roman" w:hAnsi="Times New Roman" w:eastAsia="Times New Roman" w:cs="Times New Roman"/>
                <w:color w:val="000000"/>
              </w:rPr>
            </w:pPr>
          </w:p>
        </w:tc>
        <w:tc>
          <w:tcPr>
            <w:tcW w:w="746" w:type="pct"/>
            <w:vMerge w:val="continue"/>
            <w:shd w:val="clear" w:color="auto" w:fill="auto"/>
            <w:vAlign w:val="center"/>
          </w:tcPr>
          <w:p w14:paraId="2DC0E722">
            <w:pPr>
              <w:pStyle w:val="185"/>
              <w:rPr>
                <w:rFonts w:hint="default" w:ascii="Times New Roman" w:hAnsi="Times New Roman" w:eastAsia="Times New Roman" w:cs="Times New Roman"/>
                <w:color w:val="000000"/>
              </w:rPr>
            </w:pPr>
          </w:p>
        </w:tc>
        <w:tc>
          <w:tcPr>
            <w:tcW w:w="895" w:type="pct"/>
            <w:shd w:val="clear" w:color="auto" w:fill="auto"/>
            <w:vAlign w:val="center"/>
          </w:tcPr>
          <w:p w14:paraId="5C6FD40C">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林格曼黑度</w:t>
            </w:r>
          </w:p>
        </w:tc>
        <w:tc>
          <w:tcPr>
            <w:tcW w:w="635" w:type="pct"/>
            <w:shd w:val="clear" w:color="auto" w:fill="auto"/>
          </w:tcPr>
          <w:p w14:paraId="4926C240">
            <w:pPr>
              <w:pStyle w:val="185"/>
              <w:rPr>
                <w:rFonts w:hint="default" w:ascii="Times New Roman" w:hAnsi="Times New Roman" w:eastAsia="Times New Roman" w:cs="Times New Roman"/>
                <w:color w:val="auto"/>
              </w:rPr>
            </w:pPr>
            <w:r>
              <w:rPr>
                <w:rFonts w:hint="default" w:ascii="Times New Roman" w:hAnsi="Times New Roman" w:eastAsia="Times New Roman" w:cs="Times New Roman"/>
                <w:color w:val="auto"/>
              </w:rPr>
              <w:t>1次/年</w:t>
            </w:r>
          </w:p>
        </w:tc>
      </w:tr>
      <w:tr w14:paraId="04FA8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restart"/>
            <w:shd w:val="clear" w:color="auto" w:fill="auto"/>
            <w:vAlign w:val="center"/>
          </w:tcPr>
          <w:p w14:paraId="122F9CD3">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有机废气排气筒</w:t>
            </w:r>
          </w:p>
        </w:tc>
        <w:tc>
          <w:tcPr>
            <w:tcW w:w="1043" w:type="pct"/>
            <w:vMerge w:val="restart"/>
            <w:shd w:val="clear" w:color="auto" w:fill="auto"/>
            <w:vAlign w:val="center"/>
          </w:tcPr>
          <w:p w14:paraId="479FF7D5">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w:t>
            </w:r>
          </w:p>
        </w:tc>
        <w:tc>
          <w:tcPr>
            <w:tcW w:w="486" w:type="pct"/>
            <w:vMerge w:val="restart"/>
            <w:shd w:val="clear" w:color="auto" w:fill="auto"/>
            <w:vAlign w:val="center"/>
          </w:tcPr>
          <w:p w14:paraId="5EF39486">
            <w:pPr>
              <w:pStyle w:val="185"/>
              <w:rPr>
                <w:rFonts w:hint="default" w:ascii="Times New Roman" w:hAnsi="Times New Roman" w:eastAsia="Times New Roman" w:cs="Times New Roman"/>
                <w:color w:val="000000"/>
              </w:rPr>
            </w:pPr>
            <w:r>
              <w:rPr>
                <w:rFonts w:hint="default" w:ascii="Times New Roman" w:hAnsi="Times New Roman" w:cs="Times New Roman"/>
                <w:color w:val="000000"/>
                <w:lang w:val="en-US" w:eastAsia="zh-CN"/>
              </w:rPr>
              <w:t>1</w:t>
            </w:r>
            <w:r>
              <w:rPr>
                <w:rFonts w:hint="default" w:ascii="Times New Roman" w:hAnsi="Times New Roman" w:eastAsia="Times New Roman" w:cs="Times New Roman"/>
                <w:color w:val="000000"/>
              </w:rPr>
              <w:t>台</w:t>
            </w:r>
          </w:p>
        </w:tc>
        <w:tc>
          <w:tcPr>
            <w:tcW w:w="746" w:type="pct"/>
            <w:vMerge w:val="restart"/>
            <w:shd w:val="clear" w:color="auto" w:fill="auto"/>
            <w:vAlign w:val="center"/>
          </w:tcPr>
          <w:p w14:paraId="4195B2F8">
            <w:pPr>
              <w:pStyle w:val="185"/>
              <w:rPr>
                <w:rFonts w:hint="default" w:ascii="Times New Roman" w:hAnsi="Times New Roman" w:eastAsia="Times New Roman" w:cs="Times New Roman"/>
                <w:color w:val="000000"/>
              </w:rPr>
            </w:pPr>
            <w:r>
              <w:rPr>
                <w:rFonts w:hint="default" w:ascii="Times New Roman" w:hAnsi="Times New Roman" w:eastAsia="Times New Roman" w:cs="Times New Roman"/>
                <w:color w:val="000000"/>
              </w:rPr>
              <w:t>排气筒</w:t>
            </w:r>
          </w:p>
        </w:tc>
        <w:tc>
          <w:tcPr>
            <w:tcW w:w="895" w:type="pct"/>
            <w:shd w:val="clear" w:color="auto" w:fill="auto"/>
            <w:vAlign w:val="center"/>
          </w:tcPr>
          <w:p w14:paraId="26FFA937">
            <w:pPr>
              <w:pStyle w:val="185"/>
              <w:rPr>
                <w:rFonts w:hint="default" w:ascii="Times New Roman" w:hAnsi="Times New Roman" w:eastAsia="Times New Roman" w:cs="Times New Roman"/>
                <w:color w:val="000000"/>
              </w:rPr>
            </w:pPr>
            <w:r>
              <w:rPr>
                <w:rFonts w:hint="default" w:ascii="Times New Roman" w:hAnsi="Times New Roman" w:eastAsia="宋体" w:cs="Times New Roman"/>
                <w:color w:val="000000"/>
              </w:rPr>
              <w:t>非甲烷总烃</w:t>
            </w:r>
          </w:p>
        </w:tc>
        <w:tc>
          <w:tcPr>
            <w:tcW w:w="635" w:type="pct"/>
            <w:shd w:val="clear" w:color="auto" w:fill="auto"/>
            <w:vAlign w:val="center"/>
          </w:tcPr>
          <w:p w14:paraId="390B63A5">
            <w:pPr>
              <w:pStyle w:val="185"/>
              <w:rPr>
                <w:rFonts w:hint="default" w:ascii="Times New Roman" w:hAnsi="Times New Roman" w:eastAsia="宋体" w:cs="Times New Roman"/>
                <w:color w:val="auto"/>
                <w:lang w:eastAsia="zh-CN"/>
              </w:rPr>
            </w:pPr>
            <w:r>
              <w:rPr>
                <w:rFonts w:hint="default" w:ascii="Times New Roman" w:hAnsi="Times New Roman" w:eastAsia="Times New Roman" w:cs="Times New Roman"/>
                <w:color w:val="auto"/>
              </w:rPr>
              <w:t>1次/</w:t>
            </w:r>
            <w:r>
              <w:rPr>
                <w:rFonts w:hint="default" w:ascii="Times New Roman" w:hAnsi="Times New Roman" w:cs="Times New Roman"/>
                <w:color w:val="auto"/>
                <w:lang w:eastAsia="zh-CN"/>
              </w:rPr>
              <w:t>月</w:t>
            </w:r>
          </w:p>
        </w:tc>
      </w:tr>
      <w:tr w14:paraId="03591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92" w:type="pct"/>
            <w:vMerge w:val="continue"/>
            <w:shd w:val="clear" w:color="auto" w:fill="auto"/>
            <w:vAlign w:val="center"/>
          </w:tcPr>
          <w:p w14:paraId="464674B1">
            <w:pPr>
              <w:pStyle w:val="185"/>
              <w:rPr>
                <w:rFonts w:hint="default" w:ascii="Times New Roman" w:hAnsi="Times New Roman" w:eastAsia="Times New Roman" w:cs="Times New Roman"/>
                <w:color w:val="000000"/>
              </w:rPr>
            </w:pPr>
          </w:p>
        </w:tc>
        <w:tc>
          <w:tcPr>
            <w:tcW w:w="1043" w:type="pct"/>
            <w:vMerge w:val="continue"/>
            <w:shd w:val="clear" w:color="auto" w:fill="auto"/>
            <w:vAlign w:val="center"/>
          </w:tcPr>
          <w:p w14:paraId="492E14E1">
            <w:pPr>
              <w:pStyle w:val="185"/>
              <w:rPr>
                <w:rFonts w:hint="default" w:ascii="Times New Roman" w:hAnsi="Times New Roman" w:eastAsia="Times New Roman" w:cs="Times New Roman"/>
                <w:color w:val="000000"/>
              </w:rPr>
            </w:pPr>
          </w:p>
        </w:tc>
        <w:tc>
          <w:tcPr>
            <w:tcW w:w="486" w:type="pct"/>
            <w:vMerge w:val="continue"/>
            <w:shd w:val="clear" w:color="auto" w:fill="auto"/>
            <w:vAlign w:val="center"/>
          </w:tcPr>
          <w:p w14:paraId="42108C61">
            <w:pPr>
              <w:pStyle w:val="185"/>
              <w:rPr>
                <w:rFonts w:hint="default" w:ascii="Times New Roman" w:hAnsi="Times New Roman" w:cs="Times New Roman"/>
                <w:color w:val="000000"/>
                <w:lang w:val="en-US" w:eastAsia="zh-CN"/>
              </w:rPr>
            </w:pPr>
          </w:p>
        </w:tc>
        <w:tc>
          <w:tcPr>
            <w:tcW w:w="746" w:type="pct"/>
            <w:vMerge w:val="continue"/>
            <w:shd w:val="clear" w:color="auto" w:fill="auto"/>
            <w:vAlign w:val="center"/>
          </w:tcPr>
          <w:p w14:paraId="5A43CB4C">
            <w:pPr>
              <w:pStyle w:val="185"/>
              <w:rPr>
                <w:rFonts w:hint="default" w:ascii="Times New Roman" w:hAnsi="Times New Roman" w:eastAsia="Times New Roman" w:cs="Times New Roman"/>
                <w:color w:val="000000"/>
              </w:rPr>
            </w:pPr>
          </w:p>
        </w:tc>
        <w:tc>
          <w:tcPr>
            <w:tcW w:w="895" w:type="pct"/>
            <w:shd w:val="clear" w:color="auto" w:fill="auto"/>
            <w:vAlign w:val="center"/>
          </w:tcPr>
          <w:p w14:paraId="27EF21B8">
            <w:pPr>
              <w:pStyle w:val="185"/>
              <w:rPr>
                <w:rFonts w:hint="eastAsia" w:ascii="Times New Roman" w:hAnsi="Times New Roman" w:eastAsia="宋体" w:cs="Times New Roman"/>
                <w:color w:val="000000"/>
                <w:lang w:eastAsia="zh-CN"/>
              </w:rPr>
            </w:pPr>
            <w:r>
              <w:rPr>
                <w:rFonts w:hint="eastAsia" w:ascii="Times New Roman" w:cs="Times New Roman"/>
                <w:color w:val="000000"/>
                <w:lang w:eastAsia="zh-CN"/>
              </w:rPr>
              <w:t>硫化氢</w:t>
            </w:r>
          </w:p>
        </w:tc>
        <w:tc>
          <w:tcPr>
            <w:tcW w:w="635" w:type="pct"/>
            <w:shd w:val="clear" w:color="auto" w:fill="auto"/>
            <w:vAlign w:val="center"/>
          </w:tcPr>
          <w:p w14:paraId="5CEA2D05">
            <w:pPr>
              <w:pStyle w:val="185"/>
              <w:rPr>
                <w:rFonts w:hint="default" w:ascii="Times New Roman" w:hAnsi="Times New Roman" w:eastAsia="宋体" w:cs="Times New Roman"/>
                <w:color w:val="auto"/>
                <w:lang w:val="en-US" w:eastAsia="zh-CN"/>
              </w:rPr>
            </w:pPr>
            <w:r>
              <w:rPr>
                <w:rFonts w:hint="eastAsia" w:ascii="Times New Roman" w:eastAsia="宋体" w:cs="Times New Roman"/>
                <w:color w:val="auto"/>
                <w:lang w:val="en-US" w:eastAsia="zh-CN"/>
              </w:rPr>
              <w:t>1次/半年</w:t>
            </w:r>
          </w:p>
        </w:tc>
      </w:tr>
    </w:tbl>
    <w:p w14:paraId="4405865F">
      <w:pPr>
        <w:pStyle w:val="96"/>
        <w:spacing w:before="156"/>
        <w:jc w:val="both"/>
        <w:rPr>
          <w:rFonts w:hint="default" w:ascii="Times New Roman" w:hAnsi="Times New Roman" w:cs="Times New Roman"/>
          <w:color w:val="000000"/>
        </w:rPr>
      </w:pPr>
    </w:p>
    <w:p w14:paraId="19439C7F">
      <w:pPr>
        <w:pStyle w:val="96"/>
        <w:spacing w:before="156"/>
        <w:rPr>
          <w:rFonts w:hint="default" w:ascii="Times New Roman" w:hAnsi="Times New Roman" w:cs="Times New Roman"/>
          <w:color w:val="000000"/>
        </w:rPr>
      </w:pPr>
      <w:r>
        <w:rPr>
          <w:rFonts w:hint="default" w:ascii="Times New Roman" w:hAnsi="Times New Roman" w:cs="Times New Roman"/>
          <w:color w:val="000000"/>
        </w:rPr>
        <w:t>表 6 检测仪器及分析方法</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50"/>
        <w:gridCol w:w="3826"/>
        <w:gridCol w:w="1438"/>
        <w:gridCol w:w="5669"/>
        <w:gridCol w:w="1591"/>
      </w:tblGrid>
      <w:tr w14:paraId="06E09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82" w:type="pct"/>
            <w:shd w:val="clear" w:color="auto" w:fill="auto"/>
            <w:vAlign w:val="center"/>
          </w:tcPr>
          <w:p w14:paraId="51D77792">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检测项目</w:t>
            </w:r>
          </w:p>
        </w:tc>
        <w:tc>
          <w:tcPr>
            <w:tcW w:w="1349" w:type="pct"/>
            <w:shd w:val="clear" w:color="auto" w:fill="auto"/>
            <w:vAlign w:val="center"/>
          </w:tcPr>
          <w:p w14:paraId="52130829">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检测仪器</w:t>
            </w:r>
          </w:p>
        </w:tc>
        <w:tc>
          <w:tcPr>
            <w:tcW w:w="507" w:type="pct"/>
            <w:shd w:val="clear" w:color="auto" w:fill="auto"/>
            <w:vAlign w:val="center"/>
          </w:tcPr>
          <w:p w14:paraId="3F2CEADB">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仪器溯源方式</w:t>
            </w:r>
          </w:p>
        </w:tc>
        <w:tc>
          <w:tcPr>
            <w:tcW w:w="1999" w:type="pct"/>
            <w:shd w:val="clear" w:color="auto" w:fill="auto"/>
            <w:vAlign w:val="center"/>
          </w:tcPr>
          <w:p w14:paraId="393AA4DB">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分析方法及来源</w:t>
            </w:r>
          </w:p>
        </w:tc>
        <w:tc>
          <w:tcPr>
            <w:tcW w:w="561" w:type="pct"/>
            <w:shd w:val="clear" w:color="auto" w:fill="auto"/>
            <w:vAlign w:val="center"/>
          </w:tcPr>
          <w:p w14:paraId="19D34279">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检出限</w:t>
            </w:r>
          </w:p>
          <w:p w14:paraId="58A9D86C">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mg/m</w:t>
            </w:r>
            <w:r>
              <w:rPr>
                <w:rFonts w:hint="default" w:ascii="Times New Roman" w:hAnsi="Times New Roman" w:eastAsia="宋体" w:cs="Times New Roman"/>
                <w:color w:val="000000"/>
                <w:sz w:val="21"/>
                <w:vertAlign w:val="superscript"/>
              </w:rPr>
              <w:t>3</w:t>
            </w:r>
          </w:p>
        </w:tc>
      </w:tr>
      <w:tr w14:paraId="2303C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82" w:type="pct"/>
            <w:shd w:val="clear" w:color="auto" w:fill="auto"/>
            <w:vAlign w:val="center"/>
          </w:tcPr>
          <w:p w14:paraId="712000E7">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氮氧化物</w:t>
            </w:r>
          </w:p>
        </w:tc>
        <w:tc>
          <w:tcPr>
            <w:tcW w:w="1349" w:type="pct"/>
            <w:shd w:val="clear" w:color="auto" w:fill="auto"/>
            <w:vAlign w:val="center"/>
          </w:tcPr>
          <w:p w14:paraId="73CF9919">
            <w:pPr>
              <w:pStyle w:val="185"/>
              <w:rPr>
                <w:rFonts w:hint="default" w:ascii="Times New Roman" w:hAnsi="Times New Roman" w:eastAsia="宋体" w:cs="Times New Roman"/>
                <w:color w:val="000000"/>
                <w:sz w:val="21"/>
              </w:rPr>
            </w:pPr>
            <w:r>
              <w:rPr>
                <w:rFonts w:hint="default" w:ascii="Times New Roman" w:hAnsi="Times New Roman" w:eastAsia="宋体" w:cs="Times New Roman"/>
                <w:kern w:val="0"/>
                <w:sz w:val="21"/>
                <w:lang w:bidi="ar"/>
              </w:rPr>
              <w:t>崂应3012H</w:t>
            </w:r>
            <w:r>
              <w:rPr>
                <w:rFonts w:hint="default" w:ascii="Times New Roman" w:hAnsi="Times New Roman" w:eastAsia="宋体" w:cs="Times New Roman"/>
                <w:kern w:val="0"/>
                <w:sz w:val="21"/>
                <w:lang w:val="en-US" w:eastAsia="zh-CN" w:bidi="ar"/>
              </w:rPr>
              <w:t>-D型</w:t>
            </w:r>
            <w:r>
              <w:rPr>
                <w:rFonts w:hint="default" w:ascii="Times New Roman" w:hAnsi="Times New Roman" w:eastAsia="宋体" w:cs="Times New Roman"/>
                <w:kern w:val="0"/>
                <w:sz w:val="21"/>
                <w:lang w:bidi="ar"/>
              </w:rPr>
              <w:t>烟尘烟气测试仪</w:t>
            </w:r>
          </w:p>
        </w:tc>
        <w:tc>
          <w:tcPr>
            <w:tcW w:w="507" w:type="pct"/>
            <w:shd w:val="clear" w:color="auto" w:fill="auto"/>
            <w:vAlign w:val="center"/>
          </w:tcPr>
          <w:p w14:paraId="7E314598">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校准</w:t>
            </w:r>
          </w:p>
        </w:tc>
        <w:tc>
          <w:tcPr>
            <w:tcW w:w="1999" w:type="pct"/>
            <w:shd w:val="clear" w:color="auto" w:fill="auto"/>
            <w:vAlign w:val="center"/>
          </w:tcPr>
          <w:p w14:paraId="64A0E6C4">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固定污染源废气 氮氧化物的测定 定电位电解法</w:t>
            </w:r>
          </w:p>
          <w:p w14:paraId="65F983F1">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HJ 693-2014</w:t>
            </w:r>
          </w:p>
        </w:tc>
        <w:tc>
          <w:tcPr>
            <w:tcW w:w="561" w:type="pct"/>
            <w:shd w:val="clear" w:color="auto" w:fill="auto"/>
            <w:vAlign w:val="center"/>
          </w:tcPr>
          <w:p w14:paraId="375A6C91">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3</w:t>
            </w:r>
          </w:p>
        </w:tc>
      </w:tr>
      <w:tr w14:paraId="1C46D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82" w:type="pct"/>
            <w:shd w:val="clear" w:color="auto" w:fill="auto"/>
            <w:vAlign w:val="center"/>
          </w:tcPr>
          <w:p w14:paraId="63915310">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二氧化硫</w:t>
            </w:r>
          </w:p>
        </w:tc>
        <w:tc>
          <w:tcPr>
            <w:tcW w:w="1349" w:type="pct"/>
            <w:shd w:val="clear" w:color="auto" w:fill="auto"/>
            <w:vAlign w:val="center"/>
          </w:tcPr>
          <w:p w14:paraId="592C867F">
            <w:pPr>
              <w:pStyle w:val="185"/>
              <w:rPr>
                <w:rFonts w:hint="default" w:ascii="Times New Roman" w:hAnsi="Times New Roman" w:eastAsia="宋体" w:cs="Times New Roman"/>
                <w:color w:val="000000"/>
                <w:sz w:val="21"/>
              </w:rPr>
            </w:pPr>
            <w:r>
              <w:rPr>
                <w:rFonts w:hint="default" w:ascii="Times New Roman" w:hAnsi="Times New Roman" w:eastAsia="宋体" w:cs="Times New Roman"/>
                <w:kern w:val="0"/>
                <w:sz w:val="21"/>
                <w:lang w:bidi="ar"/>
              </w:rPr>
              <w:t>崂应3012H</w:t>
            </w:r>
            <w:r>
              <w:rPr>
                <w:rFonts w:hint="default" w:ascii="Times New Roman" w:hAnsi="Times New Roman" w:eastAsia="宋体" w:cs="Times New Roman"/>
                <w:kern w:val="0"/>
                <w:sz w:val="21"/>
                <w:lang w:val="en-US" w:eastAsia="zh-CN" w:bidi="ar"/>
              </w:rPr>
              <w:t>-D型</w:t>
            </w:r>
            <w:r>
              <w:rPr>
                <w:rFonts w:hint="default" w:ascii="Times New Roman" w:hAnsi="Times New Roman" w:eastAsia="宋体" w:cs="Times New Roman"/>
                <w:kern w:val="0"/>
                <w:sz w:val="21"/>
                <w:lang w:bidi="ar"/>
              </w:rPr>
              <w:t>烟尘烟气测试仪</w:t>
            </w:r>
          </w:p>
        </w:tc>
        <w:tc>
          <w:tcPr>
            <w:tcW w:w="507" w:type="pct"/>
            <w:shd w:val="clear" w:color="auto" w:fill="auto"/>
            <w:vAlign w:val="center"/>
          </w:tcPr>
          <w:p w14:paraId="1C308F61">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校准</w:t>
            </w:r>
          </w:p>
        </w:tc>
        <w:tc>
          <w:tcPr>
            <w:tcW w:w="1999" w:type="pct"/>
            <w:shd w:val="clear" w:color="auto" w:fill="auto"/>
            <w:vAlign w:val="center"/>
          </w:tcPr>
          <w:p w14:paraId="5A9CED48">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固定污染源废气 二氧化硫的测定 定电位电解法</w:t>
            </w:r>
          </w:p>
          <w:p w14:paraId="517351E8">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HJ 57-2017</w:t>
            </w:r>
          </w:p>
        </w:tc>
        <w:tc>
          <w:tcPr>
            <w:tcW w:w="561" w:type="pct"/>
            <w:shd w:val="clear" w:color="auto" w:fill="auto"/>
            <w:vAlign w:val="center"/>
          </w:tcPr>
          <w:p w14:paraId="2D93DB0A">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3</w:t>
            </w:r>
          </w:p>
        </w:tc>
      </w:tr>
      <w:tr w14:paraId="7E0DD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3" w:hRule="atLeast"/>
        </w:trPr>
        <w:tc>
          <w:tcPr>
            <w:tcW w:w="582" w:type="pct"/>
            <w:shd w:val="clear" w:color="auto" w:fill="auto"/>
            <w:vAlign w:val="center"/>
          </w:tcPr>
          <w:p w14:paraId="6520B4D8">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颗粒物</w:t>
            </w:r>
          </w:p>
        </w:tc>
        <w:tc>
          <w:tcPr>
            <w:tcW w:w="1349" w:type="pct"/>
            <w:shd w:val="clear" w:color="auto" w:fill="auto"/>
            <w:vAlign w:val="center"/>
          </w:tcPr>
          <w:p w14:paraId="1BA857D4">
            <w:pPr>
              <w:pStyle w:val="185"/>
              <w:rPr>
                <w:rFonts w:hint="default" w:ascii="Times New Roman" w:hAnsi="Times New Roman" w:eastAsia="宋体" w:cs="Times New Roman"/>
                <w:color w:val="000000"/>
                <w:sz w:val="21"/>
              </w:rPr>
            </w:pPr>
            <w:r>
              <w:rPr>
                <w:rFonts w:hint="default" w:ascii="Times New Roman" w:hAnsi="Times New Roman" w:eastAsia="宋体" w:cs="Times New Roman"/>
                <w:kern w:val="0"/>
                <w:sz w:val="21"/>
                <w:lang w:bidi="ar"/>
              </w:rPr>
              <w:t>崂应3012H</w:t>
            </w:r>
            <w:r>
              <w:rPr>
                <w:rFonts w:hint="default" w:ascii="Times New Roman" w:hAnsi="Times New Roman" w:eastAsia="宋体" w:cs="Times New Roman"/>
                <w:kern w:val="0"/>
                <w:sz w:val="21"/>
                <w:lang w:val="en-US" w:eastAsia="zh-CN" w:bidi="ar"/>
              </w:rPr>
              <w:t>-D型</w:t>
            </w:r>
            <w:r>
              <w:rPr>
                <w:rFonts w:hint="default" w:ascii="Times New Roman" w:hAnsi="Times New Roman" w:eastAsia="宋体" w:cs="Times New Roman"/>
                <w:kern w:val="0"/>
                <w:sz w:val="21"/>
                <w:lang w:bidi="ar"/>
              </w:rPr>
              <w:t>烟尘烟气测试仪</w:t>
            </w:r>
          </w:p>
        </w:tc>
        <w:tc>
          <w:tcPr>
            <w:tcW w:w="507" w:type="pct"/>
            <w:shd w:val="clear" w:color="auto" w:fill="auto"/>
            <w:vAlign w:val="center"/>
          </w:tcPr>
          <w:p w14:paraId="0DC8366D">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校准</w:t>
            </w:r>
          </w:p>
          <w:p w14:paraId="363B7050">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检定</w:t>
            </w:r>
          </w:p>
        </w:tc>
        <w:tc>
          <w:tcPr>
            <w:tcW w:w="1999" w:type="pct"/>
            <w:shd w:val="clear" w:color="auto" w:fill="auto"/>
            <w:vAlign w:val="center"/>
          </w:tcPr>
          <w:p w14:paraId="17FD0152">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固定污染源废气 低浓度颗粒物的测定  重量法</w:t>
            </w:r>
          </w:p>
          <w:p w14:paraId="6CA831AE">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HJ 836-2017</w:t>
            </w:r>
          </w:p>
        </w:tc>
        <w:tc>
          <w:tcPr>
            <w:tcW w:w="561" w:type="pct"/>
            <w:shd w:val="clear" w:color="auto" w:fill="auto"/>
            <w:vAlign w:val="center"/>
          </w:tcPr>
          <w:p w14:paraId="7DB0ADF0">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1</w:t>
            </w:r>
          </w:p>
        </w:tc>
      </w:tr>
      <w:tr w14:paraId="331C96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82" w:type="pct"/>
            <w:shd w:val="clear" w:color="auto" w:fill="auto"/>
            <w:vAlign w:val="center"/>
          </w:tcPr>
          <w:p w14:paraId="7DE37F9A">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烟气黑度</w:t>
            </w:r>
          </w:p>
        </w:tc>
        <w:tc>
          <w:tcPr>
            <w:tcW w:w="1349" w:type="pct"/>
            <w:shd w:val="clear" w:color="auto" w:fill="auto"/>
            <w:vAlign w:val="center"/>
          </w:tcPr>
          <w:p w14:paraId="1BA34397">
            <w:pPr>
              <w:pStyle w:val="185"/>
              <w:rPr>
                <w:rFonts w:hint="default" w:ascii="Times New Roman" w:hAnsi="Times New Roman" w:eastAsia="宋体" w:cs="Times New Roman"/>
                <w:color w:val="000000"/>
                <w:sz w:val="21"/>
              </w:rPr>
            </w:pPr>
            <w:r>
              <w:rPr>
                <w:rFonts w:hint="default" w:ascii="Times New Roman" w:hAnsi="Times New Roman" w:eastAsia="宋体" w:cs="Times New Roman"/>
                <w:kern w:val="0"/>
                <w:sz w:val="21"/>
                <w:lang w:bidi="ar"/>
              </w:rPr>
              <w:t>林格曼</w:t>
            </w:r>
            <w:r>
              <w:rPr>
                <w:rFonts w:hint="default" w:ascii="Times New Roman" w:hAnsi="Times New Roman" w:eastAsia="宋体" w:cs="Times New Roman"/>
                <w:kern w:val="0"/>
                <w:sz w:val="21"/>
                <w:lang w:val="en-US" w:eastAsia="zh-CN" w:bidi="ar"/>
              </w:rPr>
              <w:t>烟气黑度图JK-LG30</w:t>
            </w:r>
          </w:p>
        </w:tc>
        <w:tc>
          <w:tcPr>
            <w:tcW w:w="507" w:type="pct"/>
            <w:shd w:val="clear" w:color="auto" w:fill="auto"/>
            <w:vAlign w:val="center"/>
          </w:tcPr>
          <w:p w14:paraId="6164A915">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w:t>
            </w:r>
          </w:p>
        </w:tc>
        <w:tc>
          <w:tcPr>
            <w:tcW w:w="1999" w:type="pct"/>
            <w:shd w:val="clear" w:color="auto" w:fill="auto"/>
            <w:vAlign w:val="center"/>
          </w:tcPr>
          <w:p w14:paraId="1CADD797">
            <w:pPr>
              <w:jc w:val="center"/>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固定污染源排放烟气黑度的测定林格曼烟气黑度图法</w:t>
            </w:r>
          </w:p>
          <w:p w14:paraId="6B8B91A2">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HJ/T 398-2007</w:t>
            </w:r>
          </w:p>
        </w:tc>
        <w:tc>
          <w:tcPr>
            <w:tcW w:w="561" w:type="pct"/>
            <w:shd w:val="clear" w:color="auto" w:fill="auto"/>
            <w:vAlign w:val="center"/>
          </w:tcPr>
          <w:p w14:paraId="31876AE5">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w:t>
            </w:r>
          </w:p>
        </w:tc>
      </w:tr>
      <w:tr w14:paraId="12BA3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582" w:type="pct"/>
            <w:shd w:val="clear" w:color="auto" w:fill="auto"/>
            <w:vAlign w:val="center"/>
          </w:tcPr>
          <w:p w14:paraId="6ABD04E4">
            <w:pPr>
              <w:pStyle w:val="185"/>
              <w:rPr>
                <w:rFonts w:hint="default" w:ascii="Times New Roman" w:hAnsi="Times New Roman" w:eastAsia="宋体" w:cs="Times New Roman"/>
                <w:color w:val="000000"/>
                <w:sz w:val="21"/>
              </w:rPr>
            </w:pPr>
            <w:r>
              <w:rPr>
                <w:rFonts w:hint="default" w:ascii="Times New Roman" w:hAnsi="Times New Roman" w:eastAsia="宋体" w:cs="Times New Roman"/>
                <w:i w:val="0"/>
                <w:iCs w:val="0"/>
                <w:color w:val="000000"/>
                <w:kern w:val="0"/>
                <w:sz w:val="21"/>
                <w:szCs w:val="22"/>
                <w:u w:val="none"/>
                <w:lang w:val="en-US" w:eastAsia="zh-CN" w:bidi="ar"/>
              </w:rPr>
              <w:t>非甲烷总烃</w:t>
            </w:r>
          </w:p>
        </w:tc>
        <w:tc>
          <w:tcPr>
            <w:tcW w:w="1349" w:type="pct"/>
            <w:shd w:val="clear" w:color="auto" w:fill="auto"/>
            <w:vAlign w:val="center"/>
          </w:tcPr>
          <w:p w14:paraId="70719164">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GC-2030气相色谱仪</w:t>
            </w:r>
          </w:p>
        </w:tc>
        <w:tc>
          <w:tcPr>
            <w:tcW w:w="507" w:type="pct"/>
            <w:shd w:val="clear" w:color="auto" w:fill="auto"/>
            <w:vAlign w:val="center"/>
          </w:tcPr>
          <w:p w14:paraId="4FE39F1D">
            <w:pPr>
              <w:pStyle w:val="185"/>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w:t>
            </w:r>
          </w:p>
        </w:tc>
        <w:tc>
          <w:tcPr>
            <w:tcW w:w="1999" w:type="pct"/>
            <w:shd w:val="clear" w:color="auto" w:fill="auto"/>
            <w:vAlign w:val="center"/>
          </w:tcPr>
          <w:p w14:paraId="6A5C0A0D">
            <w:pPr>
              <w:pStyle w:val="185"/>
              <w:rPr>
                <w:rFonts w:hint="default" w:ascii="Times New Roman" w:hAnsi="Times New Roman" w:eastAsia="宋体" w:cs="Times New Roman"/>
                <w:color w:val="000000"/>
                <w:sz w:val="21"/>
              </w:rPr>
            </w:pPr>
            <w:r>
              <w:rPr>
                <w:rFonts w:hint="default" w:ascii="Times New Roman" w:hAnsi="Times New Roman" w:eastAsia="宋体" w:cs="Times New Roman"/>
                <w:kern w:val="0"/>
                <w:sz w:val="21"/>
                <w:highlight w:val="none"/>
                <w:lang w:bidi="ar"/>
              </w:rPr>
              <w:t>《固定污染源废气 总烃、甲烷和非甲烷总烃的测定 气相色谱法》HJ38-2017</w:t>
            </w:r>
          </w:p>
        </w:tc>
        <w:tc>
          <w:tcPr>
            <w:tcW w:w="561" w:type="pct"/>
            <w:shd w:val="clear" w:color="auto" w:fill="auto"/>
            <w:vAlign w:val="center"/>
          </w:tcPr>
          <w:p w14:paraId="67FA91DA">
            <w:pPr>
              <w:pStyle w:val="185"/>
              <w:rPr>
                <w:rFonts w:hint="default" w:ascii="Times New Roman" w:hAnsi="Times New Roman" w:eastAsia="宋体" w:cs="Times New Roman"/>
                <w:color w:val="000000"/>
                <w:sz w:val="21"/>
                <w:lang w:val="en-US" w:eastAsia="zh-CN"/>
              </w:rPr>
            </w:pPr>
            <w:r>
              <w:rPr>
                <w:rFonts w:hint="default" w:ascii="Times New Roman" w:hAnsi="Times New Roman" w:eastAsia="宋体" w:cs="Times New Roman"/>
                <w:color w:val="000000"/>
                <w:sz w:val="21"/>
                <w:szCs w:val="21"/>
              </w:rPr>
              <w:t>0.07mg/m</w:t>
            </w:r>
            <w:r>
              <w:rPr>
                <w:rFonts w:hint="default" w:ascii="Times New Roman" w:hAnsi="Times New Roman" w:eastAsia="宋体" w:cs="Times New Roman"/>
                <w:color w:val="000000"/>
                <w:sz w:val="21"/>
                <w:szCs w:val="21"/>
                <w:vertAlign w:val="superscript"/>
              </w:rPr>
              <w:t>3</w:t>
            </w:r>
            <w:r>
              <w:rPr>
                <w:rFonts w:hint="default" w:ascii="Times New Roman" w:hAnsi="Times New Roman" w:eastAsia="宋体" w:cs="Times New Roman"/>
                <w:kern w:val="0"/>
                <w:sz w:val="21"/>
                <w:szCs w:val="21"/>
                <w:lang w:bidi="ar"/>
              </w:rPr>
              <w:t>(以碳计)</w:t>
            </w:r>
          </w:p>
        </w:tc>
      </w:tr>
    </w:tbl>
    <w:p w14:paraId="0E127E71">
      <w:pPr>
        <w:ind w:firstLine="480"/>
        <w:rPr>
          <w:rFonts w:hint="default" w:ascii="Times New Roman" w:hAnsi="Times New Roman" w:cs="Times New Roman"/>
          <w:color w:val="000000"/>
        </w:rPr>
      </w:pPr>
    </w:p>
    <w:p w14:paraId="768973EA">
      <w:pPr>
        <w:pStyle w:val="188"/>
        <w:ind w:firstLine="480"/>
        <w:rPr>
          <w:rFonts w:hint="default" w:ascii="Times New Roman" w:hAnsi="Times New Roman" w:cs="Times New Roman"/>
          <w:color w:val="000000"/>
        </w:rPr>
      </w:pPr>
      <w:r>
        <w:rPr>
          <w:rFonts w:hint="default" w:ascii="Times New Roman" w:hAnsi="Times New Roman" w:cs="Times New Roman"/>
          <w:color w:val="000000"/>
        </w:rPr>
        <w:t>（3）有组织废气监测的样品采集和样品保存方法</w:t>
      </w:r>
    </w:p>
    <w:p w14:paraId="1230C10F">
      <w:pPr>
        <w:pStyle w:val="188"/>
        <w:ind w:firstLine="480"/>
        <w:rPr>
          <w:rFonts w:hint="default" w:ascii="Times New Roman" w:hAnsi="Times New Roman" w:cs="Times New Roman"/>
          <w:color w:val="000000"/>
        </w:rPr>
      </w:pPr>
      <w:r>
        <w:rPr>
          <w:rFonts w:hint="default" w:ascii="Times New Roman" w:hAnsi="Times New Roman" w:cs="Times New Roman"/>
          <w:color w:val="000000"/>
        </w:rPr>
        <w:t>1）监测依据</w:t>
      </w:r>
    </w:p>
    <w:p w14:paraId="736B2966">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《固定污染源废气</w:t>
      </w:r>
      <w:r>
        <w:rPr>
          <w:rFonts w:hint="default" w:ascii="Times New Roman" w:hAnsi="Times New Roman" w:cs="Times New Roman"/>
          <w:color w:val="000000"/>
          <w:lang w:val="en-US" w:eastAsia="zh-CN"/>
        </w:rPr>
        <w:t xml:space="preserve"> </w:t>
      </w:r>
      <w:r>
        <w:rPr>
          <w:rFonts w:hint="default" w:ascii="Times New Roman" w:hAnsi="Times New Roman" w:cs="Times New Roman"/>
          <w:color w:val="000000"/>
        </w:rPr>
        <w:t>氮氧化物的测定 定电位电解法》HJ 693-2014</w:t>
      </w:r>
    </w:p>
    <w:p w14:paraId="71201CCC">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《固定污染源废气 二氧化硫的测定 定电位电解法》HJ 57-2017</w:t>
      </w:r>
    </w:p>
    <w:p w14:paraId="77FDA9EE">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《固定污染源废气 低浓度颗粒物的测定 重量法》HJ 836-2017</w:t>
      </w:r>
    </w:p>
    <w:p w14:paraId="596CF7FC">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《固定污染源排气中颗粒物测定与气态污染物采样方法》GBT16157-1996</w:t>
      </w:r>
    </w:p>
    <w:p w14:paraId="4472675F">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《固定源废气监测技术规范》HJ/T 397-2007</w:t>
      </w:r>
    </w:p>
    <w:p w14:paraId="73F485C5">
      <w:pPr>
        <w:pStyle w:val="188"/>
        <w:ind w:firstLine="480"/>
        <w:rPr>
          <w:rFonts w:hint="default" w:ascii="Times New Roman" w:hAnsi="Times New Roman" w:cs="Times New Roman"/>
          <w:color w:val="000000"/>
        </w:rPr>
      </w:pPr>
      <w:r>
        <w:rPr>
          <w:rFonts w:hint="default" w:ascii="Times New Roman" w:hAnsi="Times New Roman" w:cs="Times New Roman"/>
          <w:color w:val="000000"/>
        </w:rPr>
        <w:t>《固定污染源排放 烟气黑度的测定 林格曼烟气黑度图法》HJ/T 398-2007</w:t>
      </w:r>
    </w:p>
    <w:p w14:paraId="06BCC3BE">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《环境空气 总烃、甲烷和非甲烷总烃的测定 直接进样-气相色谱法》HJ 604-2017</w:t>
      </w:r>
    </w:p>
    <w:p w14:paraId="12ADF62A">
      <w:pPr>
        <w:pStyle w:val="188"/>
        <w:ind w:firstLine="480"/>
        <w:rPr>
          <w:rFonts w:hint="default" w:ascii="Times New Roman" w:hAnsi="Times New Roman" w:cs="Times New Roman"/>
          <w:color w:val="000000"/>
        </w:rPr>
      </w:pPr>
      <w:r>
        <w:rPr>
          <w:rFonts w:hint="default" w:ascii="Times New Roman" w:hAnsi="Times New Roman" w:cs="Times New Roman"/>
          <w:color w:val="000000"/>
        </w:rPr>
        <w:t>2）采样准备（颗粒物采样）</w:t>
      </w:r>
    </w:p>
    <w:p w14:paraId="36C96E31">
      <w:pPr>
        <w:pStyle w:val="188"/>
        <w:ind w:firstLine="480"/>
        <w:rPr>
          <w:rFonts w:hint="default" w:ascii="Times New Roman" w:hAnsi="Times New Roman" w:cs="Times New Roman"/>
          <w:color w:val="000000"/>
        </w:rPr>
      </w:pPr>
      <w:r>
        <w:rPr>
          <w:rFonts w:hint="default" w:ascii="Times New Roman" w:hAnsi="Times New Roman" w:cs="Times New Roman"/>
          <w:color w:val="000000"/>
        </w:rPr>
        <w:t>烟气采样前，仪器设备计算测定示值误差，并检查仪器的系统偏差，每个月至少进行一次测定前后的零点漂移、量程漂移检查。</w:t>
      </w:r>
    </w:p>
    <w:p w14:paraId="68952BD5">
      <w:pPr>
        <w:pStyle w:val="188"/>
        <w:ind w:firstLine="480"/>
        <w:rPr>
          <w:rFonts w:hint="default" w:ascii="Times New Roman" w:hAnsi="Times New Roman" w:cs="Times New Roman"/>
          <w:color w:val="000000"/>
        </w:rPr>
      </w:pPr>
      <w:r>
        <w:rPr>
          <w:rFonts w:hint="default" w:ascii="Times New Roman" w:hAnsi="Times New Roman" w:cs="Times New Roman"/>
          <w:color w:val="000000"/>
        </w:rPr>
        <w:t>颗粒物采样前，按照HJT 48中流量准确度的要求对颗粒物采样装置瞬时流量准确度、累计流量准确度进行校准。对于组合式采样管皮托管系数，应保证每半年校准一次，当皮托管外形发生明显变化时，应及时检查校准或更换。</w:t>
      </w:r>
    </w:p>
    <w:p w14:paraId="3DBF8902">
      <w:pPr>
        <w:pStyle w:val="188"/>
        <w:ind w:firstLine="480"/>
        <w:rPr>
          <w:rFonts w:hint="default" w:ascii="Times New Roman" w:hAnsi="Times New Roman" w:cs="Times New Roman"/>
          <w:color w:val="000000"/>
        </w:rPr>
      </w:pPr>
      <w:r>
        <w:rPr>
          <w:rFonts w:hint="default" w:ascii="Times New Roman" w:hAnsi="Times New Roman" w:cs="Times New Roman"/>
          <w:color w:val="000000"/>
        </w:rPr>
        <w:t>确定现场工况、采样点位和采样孔、采样平台、安全设施符合监测要求。</w:t>
      </w:r>
    </w:p>
    <w:p w14:paraId="77F7EA83">
      <w:pPr>
        <w:pStyle w:val="188"/>
        <w:ind w:firstLine="480"/>
        <w:rPr>
          <w:rFonts w:hint="default" w:ascii="Times New Roman" w:hAnsi="Times New Roman" w:cs="Times New Roman"/>
          <w:color w:val="000000"/>
        </w:rPr>
      </w:pPr>
      <w:r>
        <w:rPr>
          <w:rFonts w:hint="default" w:ascii="Times New Roman" w:hAnsi="Times New Roman" w:cs="Times New Roman"/>
          <w:color w:val="000000"/>
        </w:rPr>
        <w:t>3）样品采集</w:t>
      </w:r>
    </w:p>
    <w:p w14:paraId="7CECAD28">
      <w:pPr>
        <w:pStyle w:val="188"/>
        <w:ind w:firstLine="480"/>
        <w:rPr>
          <w:rFonts w:hint="default" w:ascii="Times New Roman" w:hAnsi="Times New Roman" w:cs="Times New Roman"/>
          <w:color w:val="000000"/>
        </w:rPr>
      </w:pPr>
      <w:r>
        <w:rPr>
          <w:rFonts w:hint="default" w:ascii="Times New Roman" w:hAnsi="Times New Roman" w:cs="Times New Roman"/>
          <w:color w:val="000000"/>
        </w:rPr>
        <w:t>检查系统是否漏气，检漏应符合 GB/T 16157 中系统现场检漏的要求。</w:t>
      </w:r>
    </w:p>
    <w:p w14:paraId="1EBBC441">
      <w:pPr>
        <w:pStyle w:val="188"/>
        <w:ind w:firstLine="480"/>
        <w:rPr>
          <w:rFonts w:hint="default" w:ascii="Times New Roman" w:hAnsi="Times New Roman" w:cs="Times New Roman"/>
          <w:color w:val="000000"/>
        </w:rPr>
      </w:pPr>
      <w:r>
        <w:rPr>
          <w:rFonts w:hint="default" w:ascii="Times New Roman" w:hAnsi="Times New Roman" w:cs="Times New Roman"/>
          <w:color w:val="000000"/>
        </w:rPr>
        <w:t>烟气采集过程按照HJ 693-2014、HJ 57-2017的标准要求执行。</w:t>
      </w:r>
    </w:p>
    <w:p w14:paraId="2464BAAC">
      <w:pPr>
        <w:pStyle w:val="188"/>
        <w:ind w:firstLine="480"/>
        <w:rPr>
          <w:rFonts w:hint="default" w:ascii="Times New Roman" w:hAnsi="Times New Roman" w:cs="Times New Roman"/>
          <w:color w:val="000000"/>
        </w:rPr>
      </w:pPr>
      <w:r>
        <w:rPr>
          <w:rFonts w:hint="default" w:ascii="Times New Roman" w:hAnsi="Times New Roman" w:cs="Times New Roman"/>
          <w:color w:val="000000"/>
        </w:rPr>
        <w:t>颗粒物采样过程中采样嘴的吸气速度与测点处的气流速度应基本相等,相对误差小于10%。</w:t>
      </w:r>
    </w:p>
    <w:p w14:paraId="475A0FC8">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rPr>
        <w:t>结束采样</w:t>
      </w:r>
      <w:r>
        <w:rPr>
          <w:rFonts w:hint="default" w:ascii="Times New Roman" w:hAnsi="Times New Roman" w:cs="Times New Roman"/>
          <w:color w:val="000000"/>
          <w:highlight w:val="none"/>
        </w:rPr>
        <w:t>后，取下采样头，用聚四氟乙烯材质堵套塞好采样嘴，将采样头放入防静电的盒或密封袋内，再放入样品箱。</w:t>
      </w:r>
    </w:p>
    <w:p w14:paraId="651C4771">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采集全程序空白。采样过程中，采样嘴应背对废气气流方向，采样管在烟道中放置时间和移动方式与实际采样相同。全程序空白应在每次测量系列过程中进行一次，并保证至少一天一次。</w:t>
      </w:r>
    </w:p>
    <w:p w14:paraId="08EDA773">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样品应妥善保存，避免污染。</w:t>
      </w:r>
    </w:p>
    <w:p w14:paraId="203DA1C0">
      <w:pPr>
        <w:pStyle w:val="4"/>
        <w:rPr>
          <w:rFonts w:hint="default" w:ascii="Times New Roman" w:hAnsi="Times New Roman" w:cs="Times New Roman"/>
          <w:color w:val="000000"/>
          <w:highlight w:val="none"/>
        </w:rPr>
      </w:pPr>
      <w:bookmarkStart w:id="7" w:name="_Toc164606887"/>
      <w:r>
        <w:rPr>
          <w:rFonts w:hint="default" w:ascii="Times New Roman" w:hAnsi="Times New Roman" w:cs="Times New Roman"/>
          <w:color w:val="000000"/>
          <w:highlight w:val="none"/>
        </w:rPr>
        <w:t>无组织废气</w:t>
      </w:r>
      <w:bookmarkEnd w:id="7"/>
    </w:p>
    <w:p w14:paraId="7772F459">
      <w:pPr>
        <w:pStyle w:val="188"/>
        <w:ind w:firstLine="480"/>
        <w:rPr>
          <w:rFonts w:hint="default" w:ascii="Times New Roman" w:hAnsi="Times New Roman" w:cs="Times New Roman"/>
          <w:color w:val="000000"/>
          <w:highlight w:val="none"/>
        </w:rPr>
      </w:pPr>
      <w:r>
        <w:rPr>
          <w:rFonts w:hint="eastAsia" w:ascii="Times New Roman" w:hAnsi="Times New Roman" w:cs="Times New Roman"/>
          <w:color w:val="000000"/>
          <w:highlight w:val="none"/>
          <w:lang w:eastAsia="zh-CN"/>
        </w:rPr>
        <w:t>（</w:t>
      </w:r>
      <w:r>
        <w:rPr>
          <w:rFonts w:hint="eastAsia" w:ascii="Times New Roman" w:hAnsi="Times New Roman" w:cs="Times New Roman"/>
          <w:color w:val="000000"/>
          <w:highlight w:val="none"/>
          <w:lang w:val="en-US" w:eastAsia="zh-CN"/>
        </w:rPr>
        <w:t>1</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厂界无组织废气主要污染物：非甲烷总烃、硫化氢</w:t>
      </w:r>
      <w:r>
        <w:rPr>
          <w:rFonts w:hint="default" w:ascii="Times New Roman" w:hAnsi="Times New Roman" w:cs="Times New Roman"/>
          <w:color w:val="000000"/>
          <w:highlight w:val="none"/>
          <w:lang w:val="en-US" w:eastAsia="zh-CN"/>
        </w:rPr>
        <w:t>和颗粒物</w:t>
      </w:r>
      <w:r>
        <w:rPr>
          <w:rFonts w:hint="default" w:ascii="Times New Roman" w:hAnsi="Times New Roman" w:cs="Times New Roman"/>
          <w:color w:val="000000"/>
          <w:highlight w:val="none"/>
        </w:rPr>
        <w:t>等。</w:t>
      </w:r>
    </w:p>
    <w:p w14:paraId="101503FB">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执行标准：《恶臭污染物排放标准》(GB 14554-1993</w:t>
      </w:r>
      <w:r>
        <w:rPr>
          <w:rFonts w:hint="default" w:ascii="Times New Roman" w:hAnsi="Times New Roman" w:cs="Times New Roman"/>
          <w:color w:val="000000"/>
          <w:highlight w:val="none"/>
          <w:lang w:eastAsia="zh-CN"/>
        </w:rPr>
        <w:t>），</w:t>
      </w:r>
      <w:r>
        <w:rPr>
          <w:rFonts w:hint="default" w:ascii="Times New Roman" w:hAnsi="Times New Roman" w:cs="Times New Roman"/>
          <w:highlight w:val="none"/>
        </w:rPr>
        <w:t>《关于全省开展工业企业挥发性有机物专项治理工作中排放建议值的通知》（豫环攻坚办</w:t>
      </w:r>
      <w:r>
        <w:rPr>
          <w:rFonts w:hint="default" w:ascii="Times New Roman" w:hAnsi="Times New Roman" w:eastAsia="宋体" w:cs="Times New Roman"/>
          <w:highlight w:val="none"/>
        </w:rPr>
        <w:t>〔</w:t>
      </w:r>
      <w:r>
        <w:rPr>
          <w:rFonts w:hint="default" w:ascii="Times New Roman" w:hAnsi="Times New Roman" w:cs="Times New Roman"/>
          <w:highlight w:val="none"/>
        </w:rPr>
        <w:t>2017</w:t>
      </w:r>
      <w:r>
        <w:rPr>
          <w:rFonts w:hint="default" w:ascii="Times New Roman" w:hAnsi="Times New Roman" w:eastAsia="宋体" w:cs="Times New Roman"/>
          <w:highlight w:val="none"/>
        </w:rPr>
        <w:t>〕</w:t>
      </w:r>
      <w:r>
        <w:rPr>
          <w:rFonts w:hint="default" w:ascii="Times New Roman" w:hAnsi="Times New Roman" w:cs="Times New Roman"/>
          <w:highlight w:val="none"/>
        </w:rPr>
        <w:t>162号）</w:t>
      </w:r>
      <w:r>
        <w:rPr>
          <w:rFonts w:hint="default" w:ascii="Times New Roman" w:hAnsi="Times New Roman" w:cs="Times New Roman"/>
          <w:highlight w:val="none"/>
          <w:lang w:val="en-US" w:eastAsia="zh-CN"/>
        </w:rPr>
        <w:t>相关限制标准要求，《环境空气质量标准》（GB3095-2012）2级标准限值</w:t>
      </w:r>
      <w:r>
        <w:rPr>
          <w:rFonts w:hint="default" w:ascii="Times New Roman" w:hAnsi="Times New Roman" w:cs="Times New Roman"/>
          <w:color w:val="000000"/>
          <w:highlight w:val="none"/>
        </w:rPr>
        <w:t>。</w:t>
      </w:r>
    </w:p>
    <w:p w14:paraId="11465B39">
      <w:pPr>
        <w:pStyle w:val="188"/>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设备与管件组件密封点泄漏废气主要污染物：挥发性有机物。</w:t>
      </w:r>
    </w:p>
    <w:p w14:paraId="53266589">
      <w:pPr>
        <w:pStyle w:val="188"/>
        <w:ind w:firstLine="480"/>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执行标准：《挥发性有机物无组织排放控制标准》(GB 37822-2019)</w:t>
      </w:r>
      <w:r>
        <w:rPr>
          <w:rFonts w:hint="default" w:ascii="Times New Roman" w:hAnsi="Times New Roman" w:cs="Times New Roman"/>
          <w:color w:val="000000"/>
          <w:highlight w:val="none"/>
          <w:lang w:val="en-US" w:eastAsia="zh-CN"/>
        </w:rPr>
        <w:t>和</w:t>
      </w:r>
      <w:r>
        <w:rPr>
          <w:rFonts w:hint="default" w:ascii="Times New Roman" w:hAnsi="Times New Roman" w:cs="Times New Roman"/>
          <w:color w:val="000000"/>
          <w:highlight w:val="none"/>
        </w:rPr>
        <w:t>《陆上石油天然气开采工业大气污染物排放标准》</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GB 39728-2020</w:t>
      </w:r>
      <w:r>
        <w:rPr>
          <w:rFonts w:hint="default" w:ascii="Times New Roman" w:hAnsi="Times New Roman" w:cs="Times New Roman"/>
          <w:color w:val="000000"/>
          <w:highlight w:val="none"/>
          <w:lang w:eastAsia="zh-CN"/>
        </w:rPr>
        <w:t>）。</w:t>
      </w:r>
    </w:p>
    <w:p w14:paraId="03120BB8">
      <w:pPr>
        <w:pStyle w:val="96"/>
        <w:spacing w:before="156"/>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表 </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SEQ 表 \* ARABIC</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6</w:t>
      </w:r>
      <w:r>
        <w:rPr>
          <w:rFonts w:hint="default" w:ascii="Times New Roman" w:hAnsi="Times New Roman" w:cs="Times New Roman"/>
          <w:color w:val="000000"/>
          <w:highlight w:val="none"/>
        </w:rPr>
        <w:fldChar w:fldCharType="end"/>
      </w:r>
      <w:r>
        <w:rPr>
          <w:rFonts w:hint="default" w:ascii="Times New Roman" w:hAnsi="Times New Roman" w:cs="Times New Roman"/>
          <w:color w:val="000000"/>
          <w:highlight w:val="none"/>
        </w:rPr>
        <w:t xml:space="preserve">  无组织废气监测排放标准</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340"/>
        <w:gridCol w:w="1541"/>
        <w:gridCol w:w="4706"/>
        <w:gridCol w:w="6521"/>
      </w:tblGrid>
      <w:tr w14:paraId="4AB75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150" w:hRule="atLeast"/>
          <w:tblHeader/>
        </w:trPr>
        <w:tc>
          <w:tcPr>
            <w:tcW w:w="475" w:type="pct"/>
            <w:vMerge w:val="restart"/>
            <w:shd w:val="clear" w:color="auto" w:fill="FFFFFF"/>
            <w:tcMar>
              <w:top w:w="45" w:type="dxa"/>
              <w:left w:w="75" w:type="dxa"/>
              <w:bottom w:w="45" w:type="dxa"/>
              <w:right w:w="75" w:type="dxa"/>
            </w:tcMar>
            <w:vAlign w:val="center"/>
          </w:tcPr>
          <w:p w14:paraId="6658483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无组织排放</w:t>
            </w:r>
          </w:p>
        </w:tc>
        <w:tc>
          <w:tcPr>
            <w:tcW w:w="546" w:type="pct"/>
            <w:vMerge w:val="restart"/>
            <w:shd w:val="clear" w:color="auto" w:fill="FFFFFF"/>
            <w:tcMar>
              <w:top w:w="45" w:type="dxa"/>
              <w:left w:w="75" w:type="dxa"/>
              <w:bottom w:w="45" w:type="dxa"/>
              <w:right w:w="75" w:type="dxa"/>
            </w:tcMar>
            <w:vAlign w:val="center"/>
          </w:tcPr>
          <w:p w14:paraId="63D8476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污染物种类</w:t>
            </w:r>
          </w:p>
        </w:tc>
        <w:tc>
          <w:tcPr>
            <w:tcW w:w="3977" w:type="pct"/>
            <w:gridSpan w:val="2"/>
            <w:shd w:val="clear" w:color="auto" w:fill="FFFFFF"/>
            <w:tcMar>
              <w:top w:w="45" w:type="dxa"/>
              <w:left w:w="75" w:type="dxa"/>
              <w:bottom w:w="45" w:type="dxa"/>
              <w:right w:w="75" w:type="dxa"/>
            </w:tcMar>
            <w:vAlign w:val="center"/>
          </w:tcPr>
          <w:p w14:paraId="7B38BCF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国家或地方污染物排放标准</w:t>
            </w:r>
          </w:p>
        </w:tc>
      </w:tr>
      <w:tr w14:paraId="07658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2" w:hRule="atLeast"/>
          <w:tblHeader/>
        </w:trPr>
        <w:tc>
          <w:tcPr>
            <w:tcW w:w="475" w:type="pct"/>
            <w:vMerge w:val="continue"/>
            <w:shd w:val="clear" w:color="auto" w:fill="FFFFFF"/>
            <w:vAlign w:val="center"/>
          </w:tcPr>
          <w:p w14:paraId="767AB09D">
            <w:pPr>
              <w:pStyle w:val="185"/>
              <w:rPr>
                <w:rFonts w:hint="default" w:ascii="Times New Roman" w:hAnsi="Times New Roman" w:cs="Times New Roman"/>
                <w:color w:val="000000"/>
                <w:highlight w:val="none"/>
              </w:rPr>
            </w:pPr>
          </w:p>
        </w:tc>
        <w:tc>
          <w:tcPr>
            <w:tcW w:w="546" w:type="pct"/>
            <w:vMerge w:val="continue"/>
            <w:shd w:val="clear" w:color="auto" w:fill="FFFFFF"/>
            <w:vAlign w:val="center"/>
          </w:tcPr>
          <w:p w14:paraId="5BD67942">
            <w:pPr>
              <w:pStyle w:val="185"/>
              <w:rPr>
                <w:rFonts w:hint="default" w:ascii="Times New Roman" w:hAnsi="Times New Roman" w:cs="Times New Roman"/>
                <w:color w:val="000000"/>
                <w:highlight w:val="none"/>
              </w:rPr>
            </w:pPr>
          </w:p>
        </w:tc>
        <w:tc>
          <w:tcPr>
            <w:tcW w:w="1667" w:type="pct"/>
            <w:shd w:val="clear" w:color="auto" w:fill="FFFFFF"/>
            <w:tcMar>
              <w:top w:w="45" w:type="dxa"/>
              <w:left w:w="75" w:type="dxa"/>
              <w:bottom w:w="45" w:type="dxa"/>
              <w:right w:w="75" w:type="dxa"/>
            </w:tcMar>
            <w:vAlign w:val="center"/>
          </w:tcPr>
          <w:p w14:paraId="4DF6CD7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名称</w:t>
            </w:r>
          </w:p>
        </w:tc>
        <w:tc>
          <w:tcPr>
            <w:tcW w:w="2310" w:type="pct"/>
            <w:shd w:val="clear" w:color="auto" w:fill="FFFFFF"/>
            <w:tcMar>
              <w:top w:w="45" w:type="dxa"/>
              <w:left w:w="75" w:type="dxa"/>
              <w:bottom w:w="45" w:type="dxa"/>
              <w:right w:w="75" w:type="dxa"/>
            </w:tcMar>
            <w:vAlign w:val="center"/>
          </w:tcPr>
          <w:p w14:paraId="10361F9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浓度限值</w:t>
            </w:r>
          </w:p>
        </w:tc>
      </w:tr>
      <w:tr w14:paraId="23A7D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5" w:type="pct"/>
            <w:shd w:val="clear" w:color="auto" w:fill="FFFFFF"/>
            <w:tcMar>
              <w:top w:w="45" w:type="dxa"/>
              <w:left w:w="75" w:type="dxa"/>
              <w:bottom w:w="45" w:type="dxa"/>
              <w:right w:w="75" w:type="dxa"/>
            </w:tcMar>
            <w:vAlign w:val="center"/>
          </w:tcPr>
          <w:p w14:paraId="5C1489D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厂界</w:t>
            </w:r>
          </w:p>
        </w:tc>
        <w:tc>
          <w:tcPr>
            <w:tcW w:w="546" w:type="pct"/>
            <w:shd w:val="clear" w:color="auto" w:fill="FFFFFF"/>
            <w:tcMar>
              <w:top w:w="45" w:type="dxa"/>
              <w:left w:w="75" w:type="dxa"/>
              <w:bottom w:w="45" w:type="dxa"/>
              <w:right w:w="75" w:type="dxa"/>
            </w:tcMar>
            <w:vAlign w:val="center"/>
          </w:tcPr>
          <w:p w14:paraId="1AF9E1B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硫化氢</w:t>
            </w:r>
          </w:p>
        </w:tc>
        <w:tc>
          <w:tcPr>
            <w:tcW w:w="1667" w:type="pct"/>
            <w:shd w:val="clear" w:color="auto" w:fill="FFFFFF"/>
            <w:tcMar>
              <w:top w:w="45" w:type="dxa"/>
              <w:left w:w="75" w:type="dxa"/>
              <w:bottom w:w="45" w:type="dxa"/>
              <w:right w:w="75" w:type="dxa"/>
            </w:tcMar>
            <w:vAlign w:val="center"/>
          </w:tcPr>
          <w:p w14:paraId="7F54072F">
            <w:pPr>
              <w:pStyle w:val="185"/>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《恶臭污染物排放标准》</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GB 14554-1993</w:t>
            </w:r>
            <w:r>
              <w:rPr>
                <w:rFonts w:hint="default" w:ascii="Times New Roman" w:hAnsi="Times New Roman" w:cs="Times New Roman"/>
                <w:color w:val="000000"/>
                <w:highlight w:val="none"/>
                <w:lang w:eastAsia="zh-CN"/>
              </w:rPr>
              <w:t>）</w:t>
            </w:r>
          </w:p>
        </w:tc>
        <w:tc>
          <w:tcPr>
            <w:tcW w:w="2310" w:type="pct"/>
            <w:shd w:val="clear" w:color="auto" w:fill="FFFFFF"/>
            <w:tcMar>
              <w:top w:w="45" w:type="dxa"/>
              <w:left w:w="75" w:type="dxa"/>
              <w:bottom w:w="45" w:type="dxa"/>
              <w:right w:w="75" w:type="dxa"/>
            </w:tcMar>
            <w:vAlign w:val="center"/>
          </w:tcPr>
          <w:p w14:paraId="79F54413">
            <w:pPr>
              <w:pStyle w:val="103"/>
              <w:spacing w:line="239" w:lineRule="exact"/>
              <w:ind w:right="0"/>
              <w:jc w:val="center"/>
              <w:rPr>
                <w:rFonts w:hint="default" w:ascii="Times New Roman" w:hAnsi="Times New Roman" w:eastAsia="宋体" w:cs="Times New Roman"/>
                <w:color w:val="000000"/>
                <w:highlight w:val="none"/>
                <w:lang w:val="en-US" w:eastAsia="zh-CN"/>
              </w:rPr>
            </w:pPr>
            <w:r>
              <w:rPr>
                <w:rFonts w:hint="default" w:ascii="Times New Roman" w:hAnsi="Times New Roman" w:cs="Times New Roman"/>
                <w:sz w:val="21"/>
                <w:highlight w:val="none"/>
                <w:lang w:val="en-US" w:eastAsia="zh-CN"/>
              </w:rPr>
              <w:t>0.10mg/m</w:t>
            </w:r>
            <w:r>
              <w:rPr>
                <w:rFonts w:hint="default" w:ascii="Times New Roman" w:hAnsi="Times New Roman" w:cs="Times New Roman"/>
                <w:sz w:val="21"/>
                <w:highlight w:val="none"/>
                <w:vertAlign w:val="superscript"/>
                <w:lang w:val="en-US" w:eastAsia="zh-CN"/>
              </w:rPr>
              <w:t>3</w:t>
            </w:r>
          </w:p>
        </w:tc>
      </w:tr>
      <w:tr w14:paraId="64906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5" w:type="pct"/>
            <w:shd w:val="clear" w:color="auto" w:fill="FFFFFF"/>
            <w:tcMar>
              <w:top w:w="45" w:type="dxa"/>
              <w:left w:w="75" w:type="dxa"/>
              <w:bottom w:w="45" w:type="dxa"/>
              <w:right w:w="75" w:type="dxa"/>
            </w:tcMar>
            <w:vAlign w:val="center"/>
          </w:tcPr>
          <w:p w14:paraId="77ED01C3">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厂界</w:t>
            </w:r>
          </w:p>
        </w:tc>
        <w:tc>
          <w:tcPr>
            <w:tcW w:w="546" w:type="pct"/>
            <w:shd w:val="clear" w:color="auto" w:fill="FFFFFF"/>
            <w:tcMar>
              <w:top w:w="45" w:type="dxa"/>
              <w:left w:w="75" w:type="dxa"/>
              <w:bottom w:w="45" w:type="dxa"/>
              <w:right w:w="75" w:type="dxa"/>
            </w:tcMar>
            <w:vAlign w:val="center"/>
          </w:tcPr>
          <w:p w14:paraId="5A697FDD">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非甲烷总烃</w:t>
            </w:r>
          </w:p>
        </w:tc>
        <w:tc>
          <w:tcPr>
            <w:tcW w:w="1667" w:type="pct"/>
            <w:shd w:val="clear" w:color="auto" w:fill="FFFFFF"/>
            <w:tcMar>
              <w:top w:w="45" w:type="dxa"/>
              <w:left w:w="75" w:type="dxa"/>
              <w:bottom w:w="45" w:type="dxa"/>
              <w:right w:w="75" w:type="dxa"/>
            </w:tcMar>
            <w:vAlign w:val="center"/>
          </w:tcPr>
          <w:p w14:paraId="1C5B1C07">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《关于全省开展工业企业挥发性有机物专项治理工作中排放建议值的通知》（豫环攻坚办〔2017〕162号）</w:t>
            </w:r>
          </w:p>
        </w:tc>
        <w:tc>
          <w:tcPr>
            <w:tcW w:w="2310" w:type="pct"/>
            <w:shd w:val="clear" w:color="auto" w:fill="FFFFFF"/>
            <w:tcMar>
              <w:top w:w="45" w:type="dxa"/>
              <w:left w:w="75" w:type="dxa"/>
              <w:bottom w:w="45" w:type="dxa"/>
              <w:right w:w="75" w:type="dxa"/>
            </w:tcMar>
            <w:vAlign w:val="center"/>
          </w:tcPr>
          <w:p w14:paraId="6E4EEABE">
            <w:pPr>
              <w:pStyle w:val="185"/>
              <w:rPr>
                <w:rFonts w:hint="default" w:ascii="Times New Roman" w:hAnsi="Times New Roman" w:cs="Times New Roman"/>
                <w:color w:val="auto"/>
                <w:highlight w:val="none"/>
              </w:rPr>
            </w:pPr>
            <w:r>
              <w:rPr>
                <w:rFonts w:hint="default" w:ascii="Times New Roman" w:hAnsi="Times New Roman" w:cs="Times New Roman"/>
                <w:color w:val="auto"/>
                <w:sz w:val="21"/>
                <w:highlight w:val="none"/>
                <w:lang w:val="en-US" w:eastAsia="zh-CN"/>
              </w:rPr>
              <w:t>2.0mg/m</w:t>
            </w:r>
            <w:r>
              <w:rPr>
                <w:rFonts w:hint="default" w:ascii="Times New Roman" w:hAnsi="Times New Roman" w:cs="Times New Roman"/>
                <w:color w:val="auto"/>
                <w:sz w:val="21"/>
                <w:highlight w:val="none"/>
                <w:vertAlign w:val="superscript"/>
                <w:lang w:val="en-US" w:eastAsia="zh-CN"/>
              </w:rPr>
              <w:t>3</w:t>
            </w:r>
          </w:p>
        </w:tc>
      </w:tr>
      <w:tr w14:paraId="09E3D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5" w:type="pct"/>
            <w:shd w:val="clear" w:color="auto" w:fill="FFFFFF"/>
            <w:tcMar>
              <w:top w:w="45" w:type="dxa"/>
              <w:left w:w="75" w:type="dxa"/>
              <w:bottom w:w="45" w:type="dxa"/>
              <w:right w:w="75" w:type="dxa"/>
            </w:tcMar>
            <w:vAlign w:val="center"/>
          </w:tcPr>
          <w:p w14:paraId="19F924C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厂界</w:t>
            </w:r>
          </w:p>
        </w:tc>
        <w:tc>
          <w:tcPr>
            <w:tcW w:w="546" w:type="pct"/>
            <w:shd w:val="clear" w:color="auto" w:fill="FFFFFF"/>
            <w:tcMar>
              <w:top w:w="45" w:type="dxa"/>
              <w:left w:w="75" w:type="dxa"/>
              <w:bottom w:w="45" w:type="dxa"/>
              <w:right w:w="75" w:type="dxa"/>
            </w:tcMar>
            <w:vAlign w:val="center"/>
          </w:tcPr>
          <w:p w14:paraId="0C23B35F">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颗粒物</w:t>
            </w:r>
          </w:p>
        </w:tc>
        <w:tc>
          <w:tcPr>
            <w:tcW w:w="1667" w:type="pct"/>
            <w:shd w:val="clear" w:color="auto" w:fill="FFFFFF"/>
            <w:tcMar>
              <w:top w:w="45" w:type="dxa"/>
              <w:left w:w="75" w:type="dxa"/>
              <w:bottom w:w="45" w:type="dxa"/>
              <w:right w:w="75" w:type="dxa"/>
            </w:tcMar>
            <w:vAlign w:val="center"/>
          </w:tcPr>
          <w:p w14:paraId="4BC22F4D">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《环境空气质量标准》（GB3095-2012）</w:t>
            </w:r>
          </w:p>
        </w:tc>
        <w:tc>
          <w:tcPr>
            <w:tcW w:w="2310" w:type="pct"/>
            <w:shd w:val="clear" w:color="auto" w:fill="FFFFFF"/>
            <w:tcMar>
              <w:top w:w="45" w:type="dxa"/>
              <w:left w:w="75" w:type="dxa"/>
              <w:bottom w:w="45" w:type="dxa"/>
              <w:right w:w="75" w:type="dxa"/>
            </w:tcMar>
            <w:vAlign w:val="center"/>
          </w:tcPr>
          <w:p w14:paraId="247AE39A">
            <w:pPr>
              <w:pStyle w:val="185"/>
              <w:rPr>
                <w:rFonts w:hint="default" w:ascii="Times New Roman" w:hAnsi="Times New Roman" w:cs="Times New Roman"/>
                <w:color w:val="auto"/>
                <w:sz w:val="21"/>
                <w:highlight w:val="none"/>
                <w:lang w:val="en-US" w:eastAsia="zh-CN"/>
              </w:rPr>
            </w:pPr>
            <w:r>
              <w:rPr>
                <w:rFonts w:hint="default" w:ascii="Times New Roman" w:hAnsi="Times New Roman" w:cs="Times New Roman"/>
                <w:color w:val="auto"/>
                <w:sz w:val="21"/>
                <w:highlight w:val="none"/>
                <w:lang w:val="en-US" w:eastAsia="zh-CN"/>
              </w:rPr>
              <w:t>0.3mg/m</w:t>
            </w:r>
            <w:r>
              <w:rPr>
                <w:rFonts w:hint="default" w:ascii="Times New Roman" w:hAnsi="Times New Roman" w:cs="Times New Roman"/>
                <w:color w:val="auto"/>
                <w:sz w:val="21"/>
                <w:highlight w:val="none"/>
                <w:vertAlign w:val="superscript"/>
                <w:lang w:val="en-US" w:eastAsia="zh-CN"/>
              </w:rPr>
              <w:t>3</w:t>
            </w:r>
          </w:p>
        </w:tc>
      </w:tr>
      <w:tr w14:paraId="074A3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rPr>
        <w:tc>
          <w:tcPr>
            <w:tcW w:w="475" w:type="pct"/>
            <w:shd w:val="clear" w:color="auto" w:fill="FFFFFF"/>
            <w:tcMar>
              <w:top w:w="45" w:type="dxa"/>
              <w:left w:w="75" w:type="dxa"/>
              <w:bottom w:w="45" w:type="dxa"/>
              <w:right w:w="75" w:type="dxa"/>
            </w:tcMar>
            <w:vAlign w:val="center"/>
          </w:tcPr>
          <w:p w14:paraId="7905B5F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厂界</w:t>
            </w:r>
          </w:p>
        </w:tc>
        <w:tc>
          <w:tcPr>
            <w:tcW w:w="546" w:type="pct"/>
            <w:shd w:val="clear" w:color="auto" w:fill="FFFFFF"/>
            <w:tcMar>
              <w:top w:w="45" w:type="dxa"/>
              <w:left w:w="75" w:type="dxa"/>
              <w:bottom w:w="45" w:type="dxa"/>
              <w:right w:w="75" w:type="dxa"/>
            </w:tcMar>
            <w:vAlign w:val="center"/>
          </w:tcPr>
          <w:p w14:paraId="61522EB2">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氨（氨气）</w:t>
            </w:r>
          </w:p>
        </w:tc>
        <w:tc>
          <w:tcPr>
            <w:tcW w:w="1667" w:type="pct"/>
            <w:shd w:val="clear" w:color="auto" w:fill="FFFFFF"/>
            <w:tcMar>
              <w:top w:w="45" w:type="dxa"/>
              <w:left w:w="75" w:type="dxa"/>
              <w:bottom w:w="45" w:type="dxa"/>
              <w:right w:w="75" w:type="dxa"/>
            </w:tcMar>
            <w:vAlign w:val="center"/>
          </w:tcPr>
          <w:p w14:paraId="4BBC68C5">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《恶臭污染物排放标准》</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GB 14554-1993</w:t>
            </w:r>
            <w:r>
              <w:rPr>
                <w:rFonts w:hint="default" w:ascii="Times New Roman" w:hAnsi="Times New Roman" w:cs="Times New Roman"/>
                <w:color w:val="auto"/>
                <w:highlight w:val="none"/>
                <w:lang w:eastAsia="zh-CN"/>
              </w:rPr>
              <w:t>）</w:t>
            </w:r>
          </w:p>
        </w:tc>
        <w:tc>
          <w:tcPr>
            <w:tcW w:w="2310" w:type="pct"/>
            <w:shd w:val="clear" w:color="auto" w:fill="FFFFFF"/>
            <w:tcMar>
              <w:top w:w="45" w:type="dxa"/>
              <w:left w:w="75" w:type="dxa"/>
              <w:bottom w:w="45" w:type="dxa"/>
              <w:right w:w="75" w:type="dxa"/>
            </w:tcMar>
            <w:vAlign w:val="center"/>
          </w:tcPr>
          <w:p w14:paraId="353C4113">
            <w:pPr>
              <w:pStyle w:val="185"/>
              <w:rPr>
                <w:rFonts w:hint="default" w:ascii="Times New Roman" w:hAnsi="Times New Roman" w:cs="Times New Roman"/>
                <w:color w:val="auto"/>
                <w:sz w:val="21"/>
                <w:highlight w:val="none"/>
                <w:lang w:val="en-US" w:eastAsia="zh-CN"/>
              </w:rPr>
            </w:pPr>
            <w:r>
              <w:rPr>
                <w:rFonts w:hint="default" w:ascii="Times New Roman" w:hAnsi="Times New Roman" w:cs="Times New Roman"/>
                <w:color w:val="auto"/>
                <w:sz w:val="21"/>
                <w:highlight w:val="none"/>
                <w:lang w:val="en-US" w:eastAsia="zh-CN"/>
              </w:rPr>
              <w:t>1.5</w:t>
            </w:r>
            <w:r>
              <w:rPr>
                <w:rFonts w:hint="default" w:ascii="Times New Roman" w:hAnsi="Times New Roman" w:cs="Times New Roman"/>
                <w:color w:val="auto"/>
                <w:sz w:val="21"/>
                <w:highlight w:val="none"/>
              </w:rPr>
              <w:t>mg/m</w:t>
            </w:r>
            <w:r>
              <w:rPr>
                <w:rFonts w:hint="default" w:ascii="Times New Roman" w:hAnsi="Times New Roman" w:cs="Times New Roman"/>
                <w:color w:val="auto"/>
                <w:sz w:val="21"/>
                <w:highlight w:val="none"/>
                <w:vertAlign w:val="superscript"/>
              </w:rPr>
              <w:t>3</w:t>
            </w:r>
          </w:p>
        </w:tc>
      </w:tr>
      <w:tr w14:paraId="5D1ADC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1392" w:hRule="atLeast"/>
        </w:trPr>
        <w:tc>
          <w:tcPr>
            <w:tcW w:w="475" w:type="pct"/>
            <w:shd w:val="clear" w:color="auto" w:fill="FFFFFF"/>
            <w:tcMar>
              <w:top w:w="45" w:type="dxa"/>
              <w:left w:w="75" w:type="dxa"/>
              <w:bottom w:w="45" w:type="dxa"/>
              <w:right w:w="75" w:type="dxa"/>
            </w:tcMar>
            <w:vAlign w:val="center"/>
          </w:tcPr>
          <w:p w14:paraId="141985BC">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设备与管线组件密封点</w:t>
            </w:r>
          </w:p>
        </w:tc>
        <w:tc>
          <w:tcPr>
            <w:tcW w:w="546" w:type="pct"/>
            <w:shd w:val="clear" w:color="auto" w:fill="FFFFFF"/>
            <w:tcMar>
              <w:top w:w="45" w:type="dxa"/>
              <w:left w:w="75" w:type="dxa"/>
              <w:bottom w:w="45" w:type="dxa"/>
              <w:right w:w="75" w:type="dxa"/>
            </w:tcMar>
            <w:vAlign w:val="center"/>
          </w:tcPr>
          <w:p w14:paraId="322C4C1F">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挥发性有机物VOCs</w:t>
            </w:r>
          </w:p>
        </w:tc>
        <w:tc>
          <w:tcPr>
            <w:tcW w:w="1667" w:type="pct"/>
            <w:shd w:val="clear" w:color="auto" w:fill="FFFFFF"/>
            <w:tcMar>
              <w:top w:w="45" w:type="dxa"/>
              <w:left w:w="75" w:type="dxa"/>
              <w:bottom w:w="45" w:type="dxa"/>
              <w:right w:w="75" w:type="dxa"/>
            </w:tcMar>
            <w:vAlign w:val="center"/>
          </w:tcPr>
          <w:p w14:paraId="68711E65">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《挥发性有机物无组织排放控制标准》</w:t>
            </w:r>
            <w:r>
              <w:rPr>
                <w:rFonts w:hint="default" w:ascii="Times New Roman" w:hAnsi="Times New Roman" w:cs="Times New Roman"/>
                <w:color w:val="auto"/>
                <w:highlight w:val="none"/>
                <w:lang w:eastAsia="zh-CN"/>
              </w:rPr>
              <w:t>（</w:t>
            </w:r>
            <w:r>
              <w:rPr>
                <w:rFonts w:hint="default" w:ascii="Times New Roman" w:hAnsi="Times New Roman" w:cs="Times New Roman"/>
                <w:color w:val="auto"/>
                <w:highlight w:val="none"/>
              </w:rPr>
              <w:t>GB 37822-2019</w:t>
            </w:r>
            <w:r>
              <w:rPr>
                <w:rFonts w:hint="default" w:ascii="Times New Roman" w:hAnsi="Times New Roman" w:cs="Times New Roman"/>
                <w:color w:val="auto"/>
                <w:highlight w:val="none"/>
                <w:lang w:val="en-US" w:eastAsia="zh-CN"/>
              </w:rPr>
              <w:t>0</w:t>
            </w:r>
          </w:p>
          <w:p w14:paraId="56A8006D">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《陆上石油天然气开采工业大气污染物排放标准》</w:t>
            </w:r>
            <w:r>
              <w:rPr>
                <w:rFonts w:hint="default" w:ascii="Times New Roman" w:hAnsi="Times New Roman" w:cs="Times New Roman"/>
                <w:color w:val="auto"/>
                <w:highlight w:val="none"/>
                <w:lang w:val="en-US" w:eastAsia="zh-CN"/>
              </w:rPr>
              <w:t>(</w:t>
            </w:r>
            <w:r>
              <w:rPr>
                <w:rFonts w:hint="default" w:ascii="Times New Roman" w:hAnsi="Times New Roman" w:cs="Times New Roman"/>
                <w:color w:val="auto"/>
                <w:highlight w:val="none"/>
              </w:rPr>
              <w:t>GB 39728-2020</w:t>
            </w:r>
            <w:r>
              <w:rPr>
                <w:rFonts w:hint="default" w:ascii="Times New Roman" w:hAnsi="Times New Roman" w:cs="Times New Roman"/>
                <w:color w:val="auto"/>
                <w:highlight w:val="none"/>
                <w:lang w:val="en-US" w:eastAsia="zh-CN"/>
              </w:rPr>
              <w:t>)</w:t>
            </w:r>
          </w:p>
        </w:tc>
        <w:tc>
          <w:tcPr>
            <w:tcW w:w="2310" w:type="pct"/>
            <w:shd w:val="clear" w:color="auto" w:fill="FFFFFF"/>
            <w:tcMar>
              <w:top w:w="45" w:type="dxa"/>
              <w:left w:w="75" w:type="dxa"/>
              <w:bottom w:w="45" w:type="dxa"/>
              <w:right w:w="75" w:type="dxa"/>
            </w:tcMar>
            <w:vAlign w:val="center"/>
          </w:tcPr>
          <w:p w14:paraId="0625397B">
            <w:pPr>
              <w:pStyle w:val="185"/>
              <w:rPr>
                <w:rFonts w:hint="default" w:ascii="Times New Roman" w:hAnsi="Times New Roman" w:cs="Times New Roman"/>
                <w:bCs/>
                <w:color w:val="auto"/>
                <w:kern w:val="0"/>
                <w:highlight w:val="none"/>
              </w:rPr>
            </w:pPr>
            <w:r>
              <w:rPr>
                <w:rFonts w:hint="eastAsia" w:ascii="Times New Roman" w:cs="Times New Roman"/>
                <w:bCs/>
                <w:color w:val="auto"/>
                <w:kern w:val="0"/>
                <w:highlight w:val="none"/>
                <w:lang w:val="en-US" w:eastAsia="zh-CN"/>
              </w:rPr>
              <w:t>挥发性有机液体：</w:t>
            </w:r>
            <w:r>
              <w:rPr>
                <w:rFonts w:hint="default" w:ascii="Times New Roman" w:hAnsi="Times New Roman" w:cs="Times New Roman"/>
                <w:bCs/>
                <w:color w:val="auto"/>
                <w:kern w:val="0"/>
                <w:highlight w:val="none"/>
              </w:rPr>
              <w:t>2000</w:t>
            </w:r>
            <w:r>
              <w:rPr>
                <w:rFonts w:hint="eastAsia" w:ascii="Times New Roman" w:cs="Times New Roman"/>
                <w:bCs/>
                <w:color w:val="auto"/>
                <w:kern w:val="0"/>
                <w:highlight w:val="none"/>
                <w:lang w:val="en-US" w:eastAsia="zh-CN"/>
              </w:rPr>
              <w:t xml:space="preserve"> </w:t>
            </w:r>
            <w:r>
              <w:rPr>
                <w:rFonts w:hint="default" w:ascii="Times New Roman" w:hAnsi="Times New Roman" w:cs="Times New Roman"/>
                <w:bCs/>
                <w:color w:val="auto"/>
                <w:kern w:val="0"/>
                <w:highlight w:val="none"/>
              </w:rPr>
              <w:t>μmol/mol</w:t>
            </w:r>
          </w:p>
          <w:p w14:paraId="2991E1E5">
            <w:pPr>
              <w:pStyle w:val="185"/>
              <w:rPr>
                <w:rFonts w:hint="default" w:ascii="Times New Roman" w:hAnsi="Times New Roman" w:cs="Times New Roman"/>
                <w:bCs/>
                <w:color w:val="auto"/>
                <w:kern w:val="0"/>
                <w:highlight w:val="none"/>
              </w:rPr>
            </w:pPr>
            <w:r>
              <w:rPr>
                <w:rFonts w:hint="eastAsia" w:ascii="Times New Roman" w:cs="Times New Roman"/>
                <w:bCs/>
                <w:color w:val="auto"/>
                <w:kern w:val="0"/>
                <w:highlight w:val="none"/>
                <w:lang w:val="en-US" w:eastAsia="zh-CN"/>
              </w:rPr>
              <w:t xml:space="preserve">其他：500 </w:t>
            </w:r>
            <w:r>
              <w:rPr>
                <w:rFonts w:hint="default" w:ascii="Times New Roman" w:hAnsi="Times New Roman" w:cs="Times New Roman"/>
                <w:bCs/>
                <w:color w:val="auto"/>
                <w:kern w:val="0"/>
                <w:highlight w:val="none"/>
              </w:rPr>
              <w:t>μmol/mol</w:t>
            </w:r>
          </w:p>
          <w:p w14:paraId="06C3BD4E">
            <w:pPr>
              <w:pStyle w:val="185"/>
              <w:rPr>
                <w:rFonts w:hint="default" w:ascii="Times New Roman" w:hAnsi="Times New Roman" w:eastAsia="宋体" w:cs="Times New Roman"/>
                <w:bCs/>
                <w:color w:val="auto"/>
                <w:kern w:val="0"/>
                <w:highlight w:val="none"/>
                <w:lang w:val="en-US" w:eastAsia="zh-CN"/>
              </w:rPr>
            </w:pPr>
          </w:p>
        </w:tc>
      </w:tr>
    </w:tbl>
    <w:p w14:paraId="46D5255D">
      <w:pPr>
        <w:pStyle w:val="185"/>
        <w:rPr>
          <w:rFonts w:hint="default" w:ascii="Times New Roman" w:hAnsi="Times New Roman" w:cs="Times New Roman"/>
          <w:color w:val="auto"/>
          <w:highlight w:val="none"/>
        </w:rPr>
      </w:pPr>
    </w:p>
    <w:bookmarkEnd w:id="4"/>
    <w:p w14:paraId="7097F6DF">
      <w:pPr>
        <w:pStyle w:val="185"/>
        <w:rPr>
          <w:rFonts w:hint="default" w:ascii="Times New Roman" w:hAnsi="Times New Roman" w:cs="Times New Roman"/>
          <w:color w:val="auto"/>
          <w:highlight w:val="none"/>
        </w:rPr>
      </w:pPr>
    </w:p>
    <w:p w14:paraId="6396E9C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（2）无组织废气监测频次及分析方法</w:t>
      </w:r>
    </w:p>
    <w:p w14:paraId="2F92F499">
      <w:pPr>
        <w:pStyle w:val="96"/>
        <w:spacing w:before="156"/>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表 </w:t>
      </w:r>
      <w:r>
        <w:rPr>
          <w:rFonts w:hint="default" w:ascii="Times New Roman" w:hAnsi="Times New Roman" w:cs="Times New Roman"/>
          <w:color w:val="auto"/>
          <w:highlight w:val="none"/>
        </w:rPr>
        <w:fldChar w:fldCharType="begin"/>
      </w:r>
      <w:r>
        <w:rPr>
          <w:rFonts w:hint="default" w:ascii="Times New Roman" w:hAnsi="Times New Roman" w:cs="Times New Roman"/>
          <w:color w:val="auto"/>
          <w:highlight w:val="none"/>
        </w:rPr>
        <w:instrText xml:space="preserve">SEQ 表 \* ARABIC</w:instrText>
      </w:r>
      <w:r>
        <w:rPr>
          <w:rFonts w:hint="default" w:ascii="Times New Roman" w:hAnsi="Times New Roman" w:cs="Times New Roman"/>
          <w:color w:val="auto"/>
          <w:highlight w:val="none"/>
        </w:rPr>
        <w:fldChar w:fldCharType="separate"/>
      </w:r>
      <w:r>
        <w:rPr>
          <w:rFonts w:hint="default" w:ascii="Times New Roman" w:hAnsi="Times New Roman" w:cs="Times New Roman"/>
          <w:color w:val="auto"/>
          <w:highlight w:val="none"/>
        </w:rPr>
        <w:t>7</w:t>
      </w:r>
      <w:r>
        <w:rPr>
          <w:rFonts w:hint="default" w:ascii="Times New Roman" w:hAnsi="Times New Roman" w:cs="Times New Roman"/>
          <w:color w:val="auto"/>
          <w:highlight w:val="none"/>
        </w:rPr>
        <w:fldChar w:fldCharType="end"/>
      </w:r>
      <w:r>
        <w:rPr>
          <w:rFonts w:hint="default" w:ascii="Times New Roman" w:hAnsi="Times New Roman" w:cs="Times New Roman"/>
          <w:color w:val="auto"/>
          <w:highlight w:val="none"/>
        </w:rPr>
        <w:t xml:space="preserve">  厂界无组织废气监测指标和监测频次</w:t>
      </w:r>
    </w:p>
    <w:tbl>
      <w:tblPr>
        <w:tblStyle w:val="177"/>
        <w:tblW w:w="491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6"/>
        <w:gridCol w:w="3173"/>
        <w:gridCol w:w="4237"/>
        <w:gridCol w:w="4070"/>
      </w:tblGrid>
      <w:tr w14:paraId="7CB09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blHeader/>
          <w:jc w:val="center"/>
        </w:trPr>
        <w:tc>
          <w:tcPr>
            <w:tcW w:w="881" w:type="pct"/>
            <w:shd w:val="clear" w:color="auto" w:fill="auto"/>
            <w:vAlign w:val="center"/>
          </w:tcPr>
          <w:p w14:paraId="33BE56BE">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污染源类别</w:t>
            </w:r>
          </w:p>
        </w:tc>
        <w:tc>
          <w:tcPr>
            <w:tcW w:w="1138" w:type="pct"/>
            <w:shd w:val="clear" w:color="auto" w:fill="auto"/>
            <w:vAlign w:val="center"/>
          </w:tcPr>
          <w:p w14:paraId="2812839A">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监测点位</w:t>
            </w:r>
          </w:p>
        </w:tc>
        <w:tc>
          <w:tcPr>
            <w:tcW w:w="1520" w:type="pct"/>
            <w:shd w:val="clear" w:color="auto" w:fill="auto"/>
            <w:vAlign w:val="center"/>
          </w:tcPr>
          <w:p w14:paraId="694F76D8">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监测指标</w:t>
            </w:r>
          </w:p>
        </w:tc>
        <w:tc>
          <w:tcPr>
            <w:tcW w:w="1460" w:type="pct"/>
            <w:shd w:val="clear" w:color="auto" w:fill="auto"/>
            <w:vAlign w:val="center"/>
          </w:tcPr>
          <w:p w14:paraId="1A1A4408">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监测频次</w:t>
            </w:r>
          </w:p>
        </w:tc>
      </w:tr>
      <w:tr w14:paraId="561AC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1" w:hRule="atLeast"/>
          <w:jc w:val="center"/>
        </w:trPr>
        <w:tc>
          <w:tcPr>
            <w:tcW w:w="881" w:type="pct"/>
            <w:vMerge w:val="restart"/>
            <w:shd w:val="clear" w:color="auto" w:fill="auto"/>
            <w:vAlign w:val="center"/>
          </w:tcPr>
          <w:p w14:paraId="1D701B2A">
            <w:pPr>
              <w:pStyle w:val="185"/>
              <w:rPr>
                <w:rFonts w:hint="default" w:ascii="Times New Roman" w:hAnsi="Times New Roman" w:eastAsia="Times New Roman" w:cs="Times New Roman"/>
                <w:color w:val="auto"/>
                <w:highlight w:val="none"/>
              </w:rPr>
            </w:pPr>
            <w:r>
              <w:rPr>
                <w:rFonts w:hint="default" w:ascii="Times New Roman" w:hAnsi="Times New Roman" w:eastAsia="宋体" w:cs="Times New Roman"/>
                <w:color w:val="auto"/>
                <w:highlight w:val="none"/>
              </w:rPr>
              <w:t>厂界</w:t>
            </w:r>
            <w:r>
              <w:rPr>
                <w:rFonts w:hint="default" w:ascii="Times New Roman" w:hAnsi="Times New Roman" w:eastAsia="Times New Roman" w:cs="Times New Roman"/>
                <w:color w:val="auto"/>
                <w:highlight w:val="none"/>
              </w:rPr>
              <w:t>无组织废气</w:t>
            </w:r>
          </w:p>
        </w:tc>
        <w:tc>
          <w:tcPr>
            <w:tcW w:w="1138" w:type="pct"/>
            <w:vMerge w:val="restart"/>
            <w:shd w:val="clear" w:color="auto" w:fill="auto"/>
            <w:vAlign w:val="center"/>
          </w:tcPr>
          <w:p w14:paraId="70CEE290">
            <w:pPr>
              <w:pStyle w:val="185"/>
              <w:jc w:val="both"/>
              <w:rPr>
                <w:rFonts w:hint="default" w:ascii="Times New Roman" w:hAnsi="Times New Roman" w:eastAsia="宋体" w:cs="Times New Roman"/>
                <w:color w:val="auto"/>
                <w:highlight w:val="none"/>
                <w:lang w:val="en-US" w:eastAsia="zh-CN"/>
              </w:rPr>
            </w:pPr>
            <w:r>
              <w:rPr>
                <w:rFonts w:hint="default" w:ascii="Times New Roman" w:hAnsi="Times New Roman" w:cs="Times New Roman" w:eastAsiaTheme="minorEastAsia"/>
                <w:color w:val="auto"/>
                <w:highlight w:val="none"/>
                <w:lang w:eastAsia="zh-CN"/>
              </w:rPr>
              <w:t>下二门联合站、下二门管理区、双河联合站、江河联合站、魏岗联合站、安棚转油站厂界；各联合站转油站重点装置区域（如双联三级隔油池、固化厂2000方污水池、江联800方污水池等）</w:t>
            </w:r>
          </w:p>
        </w:tc>
        <w:tc>
          <w:tcPr>
            <w:tcW w:w="1520" w:type="pct"/>
            <w:shd w:val="clear" w:color="auto" w:fill="auto"/>
            <w:vAlign w:val="center"/>
          </w:tcPr>
          <w:p w14:paraId="023CA526">
            <w:pPr>
              <w:pStyle w:val="185"/>
              <w:jc w:val="center"/>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重点装置：非甲烷总烃、硫化氢；</w:t>
            </w:r>
          </w:p>
          <w:p w14:paraId="694F93AB">
            <w:pPr>
              <w:pStyle w:val="185"/>
              <w:jc w:val="center"/>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联合站、转油站厂界：颗粒物、硫化氢、非甲烷总烃；</w:t>
            </w:r>
          </w:p>
        </w:tc>
        <w:tc>
          <w:tcPr>
            <w:tcW w:w="1460" w:type="pct"/>
            <w:shd w:val="clear" w:color="auto" w:fill="auto"/>
            <w:vAlign w:val="center"/>
          </w:tcPr>
          <w:p w14:paraId="1C216763">
            <w:pPr>
              <w:pStyle w:val="185"/>
              <w:rPr>
                <w:rFonts w:hint="default" w:ascii="Times New Roman" w:hAnsi="Times New Roman" w:eastAsia="Times New Roman" w:cs="Times New Roman"/>
                <w:color w:val="auto"/>
                <w:highlight w:val="none"/>
              </w:rPr>
            </w:pPr>
            <w:r>
              <w:rPr>
                <w:rFonts w:hint="default" w:ascii="Times New Roman" w:hAnsi="Times New Roman" w:eastAsia="宋体" w:cs="Times New Roman"/>
                <w:color w:val="auto"/>
                <w:sz w:val="21"/>
                <w:highlight w:val="none"/>
              </w:rPr>
              <w:t>1次/季度</w:t>
            </w:r>
          </w:p>
        </w:tc>
      </w:tr>
      <w:tr w14:paraId="67577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1" w:hRule="atLeast"/>
          <w:jc w:val="center"/>
        </w:trPr>
        <w:tc>
          <w:tcPr>
            <w:tcW w:w="881" w:type="pct"/>
            <w:vMerge w:val="continue"/>
            <w:shd w:val="clear" w:color="auto" w:fill="auto"/>
            <w:vAlign w:val="center"/>
          </w:tcPr>
          <w:p w14:paraId="42145F52">
            <w:pPr>
              <w:pStyle w:val="185"/>
              <w:rPr>
                <w:rFonts w:hint="default" w:ascii="Times New Roman" w:hAnsi="Times New Roman" w:eastAsia="宋体" w:cs="Times New Roman"/>
                <w:color w:val="auto"/>
                <w:highlight w:val="none"/>
              </w:rPr>
            </w:pPr>
          </w:p>
        </w:tc>
        <w:tc>
          <w:tcPr>
            <w:tcW w:w="1138" w:type="pct"/>
            <w:vMerge w:val="continue"/>
            <w:shd w:val="clear" w:color="auto" w:fill="auto"/>
            <w:vAlign w:val="center"/>
          </w:tcPr>
          <w:p w14:paraId="67CF2B4D">
            <w:pPr>
              <w:pStyle w:val="185"/>
              <w:jc w:val="both"/>
              <w:rPr>
                <w:rFonts w:hint="default" w:ascii="Times New Roman" w:hAnsi="Times New Roman" w:cs="Times New Roman" w:eastAsiaTheme="minorEastAsia"/>
                <w:color w:val="auto"/>
                <w:highlight w:val="none"/>
                <w:lang w:eastAsia="zh-CN"/>
              </w:rPr>
            </w:pPr>
          </w:p>
        </w:tc>
        <w:tc>
          <w:tcPr>
            <w:tcW w:w="1520" w:type="pct"/>
            <w:shd w:val="clear" w:color="auto" w:fill="auto"/>
            <w:vAlign w:val="center"/>
          </w:tcPr>
          <w:p w14:paraId="0967AD39">
            <w:pPr>
              <w:pStyle w:val="185"/>
              <w:jc w:val="center"/>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下二门</w:t>
            </w:r>
            <w:r>
              <w:rPr>
                <w:rFonts w:hint="default" w:ascii="Times New Roman" w:hAnsi="Times New Roman" w:eastAsia="宋体" w:cs="Times New Roman"/>
                <w:color w:val="auto"/>
                <w:highlight w:val="none"/>
                <w:lang w:val="en-US" w:eastAsia="zh-CN"/>
              </w:rPr>
              <w:t>生活污水处理设施</w:t>
            </w:r>
            <w:r>
              <w:rPr>
                <w:rFonts w:hint="default" w:ascii="Times New Roman" w:hAnsi="Times New Roman" w:eastAsia="Times New Roman" w:cs="Times New Roman"/>
                <w:color w:val="auto"/>
                <w:highlight w:val="none"/>
              </w:rPr>
              <w:t>厂界：硫化氢、氨</w:t>
            </w:r>
          </w:p>
        </w:tc>
        <w:tc>
          <w:tcPr>
            <w:tcW w:w="1460" w:type="pct"/>
            <w:shd w:val="clear" w:color="auto" w:fill="auto"/>
            <w:vAlign w:val="center"/>
          </w:tcPr>
          <w:p w14:paraId="619B1E3A">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1次/半年</w:t>
            </w:r>
          </w:p>
        </w:tc>
      </w:tr>
      <w:tr w14:paraId="0DDAC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0" w:hRule="atLeast"/>
          <w:jc w:val="center"/>
        </w:trPr>
        <w:tc>
          <w:tcPr>
            <w:tcW w:w="881" w:type="pct"/>
            <w:vMerge w:val="continue"/>
            <w:shd w:val="clear" w:color="auto" w:fill="auto"/>
            <w:vAlign w:val="center"/>
          </w:tcPr>
          <w:p w14:paraId="40725FE1">
            <w:pPr>
              <w:pStyle w:val="185"/>
              <w:rPr>
                <w:rFonts w:hint="default" w:ascii="Times New Roman" w:hAnsi="Times New Roman" w:eastAsia="Times New Roman" w:cs="Times New Roman"/>
                <w:color w:val="auto"/>
                <w:highlight w:val="none"/>
              </w:rPr>
            </w:pPr>
          </w:p>
        </w:tc>
        <w:tc>
          <w:tcPr>
            <w:tcW w:w="1138" w:type="pct"/>
            <w:shd w:val="clear" w:color="auto" w:fill="auto"/>
            <w:vAlign w:val="center"/>
          </w:tcPr>
          <w:p w14:paraId="235B8654">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魏岗区油泥砂转运点、江河区油泥砂转运点、下二门区油泥砂转运点</w:t>
            </w:r>
          </w:p>
        </w:tc>
        <w:tc>
          <w:tcPr>
            <w:tcW w:w="1520" w:type="pct"/>
            <w:shd w:val="clear" w:color="auto" w:fill="auto"/>
            <w:vAlign w:val="center"/>
          </w:tcPr>
          <w:p w14:paraId="4B379C0B">
            <w:pPr>
              <w:pStyle w:val="185"/>
              <w:jc w:val="center"/>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厂界</w:t>
            </w:r>
            <w:r>
              <w:rPr>
                <w:rFonts w:hint="eastAsia" w:ascii="Times New Roman" w:eastAsia="宋体" w:cs="Times New Roman"/>
                <w:color w:val="auto"/>
                <w:highlight w:val="none"/>
                <w:lang w:eastAsia="zh-CN"/>
              </w:rPr>
              <w:t>：</w:t>
            </w:r>
            <w:r>
              <w:rPr>
                <w:rFonts w:hint="default" w:ascii="Times New Roman" w:hAnsi="Times New Roman" w:eastAsia="Times New Roman" w:cs="Times New Roman"/>
                <w:color w:val="auto"/>
                <w:highlight w:val="none"/>
              </w:rPr>
              <w:t>非甲烷总烃</w:t>
            </w:r>
          </w:p>
          <w:p w14:paraId="20E4419A">
            <w:pPr>
              <w:pStyle w:val="185"/>
              <w:rPr>
                <w:rFonts w:hint="default" w:ascii="Times New Roman" w:hAnsi="Times New Roman" w:eastAsia="Times New Roman" w:cs="Times New Roman"/>
                <w:color w:val="auto"/>
                <w:kern w:val="2"/>
                <w:sz w:val="21"/>
                <w:szCs w:val="21"/>
                <w:highlight w:val="none"/>
                <w:lang w:val="en-US" w:eastAsia="zh-CN" w:bidi="ar-SA"/>
              </w:rPr>
            </w:pPr>
            <w:r>
              <w:rPr>
                <w:rFonts w:hint="default" w:ascii="Times New Roman" w:hAnsi="Times New Roman" w:eastAsia="Times New Roman" w:cs="Times New Roman"/>
                <w:color w:val="auto"/>
                <w:highlight w:val="none"/>
              </w:rPr>
              <w:t>厂界</w:t>
            </w:r>
            <w:r>
              <w:rPr>
                <w:rFonts w:hint="eastAsia" w:ascii="Times New Roman" w:eastAsia="宋体" w:cs="Times New Roman"/>
                <w:color w:val="auto"/>
                <w:highlight w:val="none"/>
                <w:lang w:eastAsia="zh-CN"/>
              </w:rPr>
              <w:t>：</w:t>
            </w:r>
            <w:r>
              <w:rPr>
                <w:rFonts w:hint="default" w:ascii="Times New Roman" w:hAnsi="Times New Roman" w:eastAsia="Times New Roman" w:cs="Times New Roman"/>
                <w:color w:val="auto"/>
                <w:highlight w:val="none"/>
              </w:rPr>
              <w:t>硫化氢</w:t>
            </w:r>
          </w:p>
          <w:p w14:paraId="7ED8DA01">
            <w:pPr>
              <w:pStyle w:val="185"/>
              <w:rPr>
                <w:rFonts w:hint="default" w:ascii="Times New Roman" w:hAnsi="Times New Roman" w:eastAsia="宋体" w:cs="Times New Roman"/>
                <w:color w:val="auto"/>
                <w:highlight w:val="none"/>
                <w:lang w:val="en-US" w:eastAsia="zh-CN"/>
              </w:rPr>
            </w:pPr>
          </w:p>
        </w:tc>
        <w:tc>
          <w:tcPr>
            <w:tcW w:w="1460" w:type="pct"/>
            <w:shd w:val="clear" w:color="auto" w:fill="auto"/>
            <w:vAlign w:val="center"/>
          </w:tcPr>
          <w:p w14:paraId="03E70865">
            <w:pPr>
              <w:pStyle w:val="185"/>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p w14:paraId="12F7AFB3">
            <w:pPr>
              <w:pStyle w:val="185"/>
              <w:rPr>
                <w:rFonts w:hint="default" w:ascii="Times New Roman" w:hAnsi="Times New Roman" w:eastAsia="Times New Roman" w:cs="Times New Roman"/>
                <w:color w:val="auto"/>
                <w:highlight w:val="none"/>
              </w:rPr>
            </w:pPr>
          </w:p>
        </w:tc>
      </w:tr>
      <w:tr w14:paraId="4D63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0" w:hRule="atLeast"/>
          <w:jc w:val="center"/>
        </w:trPr>
        <w:tc>
          <w:tcPr>
            <w:tcW w:w="881" w:type="pct"/>
            <w:shd w:val="clear" w:color="auto" w:fill="auto"/>
            <w:vAlign w:val="center"/>
          </w:tcPr>
          <w:p w14:paraId="4BDCE65E">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eastAsia="zh-CN"/>
              </w:rPr>
              <w:t>环境空气</w:t>
            </w:r>
          </w:p>
        </w:tc>
        <w:tc>
          <w:tcPr>
            <w:tcW w:w="1138" w:type="pct"/>
            <w:shd w:val="clear" w:color="auto" w:fill="auto"/>
            <w:vAlign w:val="center"/>
          </w:tcPr>
          <w:p w14:paraId="31E37FD3">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江河联合站、下二门联合站</w:t>
            </w:r>
          </w:p>
        </w:tc>
        <w:tc>
          <w:tcPr>
            <w:tcW w:w="1520" w:type="pct"/>
            <w:shd w:val="clear" w:color="auto" w:fill="auto"/>
            <w:vAlign w:val="center"/>
          </w:tcPr>
          <w:p w14:paraId="5769C331">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非甲烷总烃、硫化氢、二氧化硫、氮氧化物、颗粒物</w:t>
            </w:r>
          </w:p>
        </w:tc>
        <w:tc>
          <w:tcPr>
            <w:tcW w:w="1460" w:type="pct"/>
            <w:shd w:val="clear" w:color="auto" w:fill="auto"/>
            <w:vAlign w:val="center"/>
          </w:tcPr>
          <w:p w14:paraId="165DD427">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2次/年</w:t>
            </w:r>
          </w:p>
        </w:tc>
      </w:tr>
    </w:tbl>
    <w:p w14:paraId="1E42243C">
      <w:pPr>
        <w:pStyle w:val="96"/>
        <w:spacing w:before="156"/>
        <w:rPr>
          <w:rFonts w:hint="default" w:ascii="Times New Roman" w:hAnsi="Times New Roman" w:cs="Times New Roman"/>
          <w:color w:val="auto"/>
          <w:highlight w:val="none"/>
        </w:rPr>
      </w:pPr>
      <w:r>
        <w:rPr>
          <w:rFonts w:hint="default" w:ascii="Times New Roman" w:hAnsi="Times New Roman" w:cs="Times New Roman"/>
          <w:color w:val="auto"/>
          <w:highlight w:val="none"/>
        </w:rPr>
        <w:t>表 8  设备与管线组件密封点无组织废气监测指标和监测频次</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5"/>
        <w:gridCol w:w="1590"/>
        <w:gridCol w:w="3671"/>
        <w:gridCol w:w="3509"/>
        <w:gridCol w:w="3369"/>
      </w:tblGrid>
      <w:tr w14:paraId="2AC63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blHeader/>
          <w:jc w:val="center"/>
        </w:trPr>
        <w:tc>
          <w:tcPr>
            <w:tcW w:w="718" w:type="pct"/>
            <w:shd w:val="clear" w:color="auto" w:fill="auto"/>
            <w:vAlign w:val="center"/>
          </w:tcPr>
          <w:p w14:paraId="152FB58C">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污染源类别</w:t>
            </w:r>
          </w:p>
        </w:tc>
        <w:tc>
          <w:tcPr>
            <w:tcW w:w="561" w:type="pct"/>
          </w:tcPr>
          <w:p w14:paraId="24FFE4F1">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w:t>
            </w:r>
            <w:r>
              <w:rPr>
                <w:rFonts w:hint="default" w:ascii="Times New Roman" w:hAnsi="Times New Roman" w:eastAsia="宋体" w:cs="Times New Roman"/>
                <w:color w:val="auto"/>
                <w:highlight w:val="none"/>
              </w:rPr>
              <w:t>地点</w:t>
            </w:r>
          </w:p>
        </w:tc>
        <w:tc>
          <w:tcPr>
            <w:tcW w:w="1295" w:type="pct"/>
            <w:shd w:val="clear" w:color="auto" w:fill="auto"/>
            <w:vAlign w:val="center"/>
          </w:tcPr>
          <w:p w14:paraId="62547FAB">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监测点位</w:t>
            </w:r>
          </w:p>
        </w:tc>
        <w:tc>
          <w:tcPr>
            <w:tcW w:w="1238" w:type="pct"/>
            <w:shd w:val="clear" w:color="auto" w:fill="auto"/>
            <w:vAlign w:val="center"/>
          </w:tcPr>
          <w:p w14:paraId="5EB2ABB8">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监测指标</w:t>
            </w:r>
          </w:p>
        </w:tc>
        <w:tc>
          <w:tcPr>
            <w:tcW w:w="1188" w:type="pct"/>
            <w:shd w:val="clear" w:color="auto" w:fill="auto"/>
            <w:vAlign w:val="center"/>
          </w:tcPr>
          <w:p w14:paraId="53ACE47B">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监测频次</w:t>
            </w:r>
          </w:p>
        </w:tc>
      </w:tr>
      <w:tr w14:paraId="3DE531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vMerge w:val="restart"/>
            <w:shd w:val="clear" w:color="auto" w:fill="auto"/>
            <w:vAlign w:val="center"/>
          </w:tcPr>
          <w:p w14:paraId="2FD89E7B">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设备与管线组件密封点无组织废气</w:t>
            </w:r>
            <w:r>
              <w:rPr>
                <w:rFonts w:hint="default" w:ascii="Times New Roman" w:hAnsi="Times New Roman" w:eastAsia="宋体" w:cs="Times New Roman"/>
                <w:color w:val="auto"/>
                <w:highlight w:val="none"/>
                <w:lang w:eastAsia="zh-CN"/>
              </w:rPr>
              <w:t>（</w:t>
            </w:r>
            <w:r>
              <w:rPr>
                <w:rFonts w:hint="default" w:ascii="Times New Roman" w:hAnsi="Times New Roman" w:eastAsia="Times New Roman" w:cs="Times New Roman"/>
                <w:color w:val="auto"/>
                <w:highlight w:val="none"/>
              </w:rPr>
              <w:t>挥发性有机物</w:t>
            </w:r>
            <w:r>
              <w:rPr>
                <w:rFonts w:hint="default" w:ascii="Times New Roman" w:hAnsi="Times New Roman" w:eastAsia="宋体" w:cs="Times New Roman"/>
                <w:color w:val="auto"/>
                <w:highlight w:val="none"/>
                <w:lang w:eastAsia="zh-CN"/>
              </w:rPr>
              <w:t>）</w:t>
            </w:r>
          </w:p>
        </w:tc>
        <w:tc>
          <w:tcPr>
            <w:tcW w:w="561" w:type="pct"/>
            <w:vMerge w:val="restart"/>
            <w:vAlign w:val="center"/>
          </w:tcPr>
          <w:p w14:paraId="54B0CE4B">
            <w:pPr>
              <w:pStyle w:val="185"/>
              <w:rPr>
                <w:rFonts w:hint="default" w:ascii="Times New Roman" w:hAnsi="Times New Roman" w:cs="Times New Roman" w:eastAsiaTheme="minorEastAsia"/>
                <w:color w:val="auto"/>
                <w:highlight w:val="none"/>
                <w:lang w:val="en-US"/>
              </w:rPr>
            </w:pPr>
            <w:r>
              <w:rPr>
                <w:rFonts w:hint="default" w:ascii="Times New Roman" w:hAnsi="Times New Roman" w:cs="Times New Roman" w:eastAsiaTheme="minorEastAsia"/>
                <w:color w:val="auto"/>
                <w:highlight w:val="none"/>
                <w:lang w:eastAsia="zh-CN"/>
              </w:rPr>
              <w:t>双河</w:t>
            </w:r>
            <w:r>
              <w:rPr>
                <w:rFonts w:hint="default" w:ascii="Times New Roman" w:hAnsi="Times New Roman" w:eastAsia="Times New Roman" w:cs="Times New Roman"/>
                <w:color w:val="auto"/>
                <w:highlight w:val="none"/>
              </w:rPr>
              <w:t>联合站</w:t>
            </w:r>
            <w:r>
              <w:rPr>
                <w:rFonts w:hint="default" w:ascii="Times New Roman" w:hAnsi="Times New Roman" w:cs="Times New Roman"/>
                <w:color w:val="auto"/>
                <w:highlight w:val="none"/>
                <w:lang w:eastAsia="zh-CN"/>
              </w:rPr>
              <w:t>、江河联合站、魏岗联合站、</w:t>
            </w:r>
            <w:r>
              <w:rPr>
                <w:rFonts w:hint="default" w:ascii="Times New Roman" w:hAnsi="Times New Roman" w:cs="Times New Roman"/>
                <w:color w:val="auto"/>
                <w:highlight w:val="none"/>
                <w:lang w:val="en-US" w:eastAsia="zh-CN"/>
              </w:rPr>
              <w:t>下二门联合站</w:t>
            </w:r>
          </w:p>
        </w:tc>
        <w:tc>
          <w:tcPr>
            <w:tcW w:w="1295" w:type="pct"/>
            <w:shd w:val="clear" w:color="auto" w:fill="auto"/>
            <w:vAlign w:val="center"/>
          </w:tcPr>
          <w:p w14:paraId="2444980C">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泵、压缩机、搅拌器（机）、阀门、开口阀或开口管线、泄压设备、取样连接系统</w:t>
            </w:r>
          </w:p>
        </w:tc>
        <w:tc>
          <w:tcPr>
            <w:tcW w:w="1238" w:type="pct"/>
            <w:shd w:val="clear" w:color="auto" w:fill="auto"/>
            <w:vAlign w:val="center"/>
          </w:tcPr>
          <w:p w14:paraId="7689C325">
            <w:pPr>
              <w:pStyle w:val="185"/>
              <w:rPr>
                <w:rFonts w:hint="default" w:ascii="Times New Roman" w:hAnsi="Times New Roman" w:eastAsia="Times New Roman" w:cs="Times New Roman"/>
                <w:color w:val="auto"/>
                <w:highlight w:val="none"/>
              </w:rPr>
            </w:pPr>
            <w:r>
              <w:rPr>
                <w:rFonts w:hint="default" w:ascii="Times New Roman" w:hAnsi="Times New Roman" w:cs="Times New Roman"/>
                <w:color w:val="auto"/>
                <w:highlight w:val="none"/>
              </w:rPr>
              <w:t>挥发性有机物</w:t>
            </w:r>
            <w:r>
              <w:rPr>
                <w:rFonts w:hint="eastAsia" w:ascii="Times New Roman" w:cs="Times New Roman"/>
                <w:color w:val="auto"/>
                <w:highlight w:val="none"/>
                <w:lang w:eastAsia="zh-CN"/>
              </w:rPr>
              <w:t>（</w:t>
            </w:r>
            <w:r>
              <w:rPr>
                <w:rFonts w:hint="default" w:ascii="Times New Roman" w:hAnsi="Times New Roman" w:eastAsia="宋体" w:cs="Times New Roman"/>
                <w:color w:val="auto"/>
                <w:highlight w:val="none"/>
              </w:rPr>
              <w:t>泄漏检测值</w:t>
            </w:r>
            <w:r>
              <w:rPr>
                <w:rFonts w:hint="eastAsia" w:ascii="Times New Roman" w:cs="Times New Roman"/>
                <w:color w:val="auto"/>
                <w:highlight w:val="none"/>
                <w:lang w:eastAsia="zh-CN"/>
              </w:rPr>
              <w:t>）</w:t>
            </w:r>
          </w:p>
        </w:tc>
        <w:tc>
          <w:tcPr>
            <w:tcW w:w="1188" w:type="pct"/>
            <w:shd w:val="clear" w:color="auto" w:fill="auto"/>
            <w:vAlign w:val="center"/>
          </w:tcPr>
          <w:p w14:paraId="76E15776">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1次/半年</w:t>
            </w:r>
          </w:p>
        </w:tc>
      </w:tr>
      <w:tr w14:paraId="56CAB0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718" w:type="pct"/>
            <w:vMerge w:val="continue"/>
            <w:shd w:val="clear" w:color="auto" w:fill="auto"/>
            <w:vAlign w:val="center"/>
          </w:tcPr>
          <w:p w14:paraId="05C4968B">
            <w:pPr>
              <w:pStyle w:val="185"/>
              <w:rPr>
                <w:rFonts w:hint="default" w:ascii="Times New Roman" w:hAnsi="Times New Roman" w:eastAsia="Times New Roman" w:cs="Times New Roman"/>
                <w:color w:val="auto"/>
                <w:highlight w:val="none"/>
              </w:rPr>
            </w:pPr>
          </w:p>
        </w:tc>
        <w:tc>
          <w:tcPr>
            <w:tcW w:w="561" w:type="pct"/>
            <w:vMerge w:val="continue"/>
          </w:tcPr>
          <w:p w14:paraId="3F7E3287">
            <w:pPr>
              <w:pStyle w:val="185"/>
              <w:rPr>
                <w:rFonts w:hint="default" w:ascii="Times New Roman" w:hAnsi="Times New Roman" w:cs="Times New Roman" w:eastAsiaTheme="minorEastAsia"/>
                <w:color w:val="auto"/>
                <w:highlight w:val="none"/>
              </w:rPr>
            </w:pPr>
          </w:p>
        </w:tc>
        <w:tc>
          <w:tcPr>
            <w:tcW w:w="1295" w:type="pct"/>
            <w:shd w:val="clear" w:color="auto" w:fill="auto"/>
            <w:vAlign w:val="center"/>
          </w:tcPr>
          <w:p w14:paraId="61D00BAA">
            <w:pPr>
              <w:pStyle w:val="185"/>
              <w:rPr>
                <w:rFonts w:hint="default" w:ascii="Times New Roman" w:hAnsi="Times New Roman" w:cs="Times New Roman" w:eastAsiaTheme="minorEastAsia"/>
                <w:color w:val="auto"/>
                <w:highlight w:val="none"/>
              </w:rPr>
            </w:pPr>
            <w:r>
              <w:rPr>
                <w:rFonts w:hint="default" w:ascii="Times New Roman" w:hAnsi="Times New Roman" w:eastAsia="宋体" w:cs="Times New Roman"/>
                <w:color w:val="auto"/>
                <w:highlight w:val="none"/>
              </w:rPr>
              <w:t>法兰及其他连接件、其他密封设备</w:t>
            </w:r>
          </w:p>
        </w:tc>
        <w:tc>
          <w:tcPr>
            <w:tcW w:w="1238" w:type="pct"/>
            <w:shd w:val="clear" w:color="auto" w:fill="auto"/>
            <w:vAlign w:val="center"/>
          </w:tcPr>
          <w:p w14:paraId="055C694E">
            <w:pPr>
              <w:pStyle w:val="185"/>
              <w:rPr>
                <w:rFonts w:hint="default" w:ascii="Times New Roman" w:hAnsi="Times New Roman" w:eastAsia="Times New Roman" w:cs="Times New Roman"/>
                <w:color w:val="auto"/>
                <w:highlight w:val="none"/>
              </w:rPr>
            </w:pPr>
            <w:r>
              <w:rPr>
                <w:rFonts w:hint="default" w:ascii="Times New Roman" w:hAnsi="Times New Roman" w:cs="Times New Roman"/>
                <w:color w:val="auto"/>
                <w:highlight w:val="none"/>
              </w:rPr>
              <w:t>挥发性有机物</w:t>
            </w:r>
            <w:r>
              <w:rPr>
                <w:rFonts w:hint="eastAsia" w:ascii="Times New Roman" w:cs="Times New Roman"/>
                <w:color w:val="auto"/>
                <w:highlight w:val="none"/>
                <w:lang w:eastAsia="zh-CN"/>
              </w:rPr>
              <w:t>（</w:t>
            </w:r>
            <w:r>
              <w:rPr>
                <w:rFonts w:hint="default" w:ascii="Times New Roman" w:hAnsi="Times New Roman" w:eastAsia="宋体" w:cs="Times New Roman"/>
                <w:color w:val="auto"/>
                <w:highlight w:val="none"/>
              </w:rPr>
              <w:t>泄漏检测值</w:t>
            </w:r>
            <w:r>
              <w:rPr>
                <w:rFonts w:hint="eastAsia" w:ascii="Times New Roman" w:cs="Times New Roman"/>
                <w:color w:val="auto"/>
                <w:highlight w:val="none"/>
                <w:lang w:eastAsia="zh-CN"/>
              </w:rPr>
              <w:t>）</w:t>
            </w:r>
          </w:p>
        </w:tc>
        <w:tc>
          <w:tcPr>
            <w:tcW w:w="1188" w:type="pct"/>
            <w:shd w:val="clear" w:color="auto" w:fill="auto"/>
            <w:vAlign w:val="center"/>
          </w:tcPr>
          <w:p w14:paraId="45408211">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1次/半年</w:t>
            </w:r>
          </w:p>
        </w:tc>
      </w:tr>
    </w:tbl>
    <w:p w14:paraId="5ACD6886">
      <w:pPr>
        <w:pStyle w:val="96"/>
        <w:spacing w:before="156"/>
        <w:rPr>
          <w:rFonts w:hint="default" w:ascii="Times New Roman" w:hAnsi="Times New Roman" w:cs="Times New Roman"/>
          <w:color w:val="auto"/>
          <w:highlight w:val="none"/>
        </w:rPr>
      </w:pPr>
    </w:p>
    <w:p w14:paraId="1D213F17">
      <w:pPr>
        <w:pStyle w:val="96"/>
        <w:spacing w:before="156"/>
        <w:rPr>
          <w:rFonts w:hint="default" w:ascii="Times New Roman" w:hAnsi="Times New Roman" w:cs="Times New Roman"/>
          <w:color w:val="auto"/>
          <w:highlight w:val="none"/>
        </w:rPr>
      </w:pPr>
    </w:p>
    <w:p w14:paraId="5E929EEF">
      <w:pPr>
        <w:pStyle w:val="96"/>
        <w:spacing w:before="156"/>
        <w:rPr>
          <w:rFonts w:hint="default" w:ascii="Times New Roman" w:hAnsi="Times New Roman" w:cs="Times New Roman"/>
          <w:color w:val="auto"/>
          <w:highlight w:val="none"/>
        </w:rPr>
      </w:pPr>
    </w:p>
    <w:p w14:paraId="6A74D3F5">
      <w:pPr>
        <w:pStyle w:val="96"/>
        <w:spacing w:before="156"/>
        <w:rPr>
          <w:rFonts w:hint="default" w:ascii="Times New Roman" w:hAnsi="Times New Roman" w:cs="Times New Roman"/>
          <w:color w:val="auto"/>
          <w:highlight w:val="none"/>
        </w:rPr>
      </w:pPr>
      <w:r>
        <w:rPr>
          <w:rFonts w:hint="default" w:ascii="Times New Roman" w:hAnsi="Times New Roman" w:cs="Times New Roman"/>
          <w:color w:val="auto"/>
          <w:highlight w:val="none"/>
        </w:rPr>
        <w:t>表 9  检测仪器及分析方法</w:t>
      </w:r>
    </w:p>
    <w:tbl>
      <w:tblPr>
        <w:tblStyle w:val="37"/>
        <w:tblW w:w="511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7"/>
        <w:gridCol w:w="2209"/>
        <w:gridCol w:w="10103"/>
      </w:tblGrid>
      <w:tr w14:paraId="73ED6B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757" w:type="pct"/>
            <w:vAlign w:val="center"/>
          </w:tcPr>
          <w:p w14:paraId="1EF446C2">
            <w:pPr>
              <w:pStyle w:val="99"/>
              <w:rPr>
                <w:rFonts w:hint="default" w:ascii="Times New Roman" w:hAnsi="Times New Roman" w:eastAsia="宋体" w:cs="Times New Roman"/>
                <w:color w:val="auto"/>
                <w:sz w:val="21"/>
                <w:highlight w:val="none"/>
              </w:rPr>
            </w:pPr>
            <w:bookmarkStart w:id="8" w:name="_Toc142864469"/>
            <w:bookmarkStart w:id="9" w:name="_Toc164606888"/>
            <w:bookmarkStart w:id="10" w:name="_Toc164604319"/>
            <w:r>
              <w:rPr>
                <w:rFonts w:hint="default" w:ascii="Times New Roman" w:hAnsi="Times New Roman" w:eastAsia="宋体" w:cs="Times New Roman"/>
                <w:color w:val="auto"/>
                <w:sz w:val="21"/>
                <w:highlight w:val="none"/>
              </w:rPr>
              <w:t>样品类型</w:t>
            </w:r>
            <w:bookmarkEnd w:id="8"/>
            <w:bookmarkEnd w:id="9"/>
            <w:bookmarkEnd w:id="10"/>
          </w:p>
        </w:tc>
        <w:tc>
          <w:tcPr>
            <w:tcW w:w="761" w:type="pct"/>
            <w:vAlign w:val="center"/>
          </w:tcPr>
          <w:p w14:paraId="1C4B3168">
            <w:pPr>
              <w:pStyle w:val="99"/>
              <w:rPr>
                <w:rFonts w:hint="default" w:ascii="Times New Roman" w:hAnsi="Times New Roman" w:eastAsia="宋体" w:cs="Times New Roman"/>
                <w:color w:val="auto"/>
                <w:sz w:val="21"/>
                <w:highlight w:val="none"/>
              </w:rPr>
            </w:pPr>
            <w:bookmarkStart w:id="11" w:name="_Toc164604320"/>
            <w:bookmarkStart w:id="12" w:name="_Toc164606889"/>
            <w:bookmarkStart w:id="13" w:name="_Toc142864470"/>
            <w:r>
              <w:rPr>
                <w:rFonts w:hint="default" w:ascii="Times New Roman" w:hAnsi="Times New Roman" w:eastAsia="宋体" w:cs="Times New Roman"/>
                <w:color w:val="auto"/>
                <w:sz w:val="21"/>
                <w:highlight w:val="none"/>
              </w:rPr>
              <w:t>检测项目</w:t>
            </w:r>
            <w:bookmarkEnd w:id="11"/>
            <w:bookmarkEnd w:id="12"/>
            <w:bookmarkEnd w:id="13"/>
          </w:p>
        </w:tc>
        <w:tc>
          <w:tcPr>
            <w:tcW w:w="3481" w:type="pct"/>
            <w:vAlign w:val="center"/>
          </w:tcPr>
          <w:p w14:paraId="0BB32DB7">
            <w:pPr>
              <w:pStyle w:val="99"/>
              <w:rPr>
                <w:rFonts w:hint="default" w:ascii="Times New Roman" w:hAnsi="Times New Roman" w:eastAsia="宋体" w:cs="Times New Roman"/>
                <w:color w:val="auto"/>
                <w:sz w:val="21"/>
                <w:highlight w:val="none"/>
              </w:rPr>
            </w:pPr>
            <w:bookmarkStart w:id="14" w:name="_Toc164604321"/>
            <w:bookmarkStart w:id="15" w:name="_Toc164606890"/>
            <w:bookmarkStart w:id="16" w:name="_Toc142864471"/>
            <w:r>
              <w:rPr>
                <w:rFonts w:hint="default" w:ascii="Times New Roman" w:hAnsi="Times New Roman" w:eastAsia="宋体" w:cs="Times New Roman"/>
                <w:color w:val="auto"/>
                <w:sz w:val="21"/>
                <w:highlight w:val="none"/>
              </w:rPr>
              <w:t>分析方法及来源</w:t>
            </w:r>
            <w:bookmarkEnd w:id="14"/>
            <w:bookmarkEnd w:id="15"/>
            <w:bookmarkEnd w:id="16"/>
          </w:p>
        </w:tc>
      </w:tr>
      <w:tr w14:paraId="7AF3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restart"/>
            <w:vAlign w:val="center"/>
          </w:tcPr>
          <w:p w14:paraId="76353878">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无组织废气</w:t>
            </w:r>
          </w:p>
        </w:tc>
        <w:tc>
          <w:tcPr>
            <w:tcW w:w="761" w:type="pct"/>
            <w:vAlign w:val="center"/>
          </w:tcPr>
          <w:p w14:paraId="72C44A81">
            <w:pPr>
              <w:pStyle w:val="182"/>
              <w:rPr>
                <w:rFonts w:hint="default" w:ascii="Times New Roman" w:hAnsi="Times New Roman" w:eastAsia="宋体" w:cs="Times New Roman"/>
                <w:color w:val="auto"/>
                <w:sz w:val="21"/>
                <w:highlight w:val="none"/>
              </w:rPr>
            </w:pPr>
            <w:bookmarkStart w:id="17" w:name="_Toc164606897"/>
            <w:bookmarkStart w:id="18" w:name="_Toc164604328"/>
            <w:bookmarkStart w:id="19" w:name="_Toc142864478"/>
            <w:r>
              <w:rPr>
                <w:rFonts w:hint="default" w:ascii="Times New Roman" w:hAnsi="Times New Roman" w:eastAsia="宋体" w:cs="Times New Roman"/>
                <w:color w:val="auto"/>
                <w:sz w:val="21"/>
                <w:highlight w:val="none"/>
              </w:rPr>
              <w:t>厂界硫化氢</w:t>
            </w:r>
            <w:bookmarkEnd w:id="17"/>
            <w:bookmarkEnd w:id="18"/>
            <w:bookmarkEnd w:id="19"/>
          </w:p>
        </w:tc>
        <w:tc>
          <w:tcPr>
            <w:tcW w:w="3481" w:type="pct"/>
            <w:vAlign w:val="center"/>
          </w:tcPr>
          <w:p w14:paraId="4BF0AB63">
            <w:pPr>
              <w:jc w:val="center"/>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空气质量 硫化氢、甲硫醇、甲硫醚和二甲二硫的测定 气相色谱法</w:t>
            </w:r>
          </w:p>
          <w:p w14:paraId="613901A1">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GB/T 14678-1993</w:t>
            </w:r>
          </w:p>
        </w:tc>
      </w:tr>
      <w:tr w14:paraId="20A09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6BF0AF47">
            <w:pPr>
              <w:pStyle w:val="182"/>
              <w:rPr>
                <w:rFonts w:hint="default" w:ascii="Times New Roman" w:hAnsi="Times New Roman" w:eastAsia="宋体" w:cs="Times New Roman"/>
                <w:color w:val="auto"/>
                <w:sz w:val="21"/>
                <w:highlight w:val="none"/>
              </w:rPr>
            </w:pPr>
          </w:p>
        </w:tc>
        <w:tc>
          <w:tcPr>
            <w:tcW w:w="761" w:type="pct"/>
            <w:vAlign w:val="center"/>
          </w:tcPr>
          <w:p w14:paraId="0B811488">
            <w:pPr>
              <w:pStyle w:val="182"/>
              <w:rPr>
                <w:rFonts w:hint="default" w:ascii="Times New Roman" w:hAnsi="Times New Roman" w:eastAsia="宋体" w:cs="Times New Roman"/>
                <w:color w:val="auto"/>
                <w:sz w:val="21"/>
                <w:highlight w:val="none"/>
              </w:rPr>
            </w:pPr>
            <w:bookmarkStart w:id="20" w:name="_Toc142864480"/>
            <w:bookmarkStart w:id="21" w:name="_Toc164606899"/>
            <w:bookmarkStart w:id="22" w:name="_Toc164604330"/>
            <w:r>
              <w:rPr>
                <w:rFonts w:hint="default" w:ascii="Times New Roman" w:hAnsi="Times New Roman" w:eastAsia="宋体" w:cs="Times New Roman"/>
                <w:color w:val="auto"/>
                <w:sz w:val="21"/>
                <w:highlight w:val="none"/>
              </w:rPr>
              <w:t>厂界非甲烷总烃</w:t>
            </w:r>
            <w:bookmarkEnd w:id="20"/>
            <w:bookmarkEnd w:id="21"/>
            <w:bookmarkEnd w:id="22"/>
          </w:p>
        </w:tc>
        <w:tc>
          <w:tcPr>
            <w:tcW w:w="3481" w:type="pct"/>
            <w:vAlign w:val="center"/>
          </w:tcPr>
          <w:p w14:paraId="71FD61DF">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kern w:val="0"/>
                <w:sz w:val="21"/>
                <w:highlight w:val="none"/>
                <w:lang w:bidi="ar"/>
              </w:rPr>
              <w:t>环境空气 总烃、甲烷和非甲烷总烃的测定直接进样-气相色谱法HJ604-2017</w:t>
            </w:r>
          </w:p>
        </w:tc>
      </w:tr>
      <w:tr w14:paraId="3451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4BFDD359">
            <w:pPr>
              <w:pStyle w:val="182"/>
              <w:rPr>
                <w:rFonts w:hint="default" w:ascii="Times New Roman" w:hAnsi="Times New Roman" w:eastAsia="宋体" w:cs="Times New Roman"/>
                <w:color w:val="auto"/>
                <w:sz w:val="21"/>
                <w:highlight w:val="none"/>
              </w:rPr>
            </w:pPr>
          </w:p>
        </w:tc>
        <w:tc>
          <w:tcPr>
            <w:tcW w:w="761" w:type="pct"/>
            <w:vAlign w:val="center"/>
          </w:tcPr>
          <w:p w14:paraId="63A1E016">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泄漏检测值</w:t>
            </w:r>
          </w:p>
        </w:tc>
        <w:tc>
          <w:tcPr>
            <w:tcW w:w="3481" w:type="pct"/>
            <w:vAlign w:val="center"/>
          </w:tcPr>
          <w:p w14:paraId="541E9544">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《泄漏和敞开液面排放的挥发性有机物检测技术导则》HJ 733-2014</w:t>
            </w:r>
          </w:p>
          <w:p w14:paraId="36415F7E">
            <w:pPr>
              <w:jc w:val="center"/>
              <w:rPr>
                <w:rFonts w:hint="default" w:eastAsia="宋体"/>
                <w:color w:val="auto"/>
                <w:highlight w:val="none"/>
                <w:lang w:val="en-US" w:eastAsia="zh-CN"/>
              </w:rPr>
            </w:pPr>
            <w:r>
              <w:rPr>
                <w:rFonts w:hint="eastAsia" w:cs="Times New Roman"/>
                <w:color w:val="auto"/>
                <w:sz w:val="21"/>
                <w:highlight w:val="none"/>
                <w:lang w:eastAsia="zh-CN"/>
              </w:rPr>
              <w:t>《</w:t>
            </w:r>
            <w:r>
              <w:rPr>
                <w:rFonts w:hint="eastAsia" w:cs="Times New Roman"/>
                <w:color w:val="auto"/>
                <w:sz w:val="21"/>
                <w:highlight w:val="none"/>
                <w:lang w:val="en-US" w:eastAsia="zh-CN"/>
              </w:rPr>
              <w:t>工业企业挥发性有机物泄漏检测与修复技术指南</w:t>
            </w:r>
            <w:r>
              <w:rPr>
                <w:rFonts w:hint="eastAsia" w:cs="Times New Roman"/>
                <w:color w:val="auto"/>
                <w:sz w:val="21"/>
                <w:highlight w:val="none"/>
                <w:lang w:eastAsia="zh-CN"/>
              </w:rPr>
              <w:t>》</w:t>
            </w:r>
            <w:r>
              <w:rPr>
                <w:rFonts w:hint="eastAsia" w:cs="Times New Roman"/>
                <w:color w:val="auto"/>
                <w:sz w:val="21"/>
                <w:highlight w:val="none"/>
                <w:lang w:val="en-US" w:eastAsia="zh-CN"/>
              </w:rPr>
              <w:t>HJ1230-2021</w:t>
            </w:r>
          </w:p>
        </w:tc>
      </w:tr>
      <w:tr w14:paraId="4E974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010B9C48">
            <w:pPr>
              <w:pStyle w:val="182"/>
              <w:rPr>
                <w:rFonts w:hint="default" w:ascii="Times New Roman" w:hAnsi="Times New Roman" w:eastAsia="宋体" w:cs="Times New Roman"/>
                <w:color w:val="auto"/>
                <w:sz w:val="21"/>
                <w:highlight w:val="none"/>
              </w:rPr>
            </w:pPr>
          </w:p>
        </w:tc>
        <w:tc>
          <w:tcPr>
            <w:tcW w:w="761" w:type="pct"/>
            <w:vAlign w:val="center"/>
          </w:tcPr>
          <w:p w14:paraId="24A7D892">
            <w:pPr>
              <w:pStyle w:val="182"/>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氨（氨气）</w:t>
            </w:r>
          </w:p>
        </w:tc>
        <w:tc>
          <w:tcPr>
            <w:tcW w:w="3481" w:type="pct"/>
            <w:vAlign w:val="center"/>
          </w:tcPr>
          <w:p w14:paraId="66CA0E5F">
            <w:pPr>
              <w:pStyle w:val="182"/>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w:t>
            </w:r>
            <w:r>
              <w:rPr>
                <w:rFonts w:hint="default" w:ascii="Times New Roman" w:hAnsi="Times New Roman" w:cs="Times New Roman"/>
                <w:color w:val="auto"/>
                <w:sz w:val="21"/>
                <w:highlight w:val="none"/>
                <w:lang w:val="en-US" w:eastAsia="zh-CN"/>
              </w:rPr>
              <w:t>环境</w:t>
            </w:r>
            <w:r>
              <w:rPr>
                <w:rFonts w:hint="default" w:ascii="Times New Roman" w:hAnsi="Times New Roman" w:eastAsia="宋体" w:cs="Times New Roman"/>
                <w:color w:val="auto"/>
                <w:sz w:val="21"/>
                <w:highlight w:val="none"/>
                <w:lang w:val="en-US" w:eastAsia="zh-CN"/>
              </w:rPr>
              <w:t>空气和废气氨的测定纳氏试剂分光光度法》 HJ 533-2009</w:t>
            </w:r>
          </w:p>
        </w:tc>
      </w:tr>
      <w:tr w14:paraId="25369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72" w:hRule="atLeast"/>
          <w:jc w:val="center"/>
        </w:trPr>
        <w:tc>
          <w:tcPr>
            <w:tcW w:w="757" w:type="pct"/>
            <w:vMerge w:val="continue"/>
            <w:vAlign w:val="center"/>
          </w:tcPr>
          <w:p w14:paraId="06CFDC68">
            <w:pPr>
              <w:pStyle w:val="182"/>
              <w:rPr>
                <w:rFonts w:hint="default" w:ascii="Times New Roman" w:hAnsi="Times New Roman" w:eastAsia="宋体" w:cs="Times New Roman"/>
                <w:color w:val="auto"/>
                <w:sz w:val="21"/>
                <w:highlight w:val="none"/>
              </w:rPr>
            </w:pPr>
          </w:p>
        </w:tc>
        <w:tc>
          <w:tcPr>
            <w:tcW w:w="761" w:type="pct"/>
            <w:vAlign w:val="center"/>
          </w:tcPr>
          <w:p w14:paraId="54E9FCAD">
            <w:pPr>
              <w:pStyle w:val="182"/>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颗粒物</w:t>
            </w:r>
          </w:p>
        </w:tc>
        <w:tc>
          <w:tcPr>
            <w:tcW w:w="3481" w:type="pct"/>
            <w:vAlign w:val="center"/>
          </w:tcPr>
          <w:p w14:paraId="443EEFA4">
            <w:pPr>
              <w:pStyle w:val="182"/>
              <w:rPr>
                <w:rFonts w:hint="default" w:ascii="Times New Roman" w:hAnsi="Times New Roman" w:eastAsia="宋体" w:cs="Times New Roman"/>
                <w:color w:val="auto"/>
                <w:sz w:val="21"/>
                <w:highlight w:val="none"/>
                <w:lang w:val="en-US"/>
              </w:rPr>
            </w:pPr>
            <w:r>
              <w:rPr>
                <w:rFonts w:hint="default" w:ascii="Times New Roman" w:hAnsi="Times New Roman" w:cs="Times New Roman"/>
                <w:color w:val="auto"/>
                <w:sz w:val="21"/>
                <w:highlight w:val="none"/>
                <w:lang w:val="en-US" w:eastAsia="zh-CN"/>
              </w:rPr>
              <w:t>《环境空气 总悬浮颗粒物的测定 重量法》HJ 1263-2022</w:t>
            </w:r>
          </w:p>
        </w:tc>
      </w:tr>
    </w:tbl>
    <w:p w14:paraId="1A24B78A">
      <w:pPr>
        <w:ind w:firstLine="480"/>
        <w:rPr>
          <w:rFonts w:hint="default" w:ascii="Times New Roman" w:hAnsi="Times New Roman" w:cs="Times New Roman"/>
          <w:color w:val="auto"/>
          <w:highlight w:val="none"/>
        </w:rPr>
      </w:pPr>
    </w:p>
    <w:p w14:paraId="454BCA88">
      <w:pPr>
        <w:ind w:firstLine="480"/>
        <w:rPr>
          <w:rFonts w:hint="default" w:ascii="Times New Roman" w:hAnsi="Times New Roman" w:cs="Times New Roman"/>
          <w:color w:val="auto"/>
          <w:highlight w:val="none"/>
        </w:rPr>
      </w:pPr>
      <w:r>
        <w:rPr>
          <w:rFonts w:hint="eastAsia" w:cs="Times New Roman"/>
          <w:color w:val="auto"/>
          <w:highlight w:val="none"/>
          <w:lang w:eastAsia="zh-CN"/>
        </w:rPr>
        <w:t>（</w:t>
      </w:r>
      <w:r>
        <w:rPr>
          <w:rFonts w:hint="eastAsia" w:cs="Times New Roman"/>
          <w:color w:val="auto"/>
          <w:highlight w:val="none"/>
          <w:lang w:val="en-US" w:eastAsia="zh-CN"/>
        </w:rPr>
        <w:t>3</w:t>
      </w:r>
      <w:r>
        <w:rPr>
          <w:rFonts w:hint="eastAsia" w:cs="Times New Roman"/>
          <w:color w:val="auto"/>
          <w:highlight w:val="none"/>
          <w:lang w:eastAsia="zh-CN"/>
        </w:rPr>
        <w:t>）</w:t>
      </w:r>
      <w:r>
        <w:rPr>
          <w:rFonts w:hint="default" w:ascii="Times New Roman" w:hAnsi="Times New Roman" w:cs="Times New Roman"/>
          <w:color w:val="auto"/>
          <w:highlight w:val="none"/>
        </w:rPr>
        <w:t>无组织废气监测的样品采集和样品保存方法</w:t>
      </w:r>
    </w:p>
    <w:p w14:paraId="07A5929C">
      <w:pPr>
        <w:ind w:firstLine="480"/>
        <w:rPr>
          <w:rFonts w:hint="default" w:ascii="Times New Roman" w:hAnsi="Times New Roman" w:cs="Times New Roman"/>
          <w:color w:val="000000"/>
        </w:rPr>
      </w:pPr>
      <w:r>
        <w:rPr>
          <w:rFonts w:hint="default" w:ascii="Times New Roman" w:hAnsi="Times New Roman" w:cs="Times New Roman"/>
          <w:color w:val="auto"/>
          <w:highlight w:val="none"/>
        </w:rPr>
        <w:t>1）监测依据</w:t>
      </w:r>
    </w:p>
    <w:p w14:paraId="11D66F3B">
      <w:pPr>
        <w:ind w:firstLine="480"/>
        <w:rPr>
          <w:rFonts w:hint="default" w:ascii="Times New Roman" w:hAnsi="Times New Roman" w:cs="Times New Roman"/>
          <w:color w:val="000000"/>
        </w:rPr>
      </w:pPr>
      <w:r>
        <w:rPr>
          <w:rFonts w:hint="default" w:ascii="Times New Roman" w:hAnsi="Times New Roman" w:cs="Times New Roman"/>
          <w:color w:val="000000"/>
        </w:rPr>
        <w:t>空气质量 硫化氢、甲硫醇、甲硫醚和二甲二硫的测定 气相色谱法GB/T 14678-1993</w:t>
      </w:r>
    </w:p>
    <w:p w14:paraId="7DE6C9DC">
      <w:pPr>
        <w:ind w:firstLine="480"/>
        <w:rPr>
          <w:rFonts w:hint="default" w:ascii="Times New Roman" w:hAnsi="Times New Roman" w:cs="Times New Roman"/>
          <w:color w:val="auto"/>
          <w:highlight w:val="none"/>
        </w:rPr>
      </w:pPr>
      <w:r>
        <w:rPr>
          <w:rFonts w:hint="default" w:ascii="Times New Roman" w:hAnsi="Times New Roman" w:cs="Times New Roman"/>
          <w:color w:val="000000"/>
        </w:rPr>
        <w:t>《</w:t>
      </w:r>
      <w:r>
        <w:rPr>
          <w:rFonts w:hint="default" w:ascii="Times New Roman" w:hAnsi="Times New Roman" w:cs="Times New Roman"/>
          <w:color w:val="auto"/>
          <w:highlight w:val="none"/>
        </w:rPr>
        <w:t>环境空气 总烃、甲烷和非甲烷总烃的测定直接进样-气相色谱法》HJ 604-2017</w:t>
      </w:r>
    </w:p>
    <w:p w14:paraId="19DB091E">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《泄漏和敞开液面排放的挥发性有机物检测技术导则》HJ 733-2014</w:t>
      </w:r>
    </w:p>
    <w:p w14:paraId="524741DC">
      <w:pPr>
        <w:ind w:firstLine="480"/>
        <w:rPr>
          <w:rFonts w:hint="default" w:ascii="Times New Roman" w:hAnsi="Times New Roman" w:cs="Times New Roman"/>
          <w:color w:val="auto"/>
          <w:highlight w:val="none"/>
          <w:lang w:val="en-US" w:eastAsia="zh-CN"/>
        </w:rPr>
      </w:pPr>
      <w:r>
        <w:rPr>
          <w:rFonts w:hint="eastAsia" w:ascii="Times New Roman" w:hAnsi="Times New Roman" w:cs="Times New Roman"/>
          <w:color w:val="auto"/>
          <w:highlight w:val="none"/>
          <w:lang w:val="en-US" w:eastAsia="zh-CN"/>
        </w:rPr>
        <w:t>《工业企业挥发性有机物泄漏检测与修复技术指南》HJ1230-2021</w:t>
      </w:r>
    </w:p>
    <w:p w14:paraId="6DA861D9">
      <w:pPr>
        <w:ind w:firstLine="480"/>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w:t>
      </w:r>
      <w:r>
        <w:rPr>
          <w:rFonts w:hint="default" w:ascii="Times New Roman" w:hAnsi="Times New Roman" w:cs="Times New Roman"/>
          <w:color w:val="auto"/>
          <w:highlight w:val="none"/>
          <w:lang w:val="en-US" w:eastAsia="zh-CN"/>
        </w:rPr>
        <w:t>环境</w:t>
      </w:r>
      <w:r>
        <w:rPr>
          <w:rFonts w:hint="default" w:ascii="Times New Roman" w:hAnsi="Times New Roman" w:eastAsia="宋体" w:cs="Times New Roman"/>
          <w:color w:val="auto"/>
          <w:highlight w:val="none"/>
          <w:lang w:val="en-US" w:eastAsia="zh-CN"/>
        </w:rPr>
        <w:t>空气和废气氨的测定纳氏试剂分光光度法》 HJ 533-2009</w:t>
      </w:r>
    </w:p>
    <w:p w14:paraId="2494AAA5">
      <w:pPr>
        <w:ind w:firstLine="480"/>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《环境空气 总悬浮颗粒物的测定 重量法》HJ 1263-2022</w:t>
      </w:r>
    </w:p>
    <w:p w14:paraId="02F971AF">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2）样品采集</w:t>
      </w:r>
    </w:p>
    <w:p w14:paraId="368AF960">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环境空气按照HJ194和HJ664 的相关规定布点和采样;污染源无组织排放监控点空气按照HJ/T 55 或者其他相关标准布点和采样。采样容器经现场空气清洗至少3次后采样。以玻璃注射器满刻度采集空气样品，用惰性密封头密封;以气袋采集样品的，用真空气体采样箱将空气样品引入气袋，至最大体积的80%左右，立刻密封。</w:t>
      </w:r>
    </w:p>
    <w:p w14:paraId="0C8DB790">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运输空白，将注入除烃空气的采样容器带至采样现场，与同批次采集的样品一起送回实验室分析。</w:t>
      </w:r>
    </w:p>
    <w:p w14:paraId="33C7D81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3）样品保存</w:t>
      </w:r>
    </w:p>
    <w:p w14:paraId="14B8EC5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采集样品的玻璃注射器应小心轻放，防止破损，保持针头端向下状态放入样品箱内保存和运送。</w:t>
      </w:r>
    </w:p>
    <w:p w14:paraId="154F186D">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样品常温避光保存,采样后尽快完成分析。玻璃注射器保存的样品,放置时间不超过8h；气袋保存的样品，放置时间不超过 48h。</w:t>
      </w:r>
    </w:p>
    <w:p w14:paraId="1668D32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氨采样后尽快完成分析，以防止吸收空气中的氨。若不能立即分析，2-5℃可保存7d。</w:t>
      </w:r>
    </w:p>
    <w:p w14:paraId="4E788868">
      <w:pPr>
        <w:pStyle w:val="3"/>
        <w:rPr>
          <w:rFonts w:hint="default" w:ascii="Times New Roman" w:hAnsi="Times New Roman" w:cs="Times New Roman"/>
          <w:color w:val="auto"/>
          <w:highlight w:val="none"/>
        </w:rPr>
      </w:pPr>
      <w:bookmarkStart w:id="23" w:name="_Toc164606901"/>
      <w:r>
        <w:rPr>
          <w:rFonts w:hint="default" w:ascii="Times New Roman" w:hAnsi="Times New Roman" w:cs="Times New Roman"/>
          <w:color w:val="auto"/>
          <w:highlight w:val="none"/>
        </w:rPr>
        <w:t>废水监测</w:t>
      </w:r>
      <w:bookmarkEnd w:id="23"/>
    </w:p>
    <w:p w14:paraId="63F3059D">
      <w:pPr>
        <w:ind w:firstLine="480"/>
        <w:rPr>
          <w:rFonts w:hint="default" w:ascii="Times New Roman" w:hAnsi="Times New Roman" w:cs="Times New Roman"/>
          <w:color w:val="000000"/>
        </w:rPr>
      </w:pPr>
      <w:r>
        <w:rPr>
          <w:rFonts w:hint="default" w:ascii="Times New Roman" w:hAnsi="Times New Roman" w:cs="Times New Roman"/>
          <w:color w:val="000000"/>
        </w:rPr>
        <w:t>根据排污许可证管理要求，需对本单位现有雨水排放口、生活污水排放口排放的废水开展监测，具体监测要求见表10。</w:t>
      </w:r>
    </w:p>
    <w:p w14:paraId="42D35424">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10</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雨水、生活污水监测点位信息、监测指标及监测频次</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3"/>
        <w:gridCol w:w="1158"/>
        <w:gridCol w:w="2694"/>
        <w:gridCol w:w="2694"/>
        <w:gridCol w:w="2694"/>
        <w:gridCol w:w="1564"/>
        <w:gridCol w:w="2393"/>
      </w:tblGrid>
      <w:tr w14:paraId="619C4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4" w:hRule="atLeast"/>
          <w:jc w:val="center"/>
        </w:trPr>
        <w:tc>
          <w:tcPr>
            <w:tcW w:w="280" w:type="pct"/>
            <w:tcMar>
              <w:left w:w="11" w:type="dxa"/>
              <w:right w:w="11" w:type="dxa"/>
            </w:tcMar>
            <w:vAlign w:val="center"/>
          </w:tcPr>
          <w:p w14:paraId="404FAF83">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类别</w:t>
            </w:r>
          </w:p>
        </w:tc>
        <w:tc>
          <w:tcPr>
            <w:tcW w:w="414" w:type="pct"/>
            <w:tcMar>
              <w:left w:w="11" w:type="dxa"/>
              <w:right w:w="11" w:type="dxa"/>
            </w:tcMar>
            <w:vAlign w:val="center"/>
          </w:tcPr>
          <w:p w14:paraId="4C0D048A">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场所</w:t>
            </w:r>
          </w:p>
        </w:tc>
        <w:tc>
          <w:tcPr>
            <w:tcW w:w="963" w:type="pct"/>
            <w:vAlign w:val="center"/>
          </w:tcPr>
          <w:p w14:paraId="203C214D">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位置</w:t>
            </w:r>
          </w:p>
        </w:tc>
        <w:tc>
          <w:tcPr>
            <w:tcW w:w="963" w:type="pct"/>
            <w:vAlign w:val="center"/>
          </w:tcPr>
          <w:p w14:paraId="5D420D64">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坐标</w:t>
            </w:r>
          </w:p>
        </w:tc>
        <w:tc>
          <w:tcPr>
            <w:tcW w:w="963" w:type="pct"/>
            <w:tcMar>
              <w:left w:w="11" w:type="dxa"/>
              <w:right w:w="11" w:type="dxa"/>
            </w:tcMar>
            <w:vAlign w:val="center"/>
          </w:tcPr>
          <w:p w14:paraId="2A73F4B5">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标准名称及级(类)别</w:t>
            </w:r>
          </w:p>
        </w:tc>
        <w:tc>
          <w:tcPr>
            <w:tcW w:w="559" w:type="pct"/>
            <w:tcMar>
              <w:left w:w="11" w:type="dxa"/>
              <w:right w:w="11" w:type="dxa"/>
            </w:tcMar>
            <w:vAlign w:val="center"/>
          </w:tcPr>
          <w:p w14:paraId="3D7F7DAD">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监测指标</w:t>
            </w:r>
          </w:p>
        </w:tc>
        <w:tc>
          <w:tcPr>
            <w:tcW w:w="855" w:type="pct"/>
            <w:tcMar>
              <w:left w:w="11" w:type="dxa"/>
              <w:right w:w="11" w:type="dxa"/>
            </w:tcMar>
            <w:vAlign w:val="center"/>
          </w:tcPr>
          <w:p w14:paraId="5F0518FB">
            <w:pPr>
              <w:pStyle w:val="99"/>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000000"/>
                <w:sz w:val="21"/>
              </w:rPr>
            </w:pPr>
            <w:r>
              <w:rPr>
                <w:rFonts w:hint="default" w:ascii="Times New Roman" w:hAnsi="Times New Roman" w:eastAsia="宋体" w:cs="Times New Roman"/>
                <w:color w:val="000000"/>
                <w:sz w:val="21"/>
              </w:rPr>
              <w:t>监测频次</w:t>
            </w:r>
          </w:p>
        </w:tc>
      </w:tr>
      <w:tr w14:paraId="6F86B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restart"/>
            <w:tcMar>
              <w:left w:w="11" w:type="dxa"/>
              <w:right w:w="11" w:type="dxa"/>
            </w:tcMar>
            <w:vAlign w:val="center"/>
          </w:tcPr>
          <w:p w14:paraId="3085FC6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雨水</w:t>
            </w:r>
          </w:p>
        </w:tc>
        <w:tc>
          <w:tcPr>
            <w:tcW w:w="414" w:type="pct"/>
            <w:vMerge w:val="restart"/>
            <w:tcMar>
              <w:left w:w="11" w:type="dxa"/>
              <w:right w:w="11" w:type="dxa"/>
            </w:tcMar>
            <w:vAlign w:val="center"/>
          </w:tcPr>
          <w:p w14:paraId="6545BC9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eastAsia="zh-CN"/>
              </w:rPr>
              <w:t>双河联合</w:t>
            </w:r>
            <w:r>
              <w:rPr>
                <w:rFonts w:hint="default" w:ascii="Times New Roman" w:hAnsi="Times New Roman" w:eastAsia="宋体" w:cs="Times New Roman"/>
                <w:color w:val="auto"/>
                <w:sz w:val="21"/>
                <w:highlight w:val="none"/>
              </w:rPr>
              <w:t>站</w:t>
            </w:r>
          </w:p>
        </w:tc>
        <w:tc>
          <w:tcPr>
            <w:tcW w:w="963" w:type="pct"/>
            <w:vAlign w:val="center"/>
          </w:tcPr>
          <w:p w14:paraId="60648A3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双联雨水排放口1</w:t>
            </w:r>
          </w:p>
        </w:tc>
        <w:tc>
          <w:tcPr>
            <w:tcW w:w="963" w:type="pct"/>
            <w:vAlign w:val="center"/>
          </w:tcPr>
          <w:p w14:paraId="432568C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113°1′50.02″，</w:t>
            </w:r>
          </w:p>
          <w:p w14:paraId="47911D7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32°34′30.00″</w:t>
            </w:r>
          </w:p>
        </w:tc>
        <w:tc>
          <w:tcPr>
            <w:tcW w:w="963" w:type="pct"/>
            <w:vMerge w:val="restart"/>
            <w:tcMar>
              <w:left w:w="11" w:type="dxa"/>
              <w:right w:w="11" w:type="dxa"/>
            </w:tcMar>
            <w:vAlign w:val="center"/>
          </w:tcPr>
          <w:p w14:paraId="3F61249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val="en-US" w:eastAsia="zh-CN"/>
              </w:rPr>
              <w:t>/</w:t>
            </w:r>
          </w:p>
        </w:tc>
        <w:tc>
          <w:tcPr>
            <w:tcW w:w="559" w:type="pct"/>
            <w:tcMar>
              <w:left w:w="11" w:type="dxa"/>
              <w:right w:w="11" w:type="dxa"/>
            </w:tcMar>
            <w:vAlign w:val="center"/>
          </w:tcPr>
          <w:p w14:paraId="0CC52A4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02F441A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43D20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1EC6456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376030A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963" w:type="pct"/>
            <w:vAlign w:val="center"/>
          </w:tcPr>
          <w:p w14:paraId="16B2991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双联雨水排放口2</w:t>
            </w:r>
          </w:p>
        </w:tc>
        <w:tc>
          <w:tcPr>
            <w:tcW w:w="963" w:type="pct"/>
            <w:vAlign w:val="center"/>
          </w:tcPr>
          <w:p w14:paraId="19193CD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113°1′54.01″，</w:t>
            </w:r>
          </w:p>
          <w:p w14:paraId="75DEC65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32°34′23.02″</w:t>
            </w:r>
          </w:p>
        </w:tc>
        <w:tc>
          <w:tcPr>
            <w:tcW w:w="963" w:type="pct"/>
            <w:vMerge w:val="continue"/>
            <w:tcMar>
              <w:left w:w="11" w:type="dxa"/>
              <w:right w:w="11" w:type="dxa"/>
            </w:tcMar>
            <w:vAlign w:val="center"/>
          </w:tcPr>
          <w:p w14:paraId="0036E95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tcMar>
              <w:left w:w="11" w:type="dxa"/>
              <w:right w:w="11" w:type="dxa"/>
            </w:tcMar>
            <w:vAlign w:val="center"/>
          </w:tcPr>
          <w:p w14:paraId="55A22EF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49F1298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0A0D9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shd w:val="clear" w:color="auto" w:fill="auto"/>
            <w:tcMar>
              <w:left w:w="11" w:type="dxa"/>
              <w:right w:w="11" w:type="dxa"/>
            </w:tcMar>
            <w:vAlign w:val="center"/>
          </w:tcPr>
          <w:p w14:paraId="7705055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restart"/>
            <w:shd w:val="clear" w:color="auto" w:fill="auto"/>
            <w:tcMar>
              <w:left w:w="11" w:type="dxa"/>
              <w:right w:w="11" w:type="dxa"/>
            </w:tcMar>
            <w:vAlign w:val="center"/>
          </w:tcPr>
          <w:p w14:paraId="13FD85F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eastAsia="zh-CN"/>
              </w:rPr>
              <w:t>江河联合站</w:t>
            </w:r>
          </w:p>
        </w:tc>
        <w:tc>
          <w:tcPr>
            <w:tcW w:w="963" w:type="pct"/>
            <w:vMerge w:val="restart"/>
            <w:shd w:val="clear" w:color="auto" w:fill="auto"/>
            <w:vAlign w:val="center"/>
          </w:tcPr>
          <w:p w14:paraId="3E49622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eastAsia="zh-CN"/>
              </w:rPr>
              <w:t>江联</w:t>
            </w:r>
            <w:r>
              <w:rPr>
                <w:rFonts w:hint="default" w:ascii="Times New Roman" w:hAnsi="Times New Roman" w:eastAsia="宋体" w:cs="Times New Roman"/>
                <w:color w:val="auto"/>
                <w:sz w:val="21"/>
                <w:highlight w:val="none"/>
              </w:rPr>
              <w:t>雨水排放口</w:t>
            </w:r>
          </w:p>
        </w:tc>
        <w:tc>
          <w:tcPr>
            <w:tcW w:w="963" w:type="pct"/>
            <w:vMerge w:val="restart"/>
            <w:shd w:val="clear" w:color="auto" w:fill="auto"/>
            <w:vAlign w:val="center"/>
          </w:tcPr>
          <w:p w14:paraId="6CD38C7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113°1′25.00″，</w:t>
            </w:r>
          </w:p>
          <w:p w14:paraId="375841E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32°35′22.99″</w:t>
            </w:r>
          </w:p>
        </w:tc>
        <w:tc>
          <w:tcPr>
            <w:tcW w:w="963" w:type="pct"/>
            <w:vMerge w:val="restart"/>
            <w:shd w:val="clear" w:color="auto" w:fill="auto"/>
            <w:tcMar>
              <w:left w:w="11" w:type="dxa"/>
              <w:right w:w="11" w:type="dxa"/>
            </w:tcMar>
            <w:vAlign w:val="center"/>
          </w:tcPr>
          <w:p w14:paraId="0064C36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val="en-US" w:eastAsia="zh-CN"/>
              </w:rPr>
              <w:t>/</w:t>
            </w:r>
          </w:p>
        </w:tc>
        <w:tc>
          <w:tcPr>
            <w:tcW w:w="559" w:type="pct"/>
            <w:shd w:val="clear" w:color="auto" w:fill="auto"/>
            <w:tcMar>
              <w:left w:w="11" w:type="dxa"/>
              <w:right w:w="11" w:type="dxa"/>
            </w:tcMar>
            <w:vAlign w:val="center"/>
          </w:tcPr>
          <w:p w14:paraId="303B47C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09C894F4">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5ADE8F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4609A32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7AC490D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963" w:type="pct"/>
            <w:vMerge w:val="continue"/>
            <w:shd w:val="clear" w:color="auto" w:fill="auto"/>
            <w:vAlign w:val="center"/>
          </w:tcPr>
          <w:p w14:paraId="43173D3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shd w:val="clear" w:color="auto" w:fill="auto"/>
            <w:vAlign w:val="center"/>
          </w:tcPr>
          <w:p w14:paraId="435D2BE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tcMar>
              <w:left w:w="11" w:type="dxa"/>
              <w:right w:w="11" w:type="dxa"/>
            </w:tcMar>
            <w:vAlign w:val="center"/>
          </w:tcPr>
          <w:p w14:paraId="61F47B9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shd w:val="clear" w:color="auto" w:fill="auto"/>
            <w:tcMar>
              <w:left w:w="11" w:type="dxa"/>
              <w:right w:w="11" w:type="dxa"/>
            </w:tcMar>
            <w:vAlign w:val="center"/>
          </w:tcPr>
          <w:p w14:paraId="7B37203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0CDB79DB">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14238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shd w:val="clear" w:color="auto" w:fill="auto"/>
            <w:tcMar>
              <w:left w:w="11" w:type="dxa"/>
              <w:right w:w="11" w:type="dxa"/>
            </w:tcMar>
            <w:vAlign w:val="center"/>
          </w:tcPr>
          <w:p w14:paraId="495E615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414" w:type="pct"/>
            <w:vMerge w:val="restart"/>
            <w:shd w:val="clear" w:color="auto" w:fill="auto"/>
            <w:tcMar>
              <w:left w:w="11" w:type="dxa"/>
              <w:right w:w="11" w:type="dxa"/>
            </w:tcMar>
            <w:vAlign w:val="center"/>
          </w:tcPr>
          <w:p w14:paraId="6D24789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eastAsia="zh-CN"/>
              </w:rPr>
              <w:t>魏岗联合站</w:t>
            </w:r>
            <w:r>
              <w:rPr>
                <w:rFonts w:hint="default" w:ascii="Times New Roman" w:hAnsi="Times New Roman" w:eastAsia="宋体" w:cs="Times New Roman"/>
                <w:color w:val="auto"/>
                <w:sz w:val="21"/>
                <w:highlight w:val="none"/>
              </w:rPr>
              <w:t>站</w:t>
            </w:r>
          </w:p>
        </w:tc>
        <w:tc>
          <w:tcPr>
            <w:tcW w:w="963" w:type="pct"/>
            <w:vMerge w:val="restart"/>
            <w:shd w:val="clear" w:color="auto" w:fill="auto"/>
            <w:vAlign w:val="center"/>
          </w:tcPr>
          <w:p w14:paraId="6FEF3B3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eastAsia="zh-CN"/>
              </w:rPr>
              <w:t>魏岗联合站</w:t>
            </w:r>
            <w:r>
              <w:rPr>
                <w:rFonts w:hint="default" w:ascii="Times New Roman" w:hAnsi="Times New Roman" w:eastAsia="宋体" w:cs="Times New Roman"/>
                <w:color w:val="auto"/>
                <w:sz w:val="21"/>
                <w:highlight w:val="none"/>
              </w:rPr>
              <w:t>站雨水排放口</w:t>
            </w:r>
          </w:p>
        </w:tc>
        <w:tc>
          <w:tcPr>
            <w:tcW w:w="963" w:type="pct"/>
            <w:vMerge w:val="restart"/>
            <w:shd w:val="clear" w:color="auto" w:fill="auto"/>
            <w:vAlign w:val="center"/>
          </w:tcPr>
          <w:p w14:paraId="47A34D9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112°35′46.00″，</w:t>
            </w:r>
          </w:p>
          <w:p w14:paraId="7F1CDBD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32°39′43.99″</w:t>
            </w:r>
          </w:p>
        </w:tc>
        <w:tc>
          <w:tcPr>
            <w:tcW w:w="963" w:type="pct"/>
            <w:vMerge w:val="restart"/>
            <w:shd w:val="clear" w:color="auto" w:fill="auto"/>
            <w:tcMar>
              <w:left w:w="11" w:type="dxa"/>
              <w:right w:w="11" w:type="dxa"/>
            </w:tcMar>
            <w:vAlign w:val="center"/>
          </w:tcPr>
          <w:p w14:paraId="770EA4E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w:t>
            </w:r>
          </w:p>
        </w:tc>
        <w:tc>
          <w:tcPr>
            <w:tcW w:w="559" w:type="pct"/>
            <w:shd w:val="clear" w:color="auto" w:fill="auto"/>
            <w:tcMar>
              <w:left w:w="11" w:type="dxa"/>
              <w:right w:w="11" w:type="dxa"/>
            </w:tcMar>
            <w:vAlign w:val="center"/>
          </w:tcPr>
          <w:p w14:paraId="69B2A9C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2D010A7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58B60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34E428D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73AD6E0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963" w:type="pct"/>
            <w:vMerge w:val="continue"/>
            <w:shd w:val="clear" w:color="auto" w:fill="auto"/>
            <w:vAlign w:val="center"/>
          </w:tcPr>
          <w:p w14:paraId="5593EB5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shd w:val="clear" w:color="auto" w:fill="auto"/>
            <w:vAlign w:val="center"/>
          </w:tcPr>
          <w:p w14:paraId="00ECFDF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tcMar>
              <w:left w:w="11" w:type="dxa"/>
              <w:right w:w="11" w:type="dxa"/>
            </w:tcMar>
            <w:vAlign w:val="center"/>
          </w:tcPr>
          <w:p w14:paraId="426CDFB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shd w:val="clear" w:color="auto" w:fill="auto"/>
            <w:tcMar>
              <w:left w:w="11" w:type="dxa"/>
              <w:right w:w="11" w:type="dxa"/>
            </w:tcMar>
            <w:vAlign w:val="center"/>
          </w:tcPr>
          <w:p w14:paraId="0C2AE36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0A0007A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07B84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1C3BB81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restart"/>
            <w:tcMar>
              <w:left w:w="11" w:type="dxa"/>
              <w:right w:w="11" w:type="dxa"/>
            </w:tcMar>
            <w:vAlign w:val="center"/>
          </w:tcPr>
          <w:p w14:paraId="0C8BE19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cs="Times New Roman"/>
                <w:color w:val="auto"/>
                <w:sz w:val="21"/>
                <w:highlight w:val="none"/>
                <w:lang w:val="en-US" w:eastAsia="zh-CN"/>
              </w:rPr>
              <w:t>魏岗原油应急</w:t>
            </w:r>
            <w:r>
              <w:rPr>
                <w:rFonts w:hint="default" w:ascii="Times New Roman" w:hAnsi="Times New Roman" w:eastAsia="宋体" w:cs="Times New Roman"/>
                <w:color w:val="auto"/>
                <w:sz w:val="21"/>
                <w:highlight w:val="none"/>
                <w:lang w:val="en-US" w:eastAsia="zh-CN"/>
              </w:rPr>
              <w:t>装车站</w:t>
            </w:r>
          </w:p>
        </w:tc>
        <w:tc>
          <w:tcPr>
            <w:tcW w:w="963" w:type="pct"/>
            <w:vMerge w:val="restart"/>
            <w:shd w:val="clear" w:color="auto" w:fill="auto"/>
            <w:vAlign w:val="center"/>
          </w:tcPr>
          <w:p w14:paraId="085CB92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原油装车站雨水排放口</w:t>
            </w:r>
          </w:p>
        </w:tc>
        <w:tc>
          <w:tcPr>
            <w:tcW w:w="963" w:type="pct"/>
            <w:vMerge w:val="restart"/>
            <w:shd w:val="clear" w:color="auto" w:fill="auto"/>
            <w:vAlign w:val="center"/>
          </w:tcPr>
          <w:p w14:paraId="4EF1608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112°35′10.00″，</w:t>
            </w:r>
          </w:p>
          <w:p w14:paraId="5330531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32°40′27.01″</w:t>
            </w:r>
          </w:p>
        </w:tc>
        <w:tc>
          <w:tcPr>
            <w:tcW w:w="963" w:type="pct"/>
            <w:vMerge w:val="restart"/>
            <w:tcMar>
              <w:left w:w="11" w:type="dxa"/>
              <w:right w:w="11" w:type="dxa"/>
            </w:tcMar>
            <w:vAlign w:val="center"/>
          </w:tcPr>
          <w:p w14:paraId="3942E6B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val="en-US" w:eastAsia="zh-CN"/>
              </w:rPr>
              <w:t>/</w:t>
            </w:r>
          </w:p>
        </w:tc>
        <w:tc>
          <w:tcPr>
            <w:tcW w:w="559" w:type="pct"/>
            <w:shd w:val="clear" w:color="auto" w:fill="auto"/>
            <w:tcMar>
              <w:left w:w="11" w:type="dxa"/>
              <w:right w:w="11" w:type="dxa"/>
            </w:tcMar>
            <w:vAlign w:val="center"/>
          </w:tcPr>
          <w:p w14:paraId="4CD93C0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4D8303E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3864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2EA615E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1576D66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963" w:type="pct"/>
            <w:vMerge w:val="continue"/>
            <w:shd w:val="clear" w:color="auto" w:fill="auto"/>
            <w:vAlign w:val="center"/>
          </w:tcPr>
          <w:p w14:paraId="70B3320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shd w:val="clear" w:color="auto" w:fill="auto"/>
            <w:vAlign w:val="center"/>
          </w:tcPr>
          <w:p w14:paraId="5843B29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tcMar>
              <w:left w:w="11" w:type="dxa"/>
              <w:right w:w="11" w:type="dxa"/>
            </w:tcMar>
            <w:vAlign w:val="center"/>
          </w:tcPr>
          <w:p w14:paraId="465D00D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shd w:val="clear" w:color="auto" w:fill="auto"/>
            <w:tcMar>
              <w:left w:w="11" w:type="dxa"/>
              <w:right w:w="11" w:type="dxa"/>
            </w:tcMar>
            <w:vAlign w:val="center"/>
          </w:tcPr>
          <w:p w14:paraId="7E5C033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3F54265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34CD8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6D469A8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restart"/>
            <w:tcMar>
              <w:left w:w="11" w:type="dxa"/>
              <w:right w:w="11" w:type="dxa"/>
            </w:tcMar>
            <w:vAlign w:val="center"/>
          </w:tcPr>
          <w:p w14:paraId="77F71D5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下二门联合站</w:t>
            </w:r>
          </w:p>
        </w:tc>
        <w:tc>
          <w:tcPr>
            <w:tcW w:w="963" w:type="pct"/>
            <w:vMerge w:val="restart"/>
            <w:shd w:val="clear" w:color="auto" w:fill="auto"/>
            <w:vAlign w:val="center"/>
          </w:tcPr>
          <w:p w14:paraId="77F7C81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雨水排放口1</w:t>
            </w:r>
          </w:p>
        </w:tc>
        <w:tc>
          <w:tcPr>
            <w:tcW w:w="963" w:type="pct"/>
            <w:vMerge w:val="restart"/>
            <w:shd w:val="clear" w:color="auto" w:fill="auto"/>
            <w:vAlign w:val="center"/>
          </w:tcPr>
          <w:p w14:paraId="6E5F6BD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113°13′7.03″，</w:t>
            </w:r>
          </w:p>
          <w:p w14:paraId="61EC70F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32°36′37.62″</w:t>
            </w:r>
          </w:p>
        </w:tc>
        <w:tc>
          <w:tcPr>
            <w:tcW w:w="963" w:type="pct"/>
            <w:vMerge w:val="restart"/>
            <w:tcMar>
              <w:left w:w="11" w:type="dxa"/>
              <w:right w:w="11" w:type="dxa"/>
            </w:tcMar>
            <w:vAlign w:val="center"/>
          </w:tcPr>
          <w:p w14:paraId="3AF2788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eastAsia="zh-CN"/>
              </w:rPr>
            </w:pPr>
            <w:r>
              <w:rPr>
                <w:rFonts w:hint="default" w:ascii="Times New Roman" w:hAnsi="Times New Roman" w:eastAsia="宋体" w:cs="Times New Roman"/>
                <w:color w:val="auto"/>
                <w:sz w:val="21"/>
                <w:highlight w:val="none"/>
                <w:lang w:val="en-US" w:eastAsia="zh-CN"/>
              </w:rPr>
              <w:t>/</w:t>
            </w:r>
          </w:p>
        </w:tc>
        <w:tc>
          <w:tcPr>
            <w:tcW w:w="559" w:type="pct"/>
            <w:shd w:val="clear" w:color="auto" w:fill="auto"/>
            <w:tcMar>
              <w:left w:w="11" w:type="dxa"/>
              <w:right w:w="11" w:type="dxa"/>
            </w:tcMar>
            <w:vAlign w:val="center"/>
          </w:tcPr>
          <w:p w14:paraId="50E694E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54C4FA6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02C5A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004D28D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2D9341C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shd w:val="clear" w:color="auto" w:fill="auto"/>
            <w:vAlign w:val="center"/>
          </w:tcPr>
          <w:p w14:paraId="26F4AB2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shd w:val="clear" w:color="auto" w:fill="auto"/>
            <w:vAlign w:val="center"/>
          </w:tcPr>
          <w:p w14:paraId="47F8450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tcMar>
              <w:left w:w="11" w:type="dxa"/>
              <w:right w:w="11" w:type="dxa"/>
            </w:tcMar>
            <w:vAlign w:val="center"/>
          </w:tcPr>
          <w:p w14:paraId="18A0B5F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shd w:val="clear" w:color="auto" w:fill="auto"/>
            <w:tcMar>
              <w:left w:w="11" w:type="dxa"/>
              <w:right w:w="11" w:type="dxa"/>
            </w:tcMar>
            <w:vAlign w:val="center"/>
          </w:tcPr>
          <w:p w14:paraId="6B55083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01F5D63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385BAF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280" w:type="pct"/>
            <w:vMerge w:val="continue"/>
            <w:tcMar>
              <w:left w:w="11" w:type="dxa"/>
              <w:right w:w="11" w:type="dxa"/>
            </w:tcMar>
            <w:vAlign w:val="center"/>
          </w:tcPr>
          <w:p w14:paraId="3D5C128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6066105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restart"/>
            <w:shd w:val="clear" w:color="auto" w:fill="auto"/>
            <w:vAlign w:val="center"/>
          </w:tcPr>
          <w:p w14:paraId="3626ED4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雨水排放口2</w:t>
            </w:r>
          </w:p>
        </w:tc>
        <w:tc>
          <w:tcPr>
            <w:tcW w:w="963" w:type="pct"/>
            <w:vMerge w:val="restart"/>
            <w:shd w:val="clear" w:color="auto" w:fill="auto"/>
            <w:vAlign w:val="center"/>
          </w:tcPr>
          <w:p w14:paraId="3A47EA7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113°13′1.38″，</w:t>
            </w:r>
          </w:p>
          <w:p w14:paraId="04DD98A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32°36′28.48″</w:t>
            </w:r>
          </w:p>
        </w:tc>
        <w:tc>
          <w:tcPr>
            <w:tcW w:w="963" w:type="pct"/>
            <w:vMerge w:val="restart"/>
            <w:tcMar>
              <w:left w:w="11" w:type="dxa"/>
              <w:right w:w="11" w:type="dxa"/>
            </w:tcMar>
            <w:vAlign w:val="center"/>
          </w:tcPr>
          <w:p w14:paraId="3A92652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w:t>
            </w:r>
          </w:p>
        </w:tc>
        <w:tc>
          <w:tcPr>
            <w:tcW w:w="559" w:type="pct"/>
            <w:shd w:val="clear" w:color="auto" w:fill="auto"/>
            <w:tcMar>
              <w:left w:w="11" w:type="dxa"/>
              <w:right w:w="11" w:type="dxa"/>
            </w:tcMar>
            <w:vAlign w:val="center"/>
          </w:tcPr>
          <w:p w14:paraId="24194F1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rPr>
              <w:t>化学需氧量</w:t>
            </w:r>
          </w:p>
        </w:tc>
        <w:tc>
          <w:tcPr>
            <w:tcW w:w="855" w:type="pct"/>
            <w:vMerge w:val="restart"/>
            <w:tcMar>
              <w:left w:w="11" w:type="dxa"/>
              <w:right w:w="11" w:type="dxa"/>
            </w:tcMar>
            <w:vAlign w:val="center"/>
          </w:tcPr>
          <w:p w14:paraId="6250227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1次/季度</w:t>
            </w:r>
          </w:p>
        </w:tc>
      </w:tr>
      <w:tr w14:paraId="18C44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tcMar>
              <w:left w:w="11" w:type="dxa"/>
              <w:right w:w="11" w:type="dxa"/>
            </w:tcMar>
            <w:vAlign w:val="center"/>
          </w:tcPr>
          <w:p w14:paraId="6B3C32E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tcMar>
              <w:left w:w="11" w:type="dxa"/>
              <w:right w:w="11" w:type="dxa"/>
            </w:tcMar>
            <w:vAlign w:val="center"/>
          </w:tcPr>
          <w:p w14:paraId="0055A8C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shd w:val="clear" w:color="auto" w:fill="auto"/>
            <w:vAlign w:val="center"/>
          </w:tcPr>
          <w:p w14:paraId="7892413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shd w:val="clear" w:color="auto" w:fill="auto"/>
            <w:vAlign w:val="center"/>
          </w:tcPr>
          <w:p w14:paraId="6F7D1B0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tcMar>
              <w:left w:w="11" w:type="dxa"/>
              <w:right w:w="11" w:type="dxa"/>
            </w:tcMar>
            <w:vAlign w:val="center"/>
          </w:tcPr>
          <w:p w14:paraId="74393B8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559" w:type="pct"/>
            <w:shd w:val="clear" w:color="auto" w:fill="auto"/>
            <w:tcMar>
              <w:left w:w="11" w:type="dxa"/>
              <w:right w:w="11" w:type="dxa"/>
            </w:tcMar>
            <w:vAlign w:val="center"/>
          </w:tcPr>
          <w:p w14:paraId="4607476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石油类</w:t>
            </w:r>
          </w:p>
        </w:tc>
        <w:tc>
          <w:tcPr>
            <w:tcW w:w="855" w:type="pct"/>
            <w:vMerge w:val="continue"/>
            <w:tcMar>
              <w:left w:w="11" w:type="dxa"/>
              <w:right w:w="11" w:type="dxa"/>
            </w:tcMar>
            <w:vAlign w:val="center"/>
          </w:tcPr>
          <w:p w14:paraId="6F98E4F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r>
      <w:tr w14:paraId="0DD0A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9" w:hRule="atLeast"/>
          <w:jc w:val="center"/>
        </w:trPr>
        <w:tc>
          <w:tcPr>
            <w:tcW w:w="280" w:type="pct"/>
            <w:vMerge w:val="restart"/>
            <w:vAlign w:val="center"/>
          </w:tcPr>
          <w:p w14:paraId="70A68CB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生活污水</w:t>
            </w:r>
          </w:p>
        </w:tc>
        <w:tc>
          <w:tcPr>
            <w:tcW w:w="414" w:type="pct"/>
            <w:vMerge w:val="restart"/>
            <w:vAlign w:val="center"/>
          </w:tcPr>
          <w:p w14:paraId="00853B0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下二门</w:t>
            </w:r>
            <w:r>
              <w:rPr>
                <w:rFonts w:hint="default" w:ascii="Times New Roman" w:hAnsi="Times New Roman" w:cs="Times New Roman"/>
                <w:color w:val="auto"/>
                <w:sz w:val="21"/>
                <w:highlight w:val="none"/>
                <w:lang w:val="en-US" w:eastAsia="zh-CN"/>
              </w:rPr>
              <w:t>巡检站</w:t>
            </w:r>
            <w:r>
              <w:rPr>
                <w:rFonts w:hint="default" w:ascii="Times New Roman" w:hAnsi="Times New Roman" w:eastAsia="宋体" w:cs="Times New Roman"/>
                <w:color w:val="auto"/>
                <w:sz w:val="21"/>
                <w:highlight w:val="none"/>
                <w:lang w:val="en-US" w:eastAsia="zh-CN"/>
              </w:rPr>
              <w:t>区</w:t>
            </w:r>
          </w:p>
        </w:tc>
        <w:tc>
          <w:tcPr>
            <w:tcW w:w="963" w:type="pct"/>
            <w:vMerge w:val="restart"/>
            <w:vAlign w:val="center"/>
          </w:tcPr>
          <w:p w14:paraId="43D130A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rPr>
            </w:pPr>
            <w:r>
              <w:rPr>
                <w:rFonts w:hint="default" w:ascii="Times New Roman" w:hAnsi="Times New Roman" w:eastAsia="宋体" w:cs="Times New Roman"/>
                <w:color w:val="auto"/>
                <w:sz w:val="21"/>
                <w:highlight w:val="none"/>
                <w:lang w:val="en-US" w:eastAsia="zh-CN"/>
              </w:rPr>
              <w:t>下二门</w:t>
            </w:r>
            <w:r>
              <w:rPr>
                <w:rFonts w:hint="eastAsia" w:cs="Times New Roman"/>
                <w:color w:val="auto"/>
                <w:sz w:val="21"/>
                <w:highlight w:val="none"/>
                <w:lang w:val="en-US" w:eastAsia="zh-CN"/>
              </w:rPr>
              <w:t>采油</w:t>
            </w:r>
            <w:r>
              <w:rPr>
                <w:rFonts w:hint="default" w:ascii="Times New Roman" w:hAnsi="Times New Roman" w:cs="Times New Roman"/>
                <w:color w:val="auto"/>
                <w:sz w:val="21"/>
                <w:highlight w:val="none"/>
                <w:lang w:val="en-US" w:eastAsia="zh-CN"/>
              </w:rPr>
              <w:t>站</w:t>
            </w:r>
            <w:r>
              <w:rPr>
                <w:rFonts w:hint="default" w:ascii="Times New Roman" w:hAnsi="Times New Roman" w:eastAsia="宋体" w:cs="Times New Roman"/>
                <w:color w:val="auto"/>
                <w:sz w:val="21"/>
                <w:highlight w:val="none"/>
                <w:lang w:val="en-US" w:eastAsia="zh-CN"/>
              </w:rPr>
              <w:t>区生活污水排放口</w:t>
            </w:r>
          </w:p>
        </w:tc>
        <w:tc>
          <w:tcPr>
            <w:tcW w:w="963" w:type="pct"/>
            <w:vMerge w:val="restart"/>
            <w:vAlign w:val="center"/>
          </w:tcPr>
          <w:p w14:paraId="3B55FDD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bCs/>
                <w:color w:val="auto"/>
                <w:sz w:val="21"/>
                <w:szCs w:val="21"/>
                <w:highlight w:val="none"/>
                <w:lang w:val="en-US" w:eastAsia="zh-CN" w:bidi="ar-SA"/>
              </w:rPr>
              <w:t>113°13′20.50″，</w:t>
            </w:r>
          </w:p>
          <w:p w14:paraId="49209DB4">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bCs/>
                <w:color w:val="auto"/>
                <w:sz w:val="21"/>
                <w:szCs w:val="21"/>
                <w:highlight w:val="none"/>
                <w:lang w:val="en-US" w:eastAsia="zh-CN" w:bidi="ar-SA"/>
              </w:rPr>
              <w:t>32°36′28.58″</w:t>
            </w:r>
          </w:p>
        </w:tc>
        <w:tc>
          <w:tcPr>
            <w:tcW w:w="963" w:type="pct"/>
            <w:vMerge w:val="restart"/>
            <w:vAlign w:val="center"/>
          </w:tcPr>
          <w:p w14:paraId="663B5FB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lang w:val="en-US" w:eastAsia="zh-CN"/>
              </w:rPr>
              <w:t>《城镇污水处理厂污染物排放标准》GB18918-2002</w:t>
            </w:r>
          </w:p>
        </w:tc>
        <w:tc>
          <w:tcPr>
            <w:tcW w:w="0" w:type="auto"/>
            <w:shd w:val="clear" w:color="auto" w:fill="auto"/>
            <w:vAlign w:val="center"/>
          </w:tcPr>
          <w:p w14:paraId="011FE10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lang w:val="en-US" w:eastAsia="zh-CN"/>
              </w:rPr>
              <w:t>pH值</w:t>
            </w:r>
          </w:p>
        </w:tc>
        <w:tc>
          <w:tcPr>
            <w:tcW w:w="0" w:type="auto"/>
            <w:shd w:val="clear" w:color="auto" w:fill="auto"/>
            <w:vAlign w:val="center"/>
          </w:tcPr>
          <w:p w14:paraId="57335E9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1次/半年</w:t>
            </w:r>
          </w:p>
        </w:tc>
      </w:tr>
      <w:tr w14:paraId="5619DF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1E2C103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6301B61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27FC14C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26D4EF3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67EB207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7617B31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悬浮物</w:t>
            </w:r>
          </w:p>
        </w:tc>
        <w:tc>
          <w:tcPr>
            <w:tcW w:w="0" w:type="auto"/>
            <w:shd w:val="clear" w:color="auto" w:fill="auto"/>
            <w:vAlign w:val="center"/>
          </w:tcPr>
          <w:p w14:paraId="310B04E4">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eastAsia" w:cs="Times New Roman"/>
                <w:color w:val="auto"/>
                <w:sz w:val="21"/>
                <w:highlight w:val="none"/>
                <w:lang w:val="en-US" w:eastAsia="zh-CN"/>
              </w:rPr>
              <w:t>1次/半年</w:t>
            </w:r>
          </w:p>
        </w:tc>
      </w:tr>
      <w:tr w14:paraId="22F044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5ECC032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2C71147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6943D9E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1E3B42D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58A7B55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53B4E05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总磷</w:t>
            </w:r>
          </w:p>
        </w:tc>
        <w:tc>
          <w:tcPr>
            <w:tcW w:w="0" w:type="auto"/>
            <w:shd w:val="clear" w:color="auto" w:fill="auto"/>
            <w:vAlign w:val="center"/>
          </w:tcPr>
          <w:p w14:paraId="65514708">
            <w:pPr>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eastAsia" w:cs="Times New Roman"/>
                <w:color w:val="auto"/>
                <w:sz w:val="21"/>
                <w:highlight w:val="none"/>
                <w:lang w:val="en-US" w:eastAsia="zh-CN"/>
              </w:rPr>
              <w:t>1次/半年</w:t>
            </w:r>
          </w:p>
        </w:tc>
      </w:tr>
      <w:tr w14:paraId="65378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448C994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1E0D2A2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4E287C7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062E46F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797696A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6649B8B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总氮</w:t>
            </w:r>
          </w:p>
        </w:tc>
        <w:tc>
          <w:tcPr>
            <w:tcW w:w="0" w:type="auto"/>
            <w:shd w:val="clear" w:color="auto" w:fill="auto"/>
            <w:vAlign w:val="center"/>
          </w:tcPr>
          <w:p w14:paraId="6B31EED3">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eastAsia" w:cs="Times New Roman"/>
                <w:color w:val="auto"/>
                <w:sz w:val="21"/>
                <w:highlight w:val="none"/>
                <w:lang w:val="en-US" w:eastAsia="zh-CN"/>
              </w:rPr>
              <w:t>1次/半年</w:t>
            </w:r>
          </w:p>
        </w:tc>
      </w:tr>
      <w:tr w14:paraId="18F83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3D49C01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5C5A548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5FDBA45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7576D41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213DF3E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0A028A1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五日生化需氧量</w:t>
            </w:r>
          </w:p>
        </w:tc>
        <w:tc>
          <w:tcPr>
            <w:tcW w:w="0" w:type="auto"/>
            <w:shd w:val="clear" w:color="auto" w:fill="auto"/>
            <w:vAlign w:val="center"/>
          </w:tcPr>
          <w:p w14:paraId="59E2486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eastAsia" w:cs="Times New Roman"/>
                <w:color w:val="auto"/>
                <w:sz w:val="21"/>
                <w:highlight w:val="none"/>
                <w:lang w:val="en-US" w:eastAsia="zh-CN"/>
              </w:rPr>
              <w:t>1次/半年</w:t>
            </w:r>
          </w:p>
        </w:tc>
      </w:tr>
      <w:tr w14:paraId="6B8B3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492F41D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480AE23A">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5CBA89C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38E65A56">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2A618FB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5F22268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石油类</w:t>
            </w:r>
          </w:p>
        </w:tc>
        <w:tc>
          <w:tcPr>
            <w:tcW w:w="0" w:type="auto"/>
            <w:shd w:val="clear" w:color="auto" w:fill="auto"/>
            <w:vAlign w:val="center"/>
          </w:tcPr>
          <w:p w14:paraId="48062E91">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r>
              <w:rPr>
                <w:rFonts w:hint="eastAsia" w:cs="Times New Roman"/>
                <w:color w:val="auto"/>
                <w:sz w:val="21"/>
                <w:highlight w:val="none"/>
                <w:lang w:val="en-US" w:eastAsia="zh-CN"/>
              </w:rPr>
              <w:t>1次/半年</w:t>
            </w:r>
          </w:p>
        </w:tc>
      </w:tr>
      <w:tr w14:paraId="65EE2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3AB7909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078F6EE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6DA8A7C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2606FAF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3BCEE7A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34DFA66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化学需氧量</w:t>
            </w:r>
          </w:p>
        </w:tc>
        <w:tc>
          <w:tcPr>
            <w:tcW w:w="0" w:type="auto"/>
            <w:shd w:val="clear" w:color="auto" w:fill="auto"/>
            <w:vAlign w:val="center"/>
          </w:tcPr>
          <w:p w14:paraId="02DE044D">
            <w:pPr>
              <w:keepNext w:val="0"/>
              <w:keepLines w:val="0"/>
              <w:pageBreakBefore w:val="0"/>
              <w:kinsoku/>
              <w:wordWrap/>
              <w:overflowPunct/>
              <w:topLinePunct w:val="0"/>
              <w:autoSpaceDE/>
              <w:autoSpaceDN/>
              <w:bidi w:val="0"/>
              <w:spacing w:line="240" w:lineRule="auto"/>
              <w:ind w:firstLine="420" w:firstLineChars="20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1次/月</w:t>
            </w:r>
          </w:p>
        </w:tc>
      </w:tr>
      <w:tr w14:paraId="694BF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786AB89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15CA9F42">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5C34BD2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6D8D2D0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00CAB868">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7FAD93F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氨氮</w:t>
            </w:r>
          </w:p>
        </w:tc>
        <w:tc>
          <w:tcPr>
            <w:tcW w:w="0" w:type="auto"/>
            <w:shd w:val="clear" w:color="auto" w:fill="auto"/>
            <w:vAlign w:val="center"/>
          </w:tcPr>
          <w:p w14:paraId="41BA584B">
            <w:pPr>
              <w:keepNext w:val="0"/>
              <w:keepLines w:val="0"/>
              <w:pageBreakBefore w:val="0"/>
              <w:kinsoku/>
              <w:wordWrap/>
              <w:overflowPunct/>
              <w:topLinePunct w:val="0"/>
              <w:autoSpaceDE/>
              <w:autoSpaceDN/>
              <w:bidi w:val="0"/>
              <w:spacing w:line="240" w:lineRule="auto"/>
              <w:ind w:firstLine="420" w:firstLineChars="200"/>
              <w:jc w:val="center"/>
              <w:textAlignment w:val="auto"/>
              <w:rPr>
                <w:rFonts w:hint="default" w:ascii="Times New Roman" w:hAnsi="Times New Roman" w:eastAsia="宋体" w:cs="Times New Roman"/>
                <w:color w:val="auto"/>
                <w:sz w:val="21"/>
                <w:highlight w:val="none"/>
              </w:rPr>
            </w:pPr>
            <w:r>
              <w:rPr>
                <w:rFonts w:hint="default" w:ascii="Times New Roman" w:hAnsi="Times New Roman" w:eastAsia="宋体" w:cs="Times New Roman"/>
                <w:color w:val="auto"/>
                <w:sz w:val="21"/>
                <w:highlight w:val="none"/>
              </w:rPr>
              <w:t>1次/月</w:t>
            </w:r>
          </w:p>
        </w:tc>
      </w:tr>
      <w:tr w14:paraId="2F828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7" w:hRule="atLeast"/>
          <w:jc w:val="center"/>
        </w:trPr>
        <w:tc>
          <w:tcPr>
            <w:tcW w:w="280" w:type="pct"/>
            <w:vMerge w:val="continue"/>
            <w:vAlign w:val="center"/>
          </w:tcPr>
          <w:p w14:paraId="773224E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rPr>
            </w:pPr>
          </w:p>
        </w:tc>
        <w:tc>
          <w:tcPr>
            <w:tcW w:w="414" w:type="pct"/>
            <w:vMerge w:val="continue"/>
            <w:vAlign w:val="center"/>
          </w:tcPr>
          <w:p w14:paraId="224EAE9B">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71ACA84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963" w:type="pct"/>
            <w:vMerge w:val="continue"/>
            <w:vAlign w:val="center"/>
          </w:tcPr>
          <w:p w14:paraId="4CAE2D0D">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p>
        </w:tc>
        <w:tc>
          <w:tcPr>
            <w:tcW w:w="963" w:type="pct"/>
            <w:vMerge w:val="continue"/>
            <w:vAlign w:val="center"/>
          </w:tcPr>
          <w:p w14:paraId="6652F8D7">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p>
        </w:tc>
        <w:tc>
          <w:tcPr>
            <w:tcW w:w="0" w:type="auto"/>
            <w:shd w:val="clear" w:color="auto" w:fill="auto"/>
            <w:vAlign w:val="center"/>
          </w:tcPr>
          <w:p w14:paraId="25B93D5E">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color w:val="auto"/>
                <w:sz w:val="21"/>
                <w:highlight w:val="none"/>
                <w:lang w:val="en-US" w:eastAsia="zh-CN"/>
              </w:rPr>
            </w:pPr>
            <w:r>
              <w:rPr>
                <w:rFonts w:hint="eastAsia" w:cs="Times New Roman"/>
                <w:color w:val="auto"/>
                <w:sz w:val="21"/>
                <w:highlight w:val="none"/>
                <w:lang w:val="en-US" w:eastAsia="zh-CN"/>
              </w:rPr>
              <w:t>流量</w:t>
            </w:r>
          </w:p>
        </w:tc>
        <w:tc>
          <w:tcPr>
            <w:tcW w:w="0" w:type="auto"/>
            <w:shd w:val="clear" w:color="auto" w:fill="auto"/>
            <w:vAlign w:val="center"/>
          </w:tcPr>
          <w:p w14:paraId="7F1FE463">
            <w:pPr>
              <w:keepNext w:val="0"/>
              <w:keepLines w:val="0"/>
              <w:pageBreakBefore w:val="0"/>
              <w:kinsoku/>
              <w:wordWrap/>
              <w:overflowPunct/>
              <w:topLinePunct w:val="0"/>
              <w:autoSpaceDE/>
              <w:autoSpaceDN/>
              <w:bidi w:val="0"/>
              <w:spacing w:line="240" w:lineRule="auto"/>
              <w:ind w:firstLine="420" w:firstLineChars="200"/>
              <w:jc w:val="center"/>
              <w:textAlignment w:val="auto"/>
              <w:rPr>
                <w:rFonts w:hint="default" w:ascii="Times New Roman" w:hAnsi="Times New Roman" w:eastAsia="宋体" w:cs="Times New Roman"/>
                <w:color w:val="auto"/>
                <w:sz w:val="21"/>
                <w:highlight w:val="none"/>
                <w:lang w:val="en-US" w:eastAsia="zh-CN"/>
              </w:rPr>
            </w:pPr>
            <w:r>
              <w:rPr>
                <w:rFonts w:hint="default" w:ascii="Times New Roman" w:hAnsi="Times New Roman" w:eastAsia="宋体" w:cs="Times New Roman"/>
                <w:color w:val="auto"/>
                <w:sz w:val="21"/>
                <w:highlight w:val="none"/>
              </w:rPr>
              <w:t>1次/月</w:t>
            </w:r>
          </w:p>
        </w:tc>
      </w:tr>
    </w:tbl>
    <w:p w14:paraId="538961E4">
      <w:pPr>
        <w:ind w:firstLine="480"/>
        <w:rPr>
          <w:rFonts w:hint="default" w:ascii="Times New Roman" w:hAnsi="Times New Roman" w:cs="Times New Roman"/>
          <w:color w:val="000000"/>
        </w:rPr>
      </w:pPr>
    </w:p>
    <w:p w14:paraId="55D89B47">
      <w:pPr>
        <w:pStyle w:val="96"/>
        <w:spacing w:before="156"/>
        <w:jc w:val="both"/>
        <w:rPr>
          <w:rFonts w:hint="default" w:ascii="Times New Roman" w:hAnsi="Times New Roman" w:cs="Times New Roman"/>
          <w:color w:val="000000"/>
          <w:highlight w:val="yellow"/>
        </w:rPr>
      </w:pPr>
    </w:p>
    <w:p w14:paraId="41144B4D">
      <w:pPr>
        <w:ind w:firstLine="480"/>
        <w:rPr>
          <w:rFonts w:hint="default" w:ascii="Times New Roman" w:hAnsi="Times New Roman" w:cs="Times New Roman"/>
          <w:color w:val="000000"/>
        </w:rPr>
      </w:pPr>
      <w:r>
        <w:rPr>
          <w:rFonts w:hint="default" w:ascii="Times New Roman" w:hAnsi="Times New Roman" w:cs="Times New Roman"/>
          <w:color w:val="000000"/>
        </w:rPr>
        <w:t>（2）废水分析方法</w:t>
      </w:r>
    </w:p>
    <w:p w14:paraId="235C23A4">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14</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检测仪器及分析方法</w:t>
      </w:r>
    </w:p>
    <w:tbl>
      <w:tblPr>
        <w:tblStyle w:val="17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7"/>
        <w:gridCol w:w="4286"/>
        <w:gridCol w:w="4124"/>
        <w:gridCol w:w="1988"/>
        <w:gridCol w:w="1989"/>
      </w:tblGrid>
      <w:tr w14:paraId="43A00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20D01283">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污染物名称</w:t>
            </w:r>
          </w:p>
        </w:tc>
        <w:tc>
          <w:tcPr>
            <w:tcW w:w="1511" w:type="pct"/>
            <w:shd w:val="clear" w:color="auto" w:fill="auto"/>
            <w:vAlign w:val="center"/>
          </w:tcPr>
          <w:p w14:paraId="6962ED73">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检测仪器及编号</w:t>
            </w:r>
          </w:p>
        </w:tc>
        <w:tc>
          <w:tcPr>
            <w:tcW w:w="1454" w:type="pct"/>
            <w:shd w:val="clear" w:color="auto" w:fill="auto"/>
            <w:vAlign w:val="center"/>
          </w:tcPr>
          <w:p w14:paraId="133C4805">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分析方法及来源</w:t>
            </w:r>
          </w:p>
        </w:tc>
        <w:tc>
          <w:tcPr>
            <w:tcW w:w="701" w:type="pct"/>
            <w:vAlign w:val="center"/>
          </w:tcPr>
          <w:p w14:paraId="45C6EB66">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采样方法及个数</w:t>
            </w:r>
          </w:p>
        </w:tc>
        <w:tc>
          <w:tcPr>
            <w:tcW w:w="701" w:type="pct"/>
            <w:shd w:val="clear" w:color="auto" w:fill="auto"/>
            <w:vAlign w:val="center"/>
          </w:tcPr>
          <w:p w14:paraId="0AA3A93B">
            <w:pPr>
              <w:pStyle w:val="185"/>
              <w:rPr>
                <w:rFonts w:hint="default" w:ascii="Times New Roman" w:hAnsi="Times New Roman" w:eastAsia="Times New Roman" w:cs="Times New Roman"/>
                <w:color w:val="000000"/>
                <w:highlight w:val="none"/>
              </w:rPr>
            </w:pPr>
            <w:r>
              <w:rPr>
                <w:rFonts w:hint="default" w:ascii="Times New Roman" w:hAnsi="Times New Roman" w:eastAsia="Times New Roman" w:cs="Times New Roman"/>
                <w:color w:val="000000"/>
                <w:highlight w:val="none"/>
              </w:rPr>
              <w:t>检出限</w:t>
            </w:r>
          </w:p>
        </w:tc>
      </w:tr>
      <w:tr w14:paraId="5F919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6D0DC96C">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kern w:val="0"/>
                <w:highlight w:val="none"/>
              </w:rPr>
              <w:t>石油类</w:t>
            </w:r>
          </w:p>
        </w:tc>
        <w:tc>
          <w:tcPr>
            <w:tcW w:w="1511" w:type="pct"/>
            <w:shd w:val="clear" w:color="auto" w:fill="auto"/>
            <w:vAlign w:val="center"/>
          </w:tcPr>
          <w:p w14:paraId="44F521C8">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Times New Roman" w:cs="Times New Roman"/>
                <w:color w:val="auto"/>
                <w:highlight w:val="none"/>
              </w:rPr>
              <w:t>红外</w:t>
            </w:r>
            <w:r>
              <w:rPr>
                <w:rFonts w:hint="default" w:ascii="Times New Roman" w:hAnsi="Times New Roman" w:eastAsia="宋体" w:cs="Times New Roman"/>
                <w:color w:val="auto"/>
                <w:highlight w:val="none"/>
                <w:lang w:eastAsia="zh-CN"/>
              </w:rPr>
              <w:t>分光</w:t>
            </w:r>
            <w:r>
              <w:rPr>
                <w:rFonts w:hint="default" w:ascii="Times New Roman" w:hAnsi="Times New Roman" w:eastAsia="Times New Roman" w:cs="Times New Roman"/>
                <w:color w:val="auto"/>
                <w:highlight w:val="none"/>
              </w:rPr>
              <w:t>测油仪</w:t>
            </w:r>
            <w:r>
              <w:rPr>
                <w:rFonts w:hint="default" w:ascii="Times New Roman" w:hAnsi="Times New Roman" w:eastAsia="宋体" w:cs="Times New Roman"/>
                <w:color w:val="auto"/>
                <w:highlight w:val="none"/>
                <w:lang w:val="en-US" w:eastAsia="zh-CN"/>
              </w:rPr>
              <w:t>OIL510C</w:t>
            </w:r>
          </w:p>
        </w:tc>
        <w:tc>
          <w:tcPr>
            <w:tcW w:w="1454" w:type="pct"/>
            <w:shd w:val="clear" w:color="auto" w:fill="auto"/>
            <w:vAlign w:val="center"/>
          </w:tcPr>
          <w:p w14:paraId="0B1DBEB7">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石油类和动植物油类的测定</w:t>
            </w:r>
            <w:r>
              <w:rPr>
                <w:rFonts w:hint="default" w:ascii="Times New Roman" w:hAnsi="Times New Roman" w:eastAsia="Times New Roman" w:cs="Times New Roman"/>
                <w:color w:val="auto"/>
                <w:highlight w:val="none"/>
              </w:rPr>
              <w:t>红外分光光度法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rPr>
              <w:t>HJ 637-2018</w:t>
            </w:r>
          </w:p>
        </w:tc>
        <w:tc>
          <w:tcPr>
            <w:tcW w:w="701" w:type="pct"/>
            <w:vMerge w:val="restart"/>
          </w:tcPr>
          <w:p w14:paraId="1B186041">
            <w:pPr>
              <w:pStyle w:val="185"/>
              <w:rPr>
                <w:rFonts w:hint="default" w:ascii="Times New Roman" w:hAnsi="Times New Roman" w:eastAsia="Times New Roman" w:cs="Times New Roman"/>
                <w:color w:val="auto"/>
                <w:kern w:val="0"/>
                <w:highlight w:val="none"/>
              </w:rPr>
            </w:pPr>
            <w:r>
              <w:rPr>
                <w:rFonts w:hint="eastAsia" w:hAnsi="宋体" w:eastAsia="Times New Roman" w:cs="宋体"/>
                <w:color w:val="auto"/>
                <w:highlight w:val="none"/>
              </w:rPr>
              <w:t>瞬时采样至少</w:t>
            </w:r>
            <w:r>
              <w:rPr>
                <w:rFonts w:hint="eastAsia" w:hAnsi="宋体" w:eastAsia="Times New Roman"/>
                <w:color w:val="auto"/>
                <w:highlight w:val="none"/>
              </w:rPr>
              <w:t>3</w:t>
            </w:r>
            <w:r>
              <w:rPr>
                <w:rFonts w:hint="eastAsia" w:hAnsi="宋体" w:eastAsia="Times New Roman" w:cs="宋体"/>
                <w:color w:val="auto"/>
                <w:highlight w:val="none"/>
              </w:rPr>
              <w:t>个瞬时样</w:t>
            </w:r>
          </w:p>
        </w:tc>
        <w:tc>
          <w:tcPr>
            <w:tcW w:w="701" w:type="pct"/>
            <w:shd w:val="clear" w:color="auto" w:fill="auto"/>
            <w:vAlign w:val="center"/>
          </w:tcPr>
          <w:p w14:paraId="0F2A29C8">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kern w:val="0"/>
                <w:highlight w:val="none"/>
              </w:rPr>
              <w:t>0.06mg/L</w:t>
            </w:r>
          </w:p>
        </w:tc>
      </w:tr>
      <w:tr w14:paraId="4D7C5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6EC453A9">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化学需氧量</w:t>
            </w:r>
          </w:p>
        </w:tc>
        <w:tc>
          <w:tcPr>
            <w:tcW w:w="1511" w:type="pct"/>
            <w:shd w:val="clear" w:color="auto" w:fill="auto"/>
            <w:vAlign w:val="center"/>
          </w:tcPr>
          <w:p w14:paraId="7CCA5BB9">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KN-COD20快速测定仪</w:t>
            </w:r>
          </w:p>
        </w:tc>
        <w:tc>
          <w:tcPr>
            <w:tcW w:w="1454" w:type="pct"/>
            <w:shd w:val="clear" w:color="auto" w:fill="auto"/>
            <w:vAlign w:val="center"/>
          </w:tcPr>
          <w:p w14:paraId="4D2D73D8">
            <w:pPr>
              <w:pStyle w:val="185"/>
              <w:rPr>
                <w:rFonts w:hint="eastAsia" w:ascii="Times New Roman" w:eastAsia="宋体" w:cs="Times New Roman"/>
                <w:color w:val="auto"/>
                <w:highlight w:val="none"/>
                <w:lang w:val="en-US" w:eastAsia="zh-CN"/>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 xml:space="preserve">化学需氧量的测定 </w:t>
            </w:r>
            <w:r>
              <w:rPr>
                <w:rFonts w:hint="default" w:ascii="Times New Roman" w:hAnsi="Times New Roman" w:eastAsia="Times New Roman" w:cs="Times New Roman"/>
                <w:color w:val="auto"/>
                <w:highlight w:val="none"/>
              </w:rPr>
              <w:t>重铬酸盐法</w:t>
            </w:r>
            <w:r>
              <w:rPr>
                <w:rFonts w:hint="eastAsia" w:ascii="Times New Roman" w:eastAsia="Times New Roman" w:cs="Times New Roman"/>
                <w:color w:val="auto"/>
                <w:highlight w:val="none"/>
                <w:lang w:val="en-US" w:eastAsia="zh-CN"/>
              </w:rPr>
              <w:t>》</w:t>
            </w:r>
            <w:r>
              <w:rPr>
                <w:rFonts w:hint="eastAsia" w:ascii="Times New Roman" w:eastAsia="宋体" w:cs="Times New Roman"/>
                <w:color w:val="auto"/>
                <w:highlight w:val="none"/>
                <w:lang w:val="en-US" w:eastAsia="zh-CN"/>
              </w:rPr>
              <w:t xml:space="preserve"> </w:t>
            </w:r>
          </w:p>
          <w:p w14:paraId="7A2DC69C">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Times New Roman" w:cs="Times New Roman"/>
                <w:color w:val="auto"/>
                <w:highlight w:val="none"/>
              </w:rPr>
              <w:t>HJ 828-201</w:t>
            </w:r>
            <w:r>
              <w:rPr>
                <w:rFonts w:hint="default" w:ascii="Times New Roman" w:hAnsi="Times New Roman" w:cs="Times New Roman"/>
                <w:color w:val="auto"/>
                <w:highlight w:val="none"/>
                <w:lang w:val="en-US" w:eastAsia="zh-CN"/>
              </w:rPr>
              <w:t>7</w:t>
            </w:r>
          </w:p>
        </w:tc>
        <w:tc>
          <w:tcPr>
            <w:tcW w:w="701" w:type="pct"/>
            <w:vMerge w:val="continue"/>
          </w:tcPr>
          <w:p w14:paraId="2DCC9C56">
            <w:pPr>
              <w:pStyle w:val="185"/>
              <w:rPr>
                <w:rFonts w:hint="default" w:ascii="Times New Roman" w:hAnsi="Times New Roman" w:eastAsia="Times New Roman" w:cs="Times New Roman"/>
                <w:color w:val="auto"/>
                <w:highlight w:val="none"/>
              </w:rPr>
            </w:pPr>
          </w:p>
        </w:tc>
        <w:tc>
          <w:tcPr>
            <w:tcW w:w="701" w:type="pct"/>
            <w:shd w:val="clear" w:color="auto" w:fill="auto"/>
            <w:vAlign w:val="center"/>
          </w:tcPr>
          <w:p w14:paraId="492938FF">
            <w:pPr>
              <w:pStyle w:val="185"/>
              <w:rPr>
                <w:rFonts w:hint="default" w:ascii="Times New Roman" w:hAnsi="Times New Roman" w:eastAsia="Times New Roman" w:cs="Times New Roman"/>
                <w:color w:val="auto"/>
                <w:highlight w:val="none"/>
              </w:rPr>
            </w:pPr>
            <w:r>
              <w:rPr>
                <w:rFonts w:hint="default" w:ascii="Times New Roman" w:hAnsi="Times New Roman" w:eastAsia="Times New Roman" w:cs="Times New Roman"/>
                <w:color w:val="auto"/>
                <w:highlight w:val="none"/>
              </w:rPr>
              <w:t>4mg/L</w:t>
            </w:r>
          </w:p>
        </w:tc>
      </w:tr>
      <w:tr w14:paraId="749B7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7" w:hRule="atLeast"/>
          <w:jc w:val="center"/>
        </w:trPr>
        <w:tc>
          <w:tcPr>
            <w:tcW w:w="630" w:type="pct"/>
            <w:shd w:val="clear" w:color="auto" w:fill="auto"/>
            <w:vAlign w:val="center"/>
          </w:tcPr>
          <w:p w14:paraId="3BCCE4C5">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pH值</w:t>
            </w:r>
          </w:p>
        </w:tc>
        <w:tc>
          <w:tcPr>
            <w:tcW w:w="1511" w:type="pct"/>
            <w:shd w:val="clear" w:color="auto" w:fill="auto"/>
            <w:vAlign w:val="center"/>
          </w:tcPr>
          <w:p w14:paraId="432EFB93">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eastAsia="zh-CN"/>
              </w:rPr>
              <w:t>便携式</w:t>
            </w:r>
            <w:r>
              <w:rPr>
                <w:rFonts w:hint="default" w:ascii="Times New Roman" w:hAnsi="Times New Roman" w:eastAsia="宋体" w:cs="Times New Roman"/>
                <w:color w:val="auto"/>
                <w:highlight w:val="none"/>
                <w:lang w:val="en-US" w:eastAsia="zh-CN"/>
              </w:rPr>
              <w:t>PH计bante221-ORP</w:t>
            </w:r>
          </w:p>
        </w:tc>
        <w:tc>
          <w:tcPr>
            <w:tcW w:w="1454" w:type="pct"/>
            <w:shd w:val="clear" w:color="auto" w:fill="auto"/>
            <w:vAlign w:val="center"/>
          </w:tcPr>
          <w:p w14:paraId="55EF1C8E">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pH值的测定电极法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 xml:space="preserve"> HJ1147-2020</w:t>
            </w:r>
          </w:p>
        </w:tc>
        <w:tc>
          <w:tcPr>
            <w:tcW w:w="701" w:type="pct"/>
          </w:tcPr>
          <w:p w14:paraId="7E5CF98F">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Times New Roman" w:hAnsi="Times New Roman" w:eastAsia="Times New Roman" w:cs="Times New Roman"/>
                <w:color w:val="auto"/>
                <w:highlight w:val="none"/>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151AFA3F">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w:t>
            </w:r>
          </w:p>
        </w:tc>
      </w:tr>
      <w:tr w14:paraId="38350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jc w:val="center"/>
        </w:trPr>
        <w:tc>
          <w:tcPr>
            <w:tcW w:w="630" w:type="pct"/>
            <w:shd w:val="clear" w:color="auto" w:fill="auto"/>
            <w:vAlign w:val="center"/>
          </w:tcPr>
          <w:p w14:paraId="5D46699C">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SS</w:t>
            </w:r>
          </w:p>
        </w:tc>
        <w:tc>
          <w:tcPr>
            <w:tcW w:w="1511" w:type="pct"/>
            <w:shd w:val="clear" w:color="auto" w:fill="auto"/>
            <w:vAlign w:val="center"/>
          </w:tcPr>
          <w:p w14:paraId="4575C24A">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电子天平ME204</w:t>
            </w:r>
          </w:p>
        </w:tc>
        <w:tc>
          <w:tcPr>
            <w:tcW w:w="1454" w:type="pct"/>
            <w:shd w:val="clear" w:color="auto" w:fill="auto"/>
            <w:vAlign w:val="center"/>
          </w:tcPr>
          <w:p w14:paraId="5BA896B8">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悬浮物的测定重量法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 xml:space="preserve"> GB11901-1989</w:t>
            </w:r>
          </w:p>
        </w:tc>
        <w:tc>
          <w:tcPr>
            <w:tcW w:w="701" w:type="pct"/>
          </w:tcPr>
          <w:p w14:paraId="087DCA59">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宋体" w:hAnsi="宋体" w:eastAsia="Times New Roman" w:cs="宋体"/>
                <w:color w:val="auto"/>
                <w:kern w:val="2"/>
                <w:sz w:val="21"/>
                <w:szCs w:val="21"/>
                <w:highlight w:val="none"/>
                <w:lang w:val="en-US" w:eastAsia="zh-CN" w:bidi="ar-SA"/>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51A7086C">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w:t>
            </w:r>
          </w:p>
        </w:tc>
      </w:tr>
      <w:tr w14:paraId="27D30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234500F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BOD</w:t>
            </w:r>
            <w:r>
              <w:rPr>
                <w:rFonts w:hint="default" w:ascii="Times New Roman" w:hAnsi="Times New Roman" w:eastAsia="宋体" w:cs="Times New Roman"/>
                <w:color w:val="auto"/>
                <w:sz w:val="21"/>
                <w:highlight w:val="none"/>
                <w:vertAlign w:val="subscript"/>
                <w:lang w:val="en-US" w:eastAsia="zh-CN"/>
              </w:rPr>
              <w:t>5</w:t>
            </w:r>
          </w:p>
        </w:tc>
        <w:tc>
          <w:tcPr>
            <w:tcW w:w="1511" w:type="pct"/>
            <w:shd w:val="clear" w:color="auto" w:fill="auto"/>
            <w:vAlign w:val="center"/>
          </w:tcPr>
          <w:p w14:paraId="4E596519">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val="en-US" w:eastAsia="zh-CN"/>
              </w:rPr>
              <w:t>酸式滴定管/生化培养箱BJPX-100</w:t>
            </w:r>
          </w:p>
        </w:tc>
        <w:tc>
          <w:tcPr>
            <w:tcW w:w="1454" w:type="pct"/>
            <w:shd w:val="clear" w:color="auto" w:fill="auto"/>
            <w:vAlign w:val="center"/>
          </w:tcPr>
          <w:p w14:paraId="6A6E323D">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五日生化需氧量（BOD</w:t>
            </w:r>
            <w:r>
              <w:rPr>
                <w:rFonts w:hint="default" w:ascii="Times New Roman" w:hAnsi="Times New Roman" w:eastAsia="Times New Roman" w:cs="Times New Roman"/>
                <w:color w:val="auto"/>
                <w:highlight w:val="none"/>
                <w:vertAlign w:val="subscript"/>
                <w:lang w:val="en-US" w:eastAsia="zh-CN"/>
              </w:rPr>
              <w:t>5</w:t>
            </w:r>
            <w:r>
              <w:rPr>
                <w:rFonts w:hint="default" w:ascii="Times New Roman" w:hAnsi="Times New Roman" w:eastAsia="Times New Roman" w:cs="Times New Roman"/>
                <w:color w:val="auto"/>
                <w:highlight w:val="none"/>
                <w:lang w:val="en-US" w:eastAsia="zh-CN"/>
              </w:rPr>
              <w:t>）的测定稀释与接种法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HJ505-2009</w:t>
            </w:r>
          </w:p>
        </w:tc>
        <w:tc>
          <w:tcPr>
            <w:tcW w:w="701" w:type="pct"/>
          </w:tcPr>
          <w:p w14:paraId="6D28B017">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宋体" w:hAnsi="宋体" w:eastAsia="Times New Roman" w:cs="宋体"/>
                <w:color w:val="auto"/>
                <w:kern w:val="2"/>
                <w:sz w:val="21"/>
                <w:szCs w:val="21"/>
                <w:highlight w:val="none"/>
                <w:lang w:val="en-US" w:eastAsia="zh-CN" w:bidi="ar-SA"/>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7D17E6D1">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0.5</w:t>
            </w:r>
            <w:r>
              <w:rPr>
                <w:rFonts w:hint="default" w:ascii="Times New Roman" w:hAnsi="Times New Roman" w:eastAsia="Times New Roman" w:cs="Times New Roman"/>
                <w:color w:val="auto"/>
                <w:highlight w:val="none"/>
              </w:rPr>
              <w:t>mg/L</w:t>
            </w:r>
          </w:p>
        </w:tc>
      </w:tr>
      <w:tr w14:paraId="54E17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4058C3D0">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TN</w:t>
            </w:r>
          </w:p>
        </w:tc>
        <w:tc>
          <w:tcPr>
            <w:tcW w:w="1511" w:type="pct"/>
            <w:shd w:val="clear" w:color="auto" w:fill="auto"/>
            <w:vAlign w:val="center"/>
          </w:tcPr>
          <w:p w14:paraId="2223D921">
            <w:pPr>
              <w:pStyle w:val="185"/>
              <w:rPr>
                <w:rFonts w:hint="default" w:ascii="Times New Roman" w:hAnsi="Times New Roman" w:eastAsia="宋体" w:cs="Times New Roman"/>
                <w:color w:val="auto"/>
                <w:highlight w:val="none"/>
                <w:lang w:val="en-US" w:eastAsia="zh-CN"/>
              </w:rPr>
            </w:pPr>
            <w:r>
              <w:rPr>
                <w:rFonts w:hint="default" w:ascii="Times New Roman" w:hAnsi="Times New Roman" w:eastAsia="宋体" w:cs="Times New Roman"/>
                <w:color w:val="auto"/>
                <w:highlight w:val="none"/>
                <w:lang w:eastAsia="zh-CN"/>
              </w:rPr>
              <w:t>紫外分光光度计</w:t>
            </w:r>
            <w:r>
              <w:rPr>
                <w:rFonts w:hint="default" w:ascii="Times New Roman" w:hAnsi="Times New Roman" w:eastAsia="宋体" w:cs="Times New Roman"/>
                <w:color w:val="auto"/>
                <w:highlight w:val="none"/>
                <w:lang w:val="en-US" w:eastAsia="zh-CN"/>
              </w:rPr>
              <w:t>TU-1901</w:t>
            </w:r>
          </w:p>
        </w:tc>
        <w:tc>
          <w:tcPr>
            <w:tcW w:w="1454" w:type="pct"/>
            <w:shd w:val="clear" w:color="auto" w:fill="auto"/>
            <w:vAlign w:val="center"/>
          </w:tcPr>
          <w:p w14:paraId="2EBB048A">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总氮的测定碱性过硫酸钾消解紫外分光光度法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 xml:space="preserve"> HJ 636-2012</w:t>
            </w:r>
          </w:p>
        </w:tc>
        <w:tc>
          <w:tcPr>
            <w:tcW w:w="701" w:type="pct"/>
          </w:tcPr>
          <w:p w14:paraId="1D20EBF8">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宋体" w:hAnsi="宋体" w:eastAsia="Times New Roman" w:cs="宋体"/>
                <w:color w:val="auto"/>
                <w:kern w:val="2"/>
                <w:sz w:val="21"/>
                <w:szCs w:val="21"/>
                <w:highlight w:val="none"/>
                <w:lang w:val="en-US" w:eastAsia="zh-CN" w:bidi="ar-SA"/>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7948F057">
            <w:pPr>
              <w:pStyle w:val="185"/>
              <w:rPr>
                <w:rFonts w:hint="default" w:ascii="Times New Roman" w:hAnsi="Times New Roman" w:eastAsia="Times New Roman" w:cs="Times New Roman"/>
                <w:color w:val="auto"/>
                <w:highlight w:val="none"/>
              </w:rPr>
            </w:pPr>
            <w:r>
              <w:rPr>
                <w:rFonts w:hint="default" w:ascii="Times New Roman" w:hAnsi="Times New Roman" w:cs="Times New Roman"/>
                <w:color w:val="auto"/>
                <w:highlight w:val="none"/>
                <w:lang w:val="en-US" w:eastAsia="zh-CN"/>
              </w:rPr>
              <w:t>0.05</w:t>
            </w:r>
            <w:r>
              <w:rPr>
                <w:rFonts w:hint="default" w:ascii="Times New Roman" w:hAnsi="Times New Roman" w:eastAsia="Times New Roman" w:cs="Times New Roman"/>
                <w:color w:val="auto"/>
                <w:highlight w:val="none"/>
              </w:rPr>
              <w:t>mg/L</w:t>
            </w:r>
          </w:p>
        </w:tc>
      </w:tr>
      <w:tr w14:paraId="1447A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150670AF">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NH</w:t>
            </w:r>
            <w:r>
              <w:rPr>
                <w:rFonts w:hint="default" w:ascii="Times New Roman" w:hAnsi="Times New Roman" w:eastAsia="宋体" w:cs="Times New Roman"/>
                <w:color w:val="auto"/>
                <w:sz w:val="21"/>
                <w:highlight w:val="none"/>
                <w:vertAlign w:val="subscript"/>
                <w:lang w:val="en-US" w:eastAsia="zh-CN"/>
              </w:rPr>
              <w:t>3</w:t>
            </w:r>
            <w:r>
              <w:rPr>
                <w:rFonts w:hint="default" w:ascii="Times New Roman" w:hAnsi="Times New Roman" w:eastAsia="宋体" w:cs="Times New Roman"/>
                <w:color w:val="auto"/>
                <w:sz w:val="21"/>
                <w:highlight w:val="none"/>
                <w:lang w:val="en-US" w:eastAsia="zh-CN"/>
              </w:rPr>
              <w:t>-N</w:t>
            </w:r>
          </w:p>
        </w:tc>
        <w:tc>
          <w:tcPr>
            <w:tcW w:w="1511" w:type="pct"/>
            <w:shd w:val="clear" w:color="auto" w:fill="auto"/>
            <w:vAlign w:val="center"/>
          </w:tcPr>
          <w:p w14:paraId="400780F0">
            <w:pPr>
              <w:pStyle w:val="185"/>
              <w:rPr>
                <w:rFonts w:hint="default" w:ascii="Times New Roman" w:hAnsi="Times New Roman" w:eastAsia="Times New Roman" w:cs="Times New Roman"/>
                <w:color w:val="auto"/>
                <w:highlight w:val="none"/>
              </w:rPr>
            </w:pPr>
            <w:r>
              <w:rPr>
                <w:rFonts w:hint="default" w:ascii="Times New Roman" w:hAnsi="Times New Roman" w:eastAsia="宋体" w:cs="Times New Roman"/>
                <w:color w:val="auto"/>
                <w:highlight w:val="none"/>
                <w:lang w:eastAsia="zh-CN"/>
              </w:rPr>
              <w:t>紫外分光光度计</w:t>
            </w:r>
            <w:r>
              <w:rPr>
                <w:rFonts w:hint="default" w:ascii="Times New Roman" w:hAnsi="Times New Roman" w:eastAsia="宋体" w:cs="Times New Roman"/>
                <w:color w:val="auto"/>
                <w:highlight w:val="none"/>
                <w:lang w:val="en-US" w:eastAsia="zh-CN"/>
              </w:rPr>
              <w:t>TU-1901</w:t>
            </w:r>
          </w:p>
        </w:tc>
        <w:tc>
          <w:tcPr>
            <w:tcW w:w="1454" w:type="pct"/>
            <w:shd w:val="clear" w:color="auto" w:fill="auto"/>
            <w:vAlign w:val="center"/>
          </w:tcPr>
          <w:p w14:paraId="6CF26C8A">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氨氮的测定纳氏试剂分光光度法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HJ535-2009</w:t>
            </w:r>
          </w:p>
        </w:tc>
        <w:tc>
          <w:tcPr>
            <w:tcW w:w="701" w:type="pct"/>
          </w:tcPr>
          <w:p w14:paraId="04ABF077">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宋体" w:hAnsi="宋体" w:eastAsia="Times New Roman" w:cs="宋体"/>
                <w:color w:val="auto"/>
                <w:kern w:val="2"/>
                <w:sz w:val="21"/>
                <w:szCs w:val="21"/>
                <w:highlight w:val="none"/>
                <w:lang w:val="en-US" w:eastAsia="zh-CN" w:bidi="ar-SA"/>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3880B6B1">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0.025</w:t>
            </w:r>
            <w:r>
              <w:rPr>
                <w:rFonts w:hint="default" w:ascii="Times New Roman" w:hAnsi="Times New Roman" w:eastAsia="Times New Roman" w:cs="Times New Roman"/>
                <w:color w:val="auto"/>
                <w:highlight w:val="none"/>
              </w:rPr>
              <w:t>mg/L</w:t>
            </w:r>
          </w:p>
        </w:tc>
      </w:tr>
      <w:tr w14:paraId="75123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0" w:type="pct"/>
            <w:shd w:val="clear" w:color="auto" w:fill="auto"/>
            <w:vAlign w:val="center"/>
          </w:tcPr>
          <w:p w14:paraId="1455C949">
            <w:pPr>
              <w:pStyle w:val="182"/>
              <w:keepNext w:val="0"/>
              <w:keepLines w:val="0"/>
              <w:pageBreakBefore w:val="0"/>
              <w:kinsoku/>
              <w:wordWrap/>
              <w:overflowPunct/>
              <w:topLinePunct w:val="0"/>
              <w:autoSpaceDE/>
              <w:autoSpaceDN/>
              <w:bidi w:val="0"/>
              <w:spacing w:line="240" w:lineRule="auto"/>
              <w:ind w:firstLine="0" w:firstLineChars="0"/>
              <w:jc w:val="center"/>
              <w:textAlignment w:val="auto"/>
              <w:rPr>
                <w:rFonts w:hint="default" w:ascii="Times New Roman" w:hAnsi="Times New Roman" w:eastAsia="宋体" w:cs="Times New Roman"/>
                <w:bCs/>
                <w:color w:val="auto"/>
                <w:sz w:val="21"/>
                <w:szCs w:val="21"/>
                <w:highlight w:val="none"/>
                <w:lang w:val="en-US" w:eastAsia="zh-CN" w:bidi="ar-SA"/>
              </w:rPr>
            </w:pPr>
            <w:r>
              <w:rPr>
                <w:rFonts w:hint="default" w:ascii="Times New Roman" w:hAnsi="Times New Roman" w:eastAsia="宋体" w:cs="Times New Roman"/>
                <w:color w:val="auto"/>
                <w:sz w:val="21"/>
                <w:highlight w:val="none"/>
                <w:lang w:val="en-US" w:eastAsia="zh-CN"/>
              </w:rPr>
              <w:t>TP</w:t>
            </w:r>
          </w:p>
        </w:tc>
        <w:tc>
          <w:tcPr>
            <w:tcW w:w="1511" w:type="pct"/>
            <w:shd w:val="clear" w:color="auto" w:fill="auto"/>
            <w:vAlign w:val="center"/>
          </w:tcPr>
          <w:p w14:paraId="1148A659">
            <w:pPr>
              <w:pStyle w:val="185"/>
              <w:rPr>
                <w:rFonts w:hint="default" w:ascii="Times New Roman" w:hAnsi="Times New Roman" w:eastAsia="Times New Roman" w:cs="Times New Roman"/>
                <w:color w:val="auto"/>
                <w:highlight w:val="none"/>
                <w:lang w:val="en-US"/>
              </w:rPr>
            </w:pPr>
            <w:r>
              <w:rPr>
                <w:rFonts w:hint="default" w:ascii="Times New Roman" w:hAnsi="Times New Roman" w:eastAsia="宋体" w:cs="Times New Roman"/>
                <w:color w:val="auto"/>
                <w:highlight w:val="none"/>
                <w:lang w:eastAsia="zh-CN"/>
              </w:rPr>
              <w:t>紫外分光光度计</w:t>
            </w:r>
            <w:r>
              <w:rPr>
                <w:rFonts w:hint="default" w:ascii="Times New Roman" w:hAnsi="Times New Roman" w:eastAsia="宋体" w:cs="Times New Roman"/>
                <w:color w:val="auto"/>
                <w:highlight w:val="none"/>
                <w:lang w:val="en-US" w:eastAsia="zh-CN"/>
              </w:rPr>
              <w:t>TU-190</w:t>
            </w:r>
            <w:r>
              <w:rPr>
                <w:rFonts w:hint="default" w:ascii="Times New Roman" w:hAnsi="Times New Roman" w:cs="Times New Roman"/>
                <w:color w:val="auto"/>
                <w:highlight w:val="none"/>
                <w:lang w:val="en-US" w:eastAsia="zh-CN"/>
              </w:rPr>
              <w:t>0</w:t>
            </w:r>
          </w:p>
        </w:tc>
        <w:tc>
          <w:tcPr>
            <w:tcW w:w="1454" w:type="pct"/>
            <w:shd w:val="clear" w:color="auto" w:fill="auto"/>
            <w:vAlign w:val="center"/>
          </w:tcPr>
          <w:p w14:paraId="2E2F2849">
            <w:pPr>
              <w:pStyle w:val="185"/>
              <w:rPr>
                <w:rFonts w:hint="default" w:ascii="Times New Roman" w:hAnsi="Times New Roman" w:eastAsia="Times New Roman" w:cs="Times New Roman"/>
                <w:color w:val="auto"/>
                <w:highlight w:val="none"/>
              </w:rPr>
            </w:pP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水质</w:t>
            </w:r>
            <w:r>
              <w:rPr>
                <w:rFonts w:hint="eastAsia" w:ascii="Times New Roman" w:eastAsia="Times New Roman" w:cs="Times New Roman"/>
                <w:color w:val="auto"/>
                <w:highlight w:val="none"/>
                <w:lang w:val="en-US" w:eastAsia="zh-CN"/>
              </w:rPr>
              <w:t xml:space="preserve"> </w:t>
            </w:r>
            <w:r>
              <w:rPr>
                <w:rFonts w:hint="default" w:ascii="Times New Roman" w:hAnsi="Times New Roman" w:eastAsia="Times New Roman" w:cs="Times New Roman"/>
                <w:color w:val="auto"/>
                <w:highlight w:val="none"/>
                <w:lang w:val="en-US" w:eastAsia="zh-CN"/>
              </w:rPr>
              <w:t>总磷的测定钼酸铵分光光度法</w:t>
            </w:r>
            <w:r>
              <w:rPr>
                <w:rFonts w:hint="eastAsia" w:ascii="Times New Roman" w:eastAsia="Times New Roman" w:cs="Times New Roman"/>
                <w:color w:val="auto"/>
                <w:highlight w:val="none"/>
                <w:lang w:val="en-US" w:eastAsia="zh-CN"/>
              </w:rPr>
              <w:t>》</w:t>
            </w:r>
            <w:r>
              <w:rPr>
                <w:rFonts w:hint="default" w:ascii="Times New Roman" w:hAnsi="Times New Roman" w:eastAsia="Times New Roman" w:cs="Times New Roman"/>
                <w:color w:val="auto"/>
                <w:highlight w:val="none"/>
                <w:lang w:val="en-US" w:eastAsia="zh-CN"/>
              </w:rPr>
              <w:t>GB11893-1989</w:t>
            </w:r>
          </w:p>
        </w:tc>
        <w:tc>
          <w:tcPr>
            <w:tcW w:w="701" w:type="pct"/>
          </w:tcPr>
          <w:p w14:paraId="785933C0">
            <w:pPr>
              <w:keepNext w:val="0"/>
              <w:keepLines w:val="0"/>
              <w:pageBreakBefore w:val="0"/>
              <w:widowControl/>
              <w:kinsoku/>
              <w:wordWrap/>
              <w:overflowPunct/>
              <w:topLinePunct w:val="0"/>
              <w:autoSpaceDE/>
              <w:autoSpaceDN/>
              <w:bidi w:val="0"/>
              <w:adjustRightInd/>
              <w:snapToGrid/>
              <w:ind w:firstLine="0" w:firstLineChars="0"/>
              <w:textAlignment w:val="auto"/>
              <w:rPr>
                <w:rFonts w:hint="default" w:ascii="宋体" w:hAnsi="宋体" w:eastAsia="Times New Roman" w:cs="宋体"/>
                <w:color w:val="auto"/>
                <w:kern w:val="2"/>
                <w:sz w:val="21"/>
                <w:szCs w:val="21"/>
                <w:highlight w:val="none"/>
                <w:lang w:val="en-US" w:eastAsia="zh-CN" w:bidi="ar-SA"/>
              </w:rPr>
            </w:pPr>
            <w:r>
              <w:rPr>
                <w:rFonts w:hint="eastAsia" w:ascii="宋体" w:hAnsi="宋体" w:eastAsia="Times New Roman" w:cs="宋体"/>
                <w:color w:val="auto"/>
                <w:kern w:val="2"/>
                <w:sz w:val="21"/>
                <w:szCs w:val="21"/>
                <w:highlight w:val="none"/>
                <w:lang w:val="en-US" w:eastAsia="zh-CN" w:bidi="ar-SA"/>
              </w:rPr>
              <w:t>瞬时采样至少3个瞬时样</w:t>
            </w:r>
          </w:p>
        </w:tc>
        <w:tc>
          <w:tcPr>
            <w:tcW w:w="701" w:type="pct"/>
            <w:shd w:val="clear" w:color="auto" w:fill="auto"/>
            <w:vAlign w:val="center"/>
          </w:tcPr>
          <w:p w14:paraId="5FA81302">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0.01</w:t>
            </w:r>
            <w:r>
              <w:rPr>
                <w:rFonts w:hint="default" w:ascii="Times New Roman" w:hAnsi="Times New Roman" w:eastAsia="Times New Roman" w:cs="Times New Roman"/>
                <w:color w:val="auto"/>
                <w:highlight w:val="none"/>
              </w:rPr>
              <w:t>mg/L</w:t>
            </w:r>
          </w:p>
        </w:tc>
      </w:tr>
    </w:tbl>
    <w:p w14:paraId="6405C5A6">
      <w:pPr>
        <w:ind w:firstLine="480"/>
        <w:rPr>
          <w:rFonts w:hint="default" w:ascii="Times New Roman" w:hAnsi="Times New Roman" w:cs="Times New Roman"/>
          <w:color w:val="auto"/>
          <w:highlight w:val="none"/>
        </w:rPr>
      </w:pPr>
    </w:p>
    <w:p w14:paraId="3775B4A9">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（3）废水监测的样品采集和样品保存方法</w:t>
      </w:r>
    </w:p>
    <w:p w14:paraId="39A07C08">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1）监测依据</w:t>
      </w:r>
    </w:p>
    <w:p w14:paraId="5CC30111">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《污水监测技术规范》HJ91.1-2019</w:t>
      </w:r>
    </w:p>
    <w:p w14:paraId="400CD1ED">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《采样方案设计技术规定》HJ 495-2009</w:t>
      </w:r>
    </w:p>
    <w:p w14:paraId="46DE486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《采样技术指导》HJ 494-2009</w:t>
      </w:r>
    </w:p>
    <w:p w14:paraId="588BEF41">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《水质</w:t>
      </w:r>
      <w:r>
        <w:rPr>
          <w:rFonts w:hint="eastAsia" w:cs="Times New Roman"/>
          <w:color w:val="auto"/>
          <w:highlight w:val="none"/>
          <w:lang w:val="en-US" w:eastAsia="zh-CN"/>
        </w:rPr>
        <w:t xml:space="preserve"> </w:t>
      </w:r>
      <w:r>
        <w:rPr>
          <w:rFonts w:hint="default" w:ascii="Times New Roman" w:hAnsi="Times New Roman" w:cs="Times New Roman"/>
          <w:color w:val="auto"/>
          <w:highlight w:val="none"/>
        </w:rPr>
        <w:t>样品的保存和管理技术规定》HJ 493-2009</w:t>
      </w:r>
    </w:p>
    <w:p w14:paraId="3903875E">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lang w:val="en-US" w:eastAsia="zh-CN"/>
        </w:rPr>
        <w:t>《城镇污水处理厂污染物排放标准》GB18918-2002</w:t>
      </w:r>
    </w:p>
    <w:p w14:paraId="0B668308">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2）采样方式</w:t>
      </w:r>
    </w:p>
    <w:p w14:paraId="76BD8B64">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基本要求</w:t>
      </w:r>
      <w:r>
        <w:rPr>
          <w:rFonts w:hint="eastAsia" w:cs="Times New Roman"/>
          <w:color w:val="auto"/>
          <w:highlight w:val="none"/>
          <w:lang w:eastAsia="zh-CN"/>
        </w:rPr>
        <w:t>：</w:t>
      </w:r>
    </w:p>
    <w:p w14:paraId="60997216">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采集的水样应具有代表性，能反映污水的水质情况，满足水质分析的要求。水样采集方式可通过手工或自动采样，自动采样时所用的水质自动采样器应符合HJ/T 372 的相关要求。</w:t>
      </w:r>
    </w:p>
    <w:p w14:paraId="79BAB272">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瞬时采样</w:t>
      </w:r>
      <w:r>
        <w:rPr>
          <w:rFonts w:hint="eastAsia" w:cs="Times New Roman"/>
          <w:color w:val="auto"/>
          <w:highlight w:val="none"/>
          <w:lang w:eastAsia="zh-CN"/>
        </w:rPr>
        <w:t>：</w:t>
      </w:r>
    </w:p>
    <w:p w14:paraId="0A5CB44E">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下列情况适用瞬时采样：</w:t>
      </w:r>
    </w:p>
    <w:p w14:paraId="217DD59A">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a）所测污染物性质不稳定，易受到混合过程的影响；</w:t>
      </w:r>
    </w:p>
    <w:p w14:paraId="73783070">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b）不能连续排放的污水，如间歇排放；</w:t>
      </w:r>
    </w:p>
    <w:p w14:paraId="64E71B11">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c）需要考察可能存在的污染物，或特定时间的污染物浓度；</w:t>
      </w:r>
    </w:p>
    <w:p w14:paraId="1106480D">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d）需要得到污染物最高值、最低值或变化情况的数据；</w:t>
      </w:r>
    </w:p>
    <w:p w14:paraId="3906CB47">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e）需要得到短期（一般不超过15 min）的数据以确定水质的变化规律；</w:t>
      </w:r>
    </w:p>
    <w:p w14:paraId="54B1313E">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f）需要确定水体空间污染物变化特征，如污染物在水流的不同断面和（或）深度的变化情况；</w:t>
      </w:r>
    </w:p>
    <w:p w14:paraId="2CBAF82F">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g）污染物排放（控制）标准等相关环境管理工作中规定可采集瞬时水样的情况。当排污单位的生产工艺过程连续且稳定，有污水处理设施并正常运行，其污水能稳定排放的（浓度变化不超过10%），瞬时水样具有较好的代表性，可用瞬时水样的浓度代表采样时间段内的采样浓度。</w:t>
      </w:r>
    </w:p>
    <w:p w14:paraId="1BCFE2B1">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混合采样</w:t>
      </w:r>
      <w:r>
        <w:rPr>
          <w:rFonts w:hint="eastAsia" w:cs="Times New Roman"/>
          <w:color w:val="auto"/>
          <w:highlight w:val="none"/>
          <w:lang w:eastAsia="zh-CN"/>
        </w:rPr>
        <w:t>：</w:t>
      </w:r>
    </w:p>
    <w:p w14:paraId="11385BF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下列情况适用混合采样：</w:t>
      </w:r>
    </w:p>
    <w:p w14:paraId="3A2C1CDE">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a）计算一定时间的平均污染物浓度；</w:t>
      </w:r>
    </w:p>
    <w:p w14:paraId="495C553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b）计算单位时间的污染物质量负荷；</w:t>
      </w:r>
    </w:p>
    <w:p w14:paraId="763D7C96">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c）污水特征变化大；</w:t>
      </w:r>
    </w:p>
    <w:p w14:paraId="2FE1786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d）污染物排放（控制）标准等相关环境管理工作中规定可采集混合水样的情况。</w:t>
      </w:r>
    </w:p>
    <w:p w14:paraId="77D42509">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混合采样包括等时混合水样和等比例混合水样两种。</w:t>
      </w:r>
    </w:p>
    <w:p w14:paraId="209DB78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当污水流量变化小于平均流量的20%，污染物浓度基本稳定时，可采集等时混合水样。</w:t>
      </w:r>
    </w:p>
    <w:p w14:paraId="5D96167F">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当污水的流量、浓度甚至组分都有明显变化，可采集等比例混合水样。等比例混合水样一般采用与流量计相连的水质自动采样器采集，分为连续比例混合水样和间隔比例混合水样两种。连续比例混合水样是在选定采样时段内，根据污水排放流量，按一定比例连续采集的混合水样。间隔比例混合水样是根据一定的排放量间隔，分别采集与排放量有一定比例关系的水样混合而成。</w:t>
      </w:r>
    </w:p>
    <w:p w14:paraId="61E9F448">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3）采样位置</w:t>
      </w:r>
    </w:p>
    <w:p w14:paraId="674D4871">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采样位置应在污水混合均匀的位置，如计量堰跌水处、巴歇尔量水槽喉管处等。</w:t>
      </w:r>
    </w:p>
    <w:p w14:paraId="1AE11289">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样品采集</w:t>
      </w:r>
      <w:r>
        <w:rPr>
          <w:rFonts w:hint="eastAsia" w:cs="Times New Roman"/>
          <w:color w:val="auto"/>
          <w:highlight w:val="none"/>
          <w:lang w:eastAsia="zh-CN"/>
        </w:rPr>
        <w:t>：</w:t>
      </w:r>
    </w:p>
    <w:p w14:paraId="4790D26F">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前要认真检查采样器具、样品容器及其瓶塞（盖），及时维修并更换采样工具中的破损和不牢固的部件。样品容器确保已盖好，减少污染的机会并安全存放。注意用于微生物等组分测试的样品容器在采样前应保证包装完整，避免采样前造成容器污染。</w:t>
      </w:r>
    </w:p>
    <w:p w14:paraId="19E5BCCD">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到达监测点位，采样前先将采样容器及相关工具排放整齐。</w:t>
      </w:r>
    </w:p>
    <w:p w14:paraId="1D88BB19">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对照监测方案采集样品。采样时应去除水面的杂物、垃圾等漂浮物，不可搅动水底部的沉积物。</w:t>
      </w:r>
    </w:p>
    <w:p w14:paraId="217E7185">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采样前先用水样荡涤采样容器和样品容器2～3 次。</w:t>
      </w:r>
    </w:p>
    <w:p w14:paraId="0AD5C11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对不同的监测项目选用的容器材质、加入的保存剂及其用量、保存期限和采集的水样体积等，须按照监测项目的分析方法要求执行；</w:t>
      </w:r>
    </w:p>
    <w:p w14:paraId="455CD3DD">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采样完成后应在每个样品容器上贴上标签，标签内容包括样品编号或名称、采样日期和时间、监测项目名称等，同步填写现场记录。</w:t>
      </w:r>
    </w:p>
    <w:p w14:paraId="15389696">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采样结束后，核对监测方案、现场记录与实际样品数，如有错误或遗漏，应立即补采或重采。如采样现场未按监测方案采集到样品，应详细记录实际情况。</w:t>
      </w:r>
    </w:p>
    <w:p w14:paraId="36F5AF0A">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其他要求</w:t>
      </w:r>
      <w:r>
        <w:rPr>
          <w:rFonts w:hint="eastAsia" w:cs="Times New Roman"/>
          <w:color w:val="auto"/>
          <w:highlight w:val="none"/>
          <w:lang w:eastAsia="zh-CN"/>
        </w:rPr>
        <w:t>：</w:t>
      </w:r>
    </w:p>
    <w:p w14:paraId="0A48F578">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a）部分监测项目采样前不能荡洗采样器具和样品容器，如动植物油类、石油类、挥发性有机物、微生物等；</w:t>
      </w:r>
    </w:p>
    <w:p w14:paraId="2BFDA01C">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b）部分监测项目在不同时间采集的水样不能混合测定，如水温、pH 值、色度、动植物油类、石油类、生化需氧量、硫化物、挥发性有机物、氰化物、余氯、微生物、放射性等；</w:t>
      </w:r>
    </w:p>
    <w:p w14:paraId="3BF42FC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c）部分监测项目保存方式不同，须单独采集储存，如动植物油类、石油类、硫化物、挥发酚、氰化物、余氯、微生物等；</w:t>
      </w:r>
    </w:p>
    <w:p w14:paraId="21D8FA4C">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d）部分监测项目采集时须注满容器，不留顶上空间，如生化需氧量、挥发性有机物等。</w:t>
      </w:r>
    </w:p>
    <w:p w14:paraId="1C0700C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4）现场监测项目的测定</w:t>
      </w:r>
    </w:p>
    <w:p w14:paraId="65AB8298">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水温、pH 值等能在现场测定的监测项目或分析方法中要求须在现场完成测定的监测项目，应在现场测定。</w:t>
      </w:r>
    </w:p>
    <w:p w14:paraId="7FBDF91A">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流量测量</w:t>
      </w:r>
      <w:r>
        <w:rPr>
          <w:rFonts w:hint="eastAsia" w:cs="Times New Roman"/>
          <w:color w:val="auto"/>
          <w:highlight w:val="none"/>
          <w:lang w:eastAsia="zh-CN"/>
        </w:rPr>
        <w:t>：</w:t>
      </w:r>
    </w:p>
    <w:p w14:paraId="360A4C43">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已安装自动污水流量计，且通过计量部门检定或通过验收的，可采用流量计的流量值。采用明渠流量计测定流量，应按照CJ/T 3008.1~5 等相关技术要求修建或安装标准化计量堰（槽）。</w:t>
      </w:r>
    </w:p>
    <w:p w14:paraId="441C7CE2">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排污渠道的截面底部须硬质平滑，截面形状为规则几何形，排放口处须有3～5 m的平直过流水段，且水位高度不小于0.1 m。通过测量排污渠道的过水截面积，以流速仪测量污水流速，计算污水量。</w:t>
      </w:r>
    </w:p>
    <w:p w14:paraId="13EFBC13">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在以上流量测量方法不满足条件无法使用时，可用统计法、水平衡计算等方法。</w:t>
      </w:r>
    </w:p>
    <w:p w14:paraId="6F0EF3CD">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水样感官指标的描述</w:t>
      </w:r>
      <w:r>
        <w:rPr>
          <w:rFonts w:hint="eastAsia" w:cs="Times New Roman"/>
          <w:color w:val="auto"/>
          <w:highlight w:val="none"/>
          <w:lang w:eastAsia="zh-CN"/>
        </w:rPr>
        <w:t>：</w:t>
      </w:r>
    </w:p>
    <w:p w14:paraId="2BABE394">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用文字定性描述水的颜色、浑浊度、气味（嗅）等样品状态、水面有无油膜等表观特征，并均应作现场记录。</w:t>
      </w:r>
    </w:p>
    <w:p w14:paraId="7C467203">
      <w:pPr>
        <w:ind w:firstLine="480"/>
        <w:rPr>
          <w:rFonts w:hint="eastAsia" w:ascii="Times New Roman" w:hAnsi="Times New Roman" w:eastAsia="宋体" w:cs="Times New Roman"/>
          <w:color w:val="auto"/>
          <w:highlight w:val="none"/>
          <w:lang w:eastAsia="zh-CN"/>
        </w:rPr>
      </w:pPr>
      <w:r>
        <w:rPr>
          <w:rFonts w:hint="default" w:ascii="Times New Roman" w:hAnsi="Times New Roman" w:cs="Times New Roman"/>
          <w:color w:val="auto"/>
          <w:highlight w:val="none"/>
        </w:rPr>
        <w:t>现场记录</w:t>
      </w:r>
      <w:r>
        <w:rPr>
          <w:rFonts w:hint="eastAsia" w:cs="Times New Roman"/>
          <w:color w:val="auto"/>
          <w:highlight w:val="none"/>
          <w:lang w:eastAsia="zh-CN"/>
        </w:rPr>
        <w:t>：</w:t>
      </w:r>
    </w:p>
    <w:p w14:paraId="3590E7B5">
      <w:pPr>
        <w:ind w:firstLine="480"/>
        <w:rPr>
          <w:rFonts w:hint="default" w:ascii="Times New Roman" w:hAnsi="Times New Roman" w:cs="Times New Roman"/>
          <w:color w:val="000000"/>
        </w:rPr>
      </w:pPr>
      <w:r>
        <w:rPr>
          <w:rFonts w:hint="default" w:ascii="Times New Roman" w:hAnsi="Times New Roman" w:cs="Times New Roman"/>
          <w:color w:val="auto"/>
          <w:highlight w:val="none"/>
        </w:rPr>
        <w:t>现场记录应包含以下内容：采样日期、采样时间、现场测试仪器型号与编号、采样点位、生产工况、污水处理设</w:t>
      </w:r>
      <w:r>
        <w:rPr>
          <w:rFonts w:hint="default" w:ascii="Times New Roman" w:hAnsi="Times New Roman" w:cs="Times New Roman"/>
          <w:color w:val="000000"/>
        </w:rPr>
        <w:t>施处理工艺、污水处理设施运行情况、污水排放量/流量、现场测试项目和监测方法、水样感官指标的描述、采样项目、采样方式、样品编号、保存方法、采样人、</w:t>
      </w:r>
      <w:r>
        <w:rPr>
          <w:rFonts w:hint="eastAsia" w:cs="Times New Roman"/>
          <w:color w:val="000000"/>
          <w:lang w:val="en-US" w:eastAsia="zh-CN"/>
        </w:rPr>
        <w:t>校</w:t>
      </w:r>
      <w:r>
        <w:rPr>
          <w:rFonts w:hint="default" w:ascii="Times New Roman" w:hAnsi="Times New Roman" w:cs="Times New Roman"/>
          <w:color w:val="000000"/>
        </w:rPr>
        <w:t>核人、排污单位人员及其他需要说明的有关事项等，具体格式可自行制订。</w:t>
      </w:r>
    </w:p>
    <w:p w14:paraId="1315E618">
      <w:pPr>
        <w:ind w:firstLine="480"/>
        <w:rPr>
          <w:rFonts w:hint="default" w:ascii="Times New Roman" w:hAnsi="Times New Roman" w:cs="Times New Roman"/>
          <w:color w:val="000000"/>
        </w:rPr>
      </w:pPr>
      <w:r>
        <w:rPr>
          <w:rFonts w:hint="default" w:ascii="Times New Roman" w:hAnsi="Times New Roman" w:cs="Times New Roman"/>
          <w:color w:val="000000"/>
        </w:rPr>
        <w:t>5）采样安全</w:t>
      </w:r>
    </w:p>
    <w:p w14:paraId="4A28EA4E">
      <w:pPr>
        <w:ind w:firstLine="480"/>
        <w:rPr>
          <w:rFonts w:hint="default" w:ascii="Times New Roman" w:hAnsi="Times New Roman" w:cs="Times New Roman"/>
          <w:color w:val="000000"/>
        </w:rPr>
      </w:pPr>
      <w:r>
        <w:rPr>
          <w:rFonts w:hint="default" w:ascii="Times New Roman" w:hAnsi="Times New Roman" w:cs="Times New Roman"/>
          <w:color w:val="000000"/>
        </w:rPr>
        <w:t>现场监测人员须考虑相应的安全预防措施，采样过程中采取必要的防护措施。监测人员应身体健康，适应工作要求，现场采样时至少两人同时在场。监测过程中配备必要的防护设备、急救用品。现场采样时，若采样位置附近有腐蚀性、高温、有毒、挥发性、可燃性物质，须穿戴防护用具。现场监测人员要特别注意安全，避免滑倒落水，必要时应穿戴救生衣。</w:t>
      </w:r>
    </w:p>
    <w:p w14:paraId="1EB18608">
      <w:pPr>
        <w:ind w:firstLine="480"/>
        <w:rPr>
          <w:rFonts w:hint="default" w:ascii="Times New Roman" w:hAnsi="Times New Roman" w:cs="Times New Roman"/>
          <w:color w:val="000000"/>
        </w:rPr>
      </w:pPr>
      <w:r>
        <w:rPr>
          <w:rFonts w:hint="default" w:ascii="Times New Roman" w:hAnsi="Times New Roman" w:cs="Times New Roman"/>
          <w:color w:val="000000"/>
        </w:rPr>
        <w:t>6）样品保存、运输和交接</w:t>
      </w:r>
    </w:p>
    <w:p w14:paraId="1B6FB6A0">
      <w:pPr>
        <w:ind w:firstLine="480"/>
        <w:rPr>
          <w:rFonts w:hint="eastAsia" w:ascii="Times New Roman" w:hAnsi="Times New Roman" w:eastAsia="宋体" w:cs="Times New Roman"/>
          <w:color w:val="000000"/>
          <w:lang w:eastAsia="zh-CN"/>
        </w:rPr>
      </w:pPr>
      <w:r>
        <w:rPr>
          <w:rFonts w:hint="default" w:ascii="Times New Roman" w:hAnsi="Times New Roman" w:cs="Times New Roman"/>
          <w:color w:val="000000"/>
        </w:rPr>
        <w:t>样品保存与运输</w:t>
      </w:r>
      <w:r>
        <w:rPr>
          <w:rFonts w:hint="eastAsia" w:cs="Times New Roman"/>
          <w:color w:val="000000"/>
          <w:lang w:eastAsia="zh-CN"/>
        </w:rPr>
        <w:t>：</w:t>
      </w:r>
    </w:p>
    <w:p w14:paraId="3BCD6FDA">
      <w:pPr>
        <w:ind w:firstLine="480"/>
        <w:rPr>
          <w:rFonts w:hint="default" w:ascii="Times New Roman" w:hAnsi="Times New Roman" w:cs="Times New Roman"/>
          <w:color w:val="000000"/>
        </w:rPr>
      </w:pPr>
      <w:r>
        <w:rPr>
          <w:rFonts w:hint="default" w:ascii="Times New Roman" w:hAnsi="Times New Roman" w:cs="Times New Roman"/>
          <w:color w:val="000000"/>
        </w:rPr>
        <w:t>样品采集后应尽快送实验室分析，并根据监测项目所采用分析方法的要求确定样品的保存方法，确保样品在规定的保存期限内分析测试。如要求不明确时，根据采样点的地理位置和监测项目保存期限，选用适当的运输方式。样品运输前应将容器的外（内）盖盖紧。装箱时应用泡沫塑料等减震材料分隔固定，以防破损。除防震、避免日光照射和低温运输外，还应防止沾污。</w:t>
      </w:r>
    </w:p>
    <w:p w14:paraId="5348DE2D">
      <w:pPr>
        <w:ind w:firstLine="480"/>
        <w:rPr>
          <w:rFonts w:hint="default" w:ascii="Times New Roman" w:hAnsi="Times New Roman" w:cs="Times New Roman"/>
          <w:color w:val="000000"/>
        </w:rPr>
      </w:pPr>
      <w:r>
        <w:rPr>
          <w:rFonts w:hint="default" w:ascii="Times New Roman" w:hAnsi="Times New Roman" w:cs="Times New Roman"/>
          <w:color w:val="000000"/>
        </w:rPr>
        <w:t>同一采样点的样品应尽量装在同一样品箱内，运输前应核对现场采样记录上的所有样品是否齐全，应有专人负责样品运输。</w:t>
      </w:r>
    </w:p>
    <w:p w14:paraId="2D805857">
      <w:pPr>
        <w:ind w:firstLine="480"/>
        <w:rPr>
          <w:rFonts w:hint="eastAsia" w:ascii="Times New Roman" w:hAnsi="Times New Roman" w:eastAsia="宋体" w:cs="Times New Roman"/>
          <w:color w:val="000000"/>
          <w:lang w:eastAsia="zh-CN"/>
        </w:rPr>
      </w:pPr>
      <w:r>
        <w:rPr>
          <w:rFonts w:hint="default" w:ascii="Times New Roman" w:hAnsi="Times New Roman" w:cs="Times New Roman"/>
          <w:color w:val="000000"/>
        </w:rPr>
        <w:t>样品交接</w:t>
      </w:r>
      <w:r>
        <w:rPr>
          <w:rFonts w:hint="eastAsia" w:cs="Times New Roman"/>
          <w:color w:val="000000"/>
          <w:lang w:eastAsia="zh-CN"/>
        </w:rPr>
        <w:t>：</w:t>
      </w:r>
    </w:p>
    <w:p w14:paraId="2FC9BBFA">
      <w:pPr>
        <w:ind w:firstLine="480"/>
        <w:rPr>
          <w:rFonts w:hint="default" w:ascii="Times New Roman" w:hAnsi="Times New Roman" w:cs="Times New Roman"/>
          <w:color w:val="000000"/>
        </w:rPr>
      </w:pPr>
      <w:r>
        <w:rPr>
          <w:rFonts w:hint="default" w:ascii="Times New Roman" w:hAnsi="Times New Roman" w:cs="Times New Roman"/>
          <w:color w:val="000000"/>
        </w:rPr>
        <w:t>现场监测人员与实验室接样人员进行样品交接时，须清点和检查样品，并在交接记录上签字。样品交接记录内容包括交接样品的日期和时间、样品数量和性状、测定项目、保存方式、交样人、接样人等。</w:t>
      </w:r>
    </w:p>
    <w:p w14:paraId="693D2C67">
      <w:pPr>
        <w:pStyle w:val="3"/>
        <w:rPr>
          <w:rFonts w:hint="default" w:ascii="Times New Roman" w:hAnsi="Times New Roman" w:cs="Times New Roman"/>
          <w:color w:val="000000"/>
        </w:rPr>
      </w:pPr>
      <w:bookmarkStart w:id="24" w:name="_Toc164606902"/>
      <w:r>
        <w:rPr>
          <w:rFonts w:hint="default" w:ascii="Times New Roman" w:hAnsi="Times New Roman" w:cs="Times New Roman"/>
          <w:color w:val="000000"/>
        </w:rPr>
        <w:t>噪声监测</w:t>
      </w:r>
      <w:bookmarkEnd w:id="24"/>
    </w:p>
    <w:p w14:paraId="2480F56B">
      <w:pPr>
        <w:ind w:firstLine="480"/>
        <w:rPr>
          <w:rFonts w:hint="default" w:ascii="Times New Roman" w:hAnsi="Times New Roman" w:cs="Times New Roman"/>
          <w:color w:val="000000"/>
        </w:rPr>
      </w:pPr>
      <w:r>
        <w:rPr>
          <w:rFonts w:hint="default" w:ascii="Times New Roman" w:hAnsi="Times New Roman" w:cs="Times New Roman"/>
          <w:color w:val="000000"/>
        </w:rPr>
        <w:t>1、厂界环境噪声</w:t>
      </w:r>
    </w:p>
    <w:p w14:paraId="6D5EF407">
      <w:pPr>
        <w:ind w:firstLine="480"/>
        <w:rPr>
          <w:rFonts w:hint="default" w:ascii="Times New Roman" w:hAnsi="Times New Roman" w:cs="Times New Roman"/>
          <w:color w:val="000000"/>
        </w:rPr>
      </w:pPr>
      <w:r>
        <w:rPr>
          <w:rFonts w:hint="default" w:ascii="Times New Roman" w:hAnsi="Times New Roman" w:cs="Times New Roman"/>
          <w:color w:val="000000"/>
        </w:rPr>
        <w:t>（1）噪声监测点位</w:t>
      </w:r>
    </w:p>
    <w:p w14:paraId="0B2D7C2B">
      <w:pPr>
        <w:pStyle w:val="96"/>
        <w:spacing w:before="156"/>
        <w:rPr>
          <w:rFonts w:hint="default" w:ascii="Times New Roman" w:hAnsi="Times New Roman" w:cs="Times New Roman"/>
          <w:color w:val="000000"/>
        </w:rPr>
      </w:pPr>
      <w:bookmarkStart w:id="25" w:name="_Ref174696850"/>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15</w:t>
      </w:r>
      <w:r>
        <w:rPr>
          <w:rFonts w:hint="default" w:ascii="Times New Roman" w:hAnsi="Times New Roman" w:cs="Times New Roman"/>
          <w:color w:val="000000"/>
        </w:rPr>
        <w:fldChar w:fldCharType="end"/>
      </w:r>
      <w:bookmarkEnd w:id="25"/>
      <w:r>
        <w:rPr>
          <w:rFonts w:hint="default" w:ascii="Times New Roman" w:hAnsi="Times New Roman" w:cs="Times New Roman"/>
          <w:color w:val="000000"/>
        </w:rPr>
        <w:t xml:space="preserve"> 厂界环境噪声监测点位、监测指标及频次</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5"/>
        <w:gridCol w:w="1049"/>
        <w:gridCol w:w="3059"/>
        <w:gridCol w:w="3059"/>
        <w:gridCol w:w="3059"/>
        <w:gridCol w:w="3063"/>
      </w:tblGrid>
      <w:tr w14:paraId="1439C9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blHeader/>
        </w:trPr>
        <w:tc>
          <w:tcPr>
            <w:tcW w:w="312" w:type="pct"/>
            <w:shd w:val="clear" w:color="auto" w:fill="auto"/>
            <w:vAlign w:val="center"/>
          </w:tcPr>
          <w:p w14:paraId="6B013763">
            <w:pPr>
              <w:pStyle w:val="185"/>
              <w:rPr>
                <w:rFonts w:hint="default" w:ascii="Times New Roman" w:hAnsi="Times New Roman" w:cs="Times New Roman"/>
                <w:color w:val="000000"/>
              </w:rPr>
            </w:pPr>
            <w:r>
              <w:rPr>
                <w:rFonts w:hint="default" w:ascii="Times New Roman" w:hAnsi="Times New Roman" w:cs="Times New Roman"/>
                <w:color w:val="000000"/>
              </w:rPr>
              <w:t>类别</w:t>
            </w:r>
          </w:p>
        </w:tc>
        <w:tc>
          <w:tcPr>
            <w:tcW w:w="370" w:type="pct"/>
            <w:shd w:val="clear" w:color="auto" w:fill="auto"/>
            <w:vAlign w:val="center"/>
          </w:tcPr>
          <w:p w14:paraId="197BB846">
            <w:pPr>
              <w:pStyle w:val="185"/>
              <w:rPr>
                <w:rFonts w:hint="default" w:ascii="Times New Roman" w:hAnsi="Times New Roman" w:cs="Times New Roman"/>
                <w:color w:val="000000"/>
              </w:rPr>
            </w:pPr>
            <w:r>
              <w:rPr>
                <w:rFonts w:hint="default" w:ascii="Times New Roman" w:hAnsi="Times New Roman" w:cs="Times New Roman"/>
                <w:color w:val="000000"/>
              </w:rPr>
              <w:t>单位</w:t>
            </w:r>
          </w:p>
          <w:p w14:paraId="28B6D2E4">
            <w:pPr>
              <w:pStyle w:val="185"/>
              <w:rPr>
                <w:rFonts w:hint="default" w:ascii="Times New Roman" w:hAnsi="Times New Roman" w:cs="Times New Roman"/>
                <w:color w:val="000000"/>
              </w:rPr>
            </w:pPr>
            <w:r>
              <w:rPr>
                <w:rFonts w:hint="default" w:ascii="Times New Roman" w:hAnsi="Times New Roman" w:cs="Times New Roman"/>
                <w:color w:val="000000"/>
              </w:rPr>
              <w:t>名称</w:t>
            </w:r>
          </w:p>
        </w:tc>
        <w:tc>
          <w:tcPr>
            <w:tcW w:w="1079" w:type="pct"/>
            <w:shd w:val="clear" w:color="auto" w:fill="auto"/>
            <w:vAlign w:val="center"/>
          </w:tcPr>
          <w:p w14:paraId="08C54D79">
            <w:pPr>
              <w:pStyle w:val="185"/>
              <w:rPr>
                <w:rFonts w:hint="default" w:ascii="Times New Roman" w:hAnsi="Times New Roman" w:cs="Times New Roman"/>
                <w:color w:val="000000"/>
              </w:rPr>
            </w:pPr>
            <w:r>
              <w:rPr>
                <w:rFonts w:hint="default" w:ascii="Times New Roman" w:hAnsi="Times New Roman" w:cs="Times New Roman"/>
                <w:color w:val="000000"/>
              </w:rPr>
              <w:t>监测点位</w:t>
            </w:r>
          </w:p>
        </w:tc>
        <w:tc>
          <w:tcPr>
            <w:tcW w:w="1079" w:type="pct"/>
            <w:vAlign w:val="center"/>
          </w:tcPr>
          <w:p w14:paraId="3D591CDC">
            <w:pPr>
              <w:pStyle w:val="185"/>
              <w:rPr>
                <w:rFonts w:hint="default" w:ascii="Times New Roman" w:hAnsi="Times New Roman" w:cs="Times New Roman"/>
                <w:color w:val="000000"/>
              </w:rPr>
            </w:pPr>
            <w:r>
              <w:rPr>
                <w:rFonts w:hint="default" w:ascii="Times New Roman" w:hAnsi="Times New Roman" w:cs="Times New Roman"/>
              </w:rPr>
              <w:t>执行标准</w:t>
            </w:r>
          </w:p>
        </w:tc>
        <w:tc>
          <w:tcPr>
            <w:tcW w:w="1079" w:type="pct"/>
            <w:vAlign w:val="center"/>
          </w:tcPr>
          <w:p w14:paraId="0CCFB36A">
            <w:pPr>
              <w:pStyle w:val="185"/>
              <w:rPr>
                <w:rFonts w:hint="default" w:ascii="Times New Roman" w:hAnsi="Times New Roman" w:cs="Times New Roman"/>
                <w:color w:val="000000"/>
              </w:rPr>
            </w:pPr>
            <w:r>
              <w:rPr>
                <w:rFonts w:hint="default" w:ascii="Times New Roman" w:hAnsi="Times New Roman" w:cs="Times New Roman"/>
                <w:color w:val="000000"/>
              </w:rPr>
              <w:t>监测指标</w:t>
            </w:r>
          </w:p>
        </w:tc>
        <w:tc>
          <w:tcPr>
            <w:tcW w:w="1080" w:type="pct"/>
            <w:vAlign w:val="center"/>
          </w:tcPr>
          <w:p w14:paraId="25F0FF6C">
            <w:pPr>
              <w:pStyle w:val="185"/>
              <w:rPr>
                <w:rFonts w:hint="default" w:ascii="Times New Roman" w:hAnsi="Times New Roman" w:cs="Times New Roman"/>
                <w:color w:val="000000"/>
              </w:rPr>
            </w:pPr>
            <w:r>
              <w:rPr>
                <w:rFonts w:hint="default" w:ascii="Times New Roman" w:hAnsi="Times New Roman" w:cs="Times New Roman"/>
                <w:color w:val="000000"/>
              </w:rPr>
              <w:t>监测频次</w:t>
            </w:r>
          </w:p>
        </w:tc>
      </w:tr>
      <w:tr w14:paraId="3EA12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restart"/>
            <w:shd w:val="clear" w:color="auto" w:fill="auto"/>
            <w:vAlign w:val="center"/>
          </w:tcPr>
          <w:p w14:paraId="0801F1E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站场</w:t>
            </w:r>
          </w:p>
        </w:tc>
        <w:tc>
          <w:tcPr>
            <w:tcW w:w="370" w:type="pct"/>
            <w:vMerge w:val="restart"/>
            <w:shd w:val="clear" w:color="auto" w:fill="auto"/>
            <w:vAlign w:val="center"/>
          </w:tcPr>
          <w:p w14:paraId="468DEB75">
            <w:pPr>
              <w:pStyle w:val="185"/>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采油</w:t>
            </w:r>
          </w:p>
          <w:p w14:paraId="4DA959B2">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一厂</w:t>
            </w:r>
          </w:p>
        </w:tc>
        <w:tc>
          <w:tcPr>
            <w:tcW w:w="1079" w:type="pct"/>
            <w:shd w:val="clear" w:color="auto" w:fill="auto"/>
            <w:vAlign w:val="center"/>
          </w:tcPr>
          <w:p w14:paraId="74E2DF65">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双河联合站</w:t>
            </w:r>
          </w:p>
        </w:tc>
        <w:tc>
          <w:tcPr>
            <w:tcW w:w="1079" w:type="pct"/>
            <w:vMerge w:val="restart"/>
            <w:vAlign w:val="center"/>
          </w:tcPr>
          <w:p w14:paraId="1F0AE3F0">
            <w:pPr>
              <w:pStyle w:val="185"/>
              <w:rPr>
                <w:rFonts w:hint="default" w:ascii="Times New Roman" w:hAnsi="Times New Roman" w:cs="Times New Roman"/>
                <w:highlight w:val="none"/>
              </w:rPr>
            </w:pPr>
            <w:r>
              <w:rPr>
                <w:rFonts w:hint="default" w:ascii="Times New Roman" w:hAnsi="Times New Roman" w:cs="Times New Roman"/>
                <w:color w:val="000000"/>
                <w:highlight w:val="none"/>
              </w:rPr>
              <w:t>《工业企业厂界噪声排放标准》（GB12348-2008）</w:t>
            </w:r>
          </w:p>
        </w:tc>
        <w:tc>
          <w:tcPr>
            <w:tcW w:w="1079" w:type="pct"/>
            <w:vMerge w:val="restart"/>
            <w:vAlign w:val="center"/>
          </w:tcPr>
          <w:p w14:paraId="52272F5D">
            <w:pPr>
              <w:pStyle w:val="185"/>
              <w:rPr>
                <w:rFonts w:hint="default" w:ascii="Times New Roman" w:hAnsi="Times New Roman" w:cs="Times New Roman"/>
                <w:highlight w:val="none"/>
              </w:rPr>
            </w:pPr>
            <w:r>
              <w:rPr>
                <w:rFonts w:hint="default" w:ascii="Times New Roman" w:hAnsi="Times New Roman" w:cs="Times New Roman"/>
                <w:highlight w:val="none"/>
              </w:rPr>
              <w:t>等效连续A声级（Leq）（昼夜）</w:t>
            </w:r>
          </w:p>
          <w:p w14:paraId="254688B9">
            <w:pPr>
              <w:pStyle w:val="185"/>
              <w:rPr>
                <w:rFonts w:hint="default" w:ascii="Times New Roman" w:hAnsi="Times New Roman" w:cs="Times New Roman"/>
                <w:highlight w:val="none"/>
              </w:rPr>
            </w:pPr>
            <w:r>
              <w:rPr>
                <w:rFonts w:hint="default" w:ascii="Times New Roman" w:hAnsi="Times New Roman" w:cs="Times New Roman"/>
                <w:highlight w:val="none"/>
              </w:rPr>
              <w:t>限值：昼间60 dB（A），夜间50 dB（A）</w:t>
            </w:r>
          </w:p>
        </w:tc>
        <w:tc>
          <w:tcPr>
            <w:tcW w:w="1080" w:type="pct"/>
            <w:vMerge w:val="restart"/>
            <w:vAlign w:val="center"/>
          </w:tcPr>
          <w:p w14:paraId="37FAAE47">
            <w:pPr>
              <w:pStyle w:val="185"/>
              <w:rPr>
                <w:rFonts w:hint="default" w:ascii="Times New Roman" w:hAnsi="Times New Roman" w:cs="Times New Roman"/>
                <w:highlight w:val="none"/>
              </w:rPr>
            </w:pPr>
            <w:r>
              <w:rPr>
                <w:rFonts w:hint="default" w:ascii="Times New Roman" w:hAnsi="Times New Roman" w:cs="Times New Roman"/>
                <w:highlight w:val="none"/>
              </w:rPr>
              <w:t>1次/季度</w:t>
            </w:r>
          </w:p>
        </w:tc>
      </w:tr>
      <w:tr w14:paraId="5AA01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488DA4A0">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7CF15767">
            <w:pPr>
              <w:pStyle w:val="185"/>
              <w:rPr>
                <w:rFonts w:hint="default" w:ascii="Times New Roman" w:hAnsi="Times New Roman" w:cs="Times New Roman"/>
                <w:color w:val="000000"/>
                <w:highlight w:val="none"/>
              </w:rPr>
            </w:pPr>
          </w:p>
        </w:tc>
        <w:tc>
          <w:tcPr>
            <w:tcW w:w="1079" w:type="pct"/>
            <w:shd w:val="clear" w:color="auto" w:fill="auto"/>
            <w:vAlign w:val="center"/>
          </w:tcPr>
          <w:p w14:paraId="51B2FCFC">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江河联合站</w:t>
            </w:r>
          </w:p>
        </w:tc>
        <w:tc>
          <w:tcPr>
            <w:tcW w:w="1079" w:type="pct"/>
            <w:vMerge w:val="continue"/>
            <w:vAlign w:val="center"/>
          </w:tcPr>
          <w:p w14:paraId="7ED3BEA7">
            <w:pPr>
              <w:pStyle w:val="185"/>
              <w:rPr>
                <w:rFonts w:hint="default" w:ascii="Times New Roman" w:hAnsi="Times New Roman" w:cs="Times New Roman"/>
                <w:color w:val="000000"/>
                <w:highlight w:val="none"/>
              </w:rPr>
            </w:pPr>
          </w:p>
        </w:tc>
        <w:tc>
          <w:tcPr>
            <w:tcW w:w="1079" w:type="pct"/>
            <w:vMerge w:val="continue"/>
            <w:vAlign w:val="center"/>
          </w:tcPr>
          <w:p w14:paraId="48E900C3">
            <w:pPr>
              <w:pStyle w:val="185"/>
              <w:rPr>
                <w:rFonts w:hint="default" w:ascii="Times New Roman" w:hAnsi="Times New Roman" w:cs="Times New Roman"/>
                <w:highlight w:val="none"/>
              </w:rPr>
            </w:pPr>
          </w:p>
        </w:tc>
        <w:tc>
          <w:tcPr>
            <w:tcW w:w="1080" w:type="pct"/>
            <w:vMerge w:val="continue"/>
            <w:vAlign w:val="center"/>
          </w:tcPr>
          <w:p w14:paraId="475341B9">
            <w:pPr>
              <w:pStyle w:val="185"/>
              <w:rPr>
                <w:rFonts w:hint="default" w:ascii="Times New Roman" w:hAnsi="Times New Roman" w:cs="Times New Roman"/>
                <w:highlight w:val="none"/>
              </w:rPr>
            </w:pPr>
          </w:p>
        </w:tc>
      </w:tr>
      <w:tr w14:paraId="20E8D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4BD3DE7C">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1A0B0DB2">
            <w:pPr>
              <w:pStyle w:val="185"/>
              <w:rPr>
                <w:rFonts w:hint="default" w:ascii="Times New Roman" w:hAnsi="Times New Roman" w:cs="Times New Roman"/>
                <w:color w:val="000000"/>
                <w:highlight w:val="none"/>
              </w:rPr>
            </w:pPr>
          </w:p>
        </w:tc>
        <w:tc>
          <w:tcPr>
            <w:tcW w:w="1079" w:type="pct"/>
            <w:shd w:val="clear" w:color="auto" w:fill="auto"/>
            <w:vAlign w:val="center"/>
          </w:tcPr>
          <w:p w14:paraId="3519268E">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魏岗联合站</w:t>
            </w:r>
          </w:p>
        </w:tc>
        <w:tc>
          <w:tcPr>
            <w:tcW w:w="1079" w:type="pct"/>
            <w:vMerge w:val="continue"/>
            <w:vAlign w:val="center"/>
          </w:tcPr>
          <w:p w14:paraId="4817C55C">
            <w:pPr>
              <w:pStyle w:val="185"/>
              <w:rPr>
                <w:rFonts w:hint="default" w:ascii="Times New Roman" w:hAnsi="Times New Roman" w:cs="Times New Roman"/>
                <w:color w:val="000000"/>
                <w:highlight w:val="none"/>
              </w:rPr>
            </w:pPr>
          </w:p>
        </w:tc>
        <w:tc>
          <w:tcPr>
            <w:tcW w:w="1079" w:type="pct"/>
            <w:vMerge w:val="continue"/>
            <w:vAlign w:val="center"/>
          </w:tcPr>
          <w:p w14:paraId="7BCD31BA">
            <w:pPr>
              <w:pStyle w:val="185"/>
              <w:rPr>
                <w:rFonts w:hint="default" w:ascii="Times New Roman" w:hAnsi="Times New Roman" w:cs="Times New Roman"/>
                <w:highlight w:val="none"/>
              </w:rPr>
            </w:pPr>
          </w:p>
        </w:tc>
        <w:tc>
          <w:tcPr>
            <w:tcW w:w="1080" w:type="pct"/>
            <w:vMerge w:val="continue"/>
            <w:vAlign w:val="center"/>
          </w:tcPr>
          <w:p w14:paraId="73E7FA50">
            <w:pPr>
              <w:pStyle w:val="185"/>
              <w:rPr>
                <w:rFonts w:hint="default" w:ascii="Times New Roman" w:hAnsi="Times New Roman" w:cs="Times New Roman"/>
                <w:highlight w:val="none"/>
              </w:rPr>
            </w:pPr>
          </w:p>
        </w:tc>
      </w:tr>
      <w:tr w14:paraId="4E077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1F30E892">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3256ED9A">
            <w:pPr>
              <w:pStyle w:val="185"/>
              <w:rPr>
                <w:rFonts w:hint="default" w:ascii="Times New Roman" w:hAnsi="Times New Roman" w:cs="Times New Roman"/>
                <w:color w:val="000000"/>
                <w:highlight w:val="none"/>
              </w:rPr>
            </w:pPr>
          </w:p>
        </w:tc>
        <w:tc>
          <w:tcPr>
            <w:tcW w:w="1079" w:type="pct"/>
            <w:shd w:val="clear" w:color="auto" w:fill="auto"/>
            <w:vAlign w:val="center"/>
          </w:tcPr>
          <w:p w14:paraId="4BE5E823">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安棚转油站</w:t>
            </w:r>
          </w:p>
        </w:tc>
        <w:tc>
          <w:tcPr>
            <w:tcW w:w="1079" w:type="pct"/>
            <w:vMerge w:val="continue"/>
            <w:vAlign w:val="center"/>
          </w:tcPr>
          <w:p w14:paraId="0A641C44">
            <w:pPr>
              <w:pStyle w:val="185"/>
              <w:rPr>
                <w:rFonts w:hint="default" w:ascii="Times New Roman" w:hAnsi="Times New Roman" w:cs="Times New Roman"/>
                <w:color w:val="000000"/>
                <w:highlight w:val="none"/>
              </w:rPr>
            </w:pPr>
          </w:p>
        </w:tc>
        <w:tc>
          <w:tcPr>
            <w:tcW w:w="1079" w:type="pct"/>
            <w:vMerge w:val="continue"/>
            <w:vAlign w:val="center"/>
          </w:tcPr>
          <w:p w14:paraId="46ABA49D">
            <w:pPr>
              <w:pStyle w:val="185"/>
              <w:rPr>
                <w:rFonts w:hint="default" w:ascii="Times New Roman" w:hAnsi="Times New Roman" w:cs="Times New Roman"/>
                <w:highlight w:val="none"/>
              </w:rPr>
            </w:pPr>
          </w:p>
        </w:tc>
        <w:tc>
          <w:tcPr>
            <w:tcW w:w="1080" w:type="pct"/>
            <w:vMerge w:val="continue"/>
            <w:vAlign w:val="center"/>
          </w:tcPr>
          <w:p w14:paraId="748AC8B8">
            <w:pPr>
              <w:pStyle w:val="185"/>
              <w:rPr>
                <w:rFonts w:hint="default" w:ascii="Times New Roman" w:hAnsi="Times New Roman" w:cs="Times New Roman"/>
                <w:highlight w:val="none"/>
              </w:rPr>
            </w:pPr>
          </w:p>
        </w:tc>
      </w:tr>
      <w:tr w14:paraId="0888F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0EEA186A">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45B74298">
            <w:pPr>
              <w:pStyle w:val="185"/>
              <w:rPr>
                <w:rFonts w:hint="default" w:ascii="Times New Roman" w:hAnsi="Times New Roman" w:cs="Times New Roman"/>
                <w:color w:val="000000"/>
                <w:highlight w:val="none"/>
              </w:rPr>
            </w:pPr>
          </w:p>
        </w:tc>
        <w:tc>
          <w:tcPr>
            <w:tcW w:w="1079" w:type="pct"/>
            <w:shd w:val="clear" w:color="auto" w:fill="auto"/>
            <w:vAlign w:val="center"/>
          </w:tcPr>
          <w:p w14:paraId="2282A1E1">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魏岗区油泥砂转运点</w:t>
            </w:r>
          </w:p>
        </w:tc>
        <w:tc>
          <w:tcPr>
            <w:tcW w:w="1079" w:type="pct"/>
            <w:vMerge w:val="continue"/>
            <w:vAlign w:val="center"/>
          </w:tcPr>
          <w:p w14:paraId="4CC7AECA">
            <w:pPr>
              <w:pStyle w:val="185"/>
              <w:rPr>
                <w:rFonts w:hint="default" w:ascii="Times New Roman" w:hAnsi="Times New Roman" w:cs="Times New Roman"/>
                <w:color w:val="000000"/>
                <w:highlight w:val="none"/>
              </w:rPr>
            </w:pPr>
          </w:p>
        </w:tc>
        <w:tc>
          <w:tcPr>
            <w:tcW w:w="1079" w:type="pct"/>
            <w:vMerge w:val="continue"/>
            <w:vAlign w:val="center"/>
          </w:tcPr>
          <w:p w14:paraId="6D88B209">
            <w:pPr>
              <w:pStyle w:val="185"/>
              <w:rPr>
                <w:rFonts w:hint="default" w:ascii="Times New Roman" w:hAnsi="Times New Roman" w:cs="Times New Roman"/>
                <w:highlight w:val="none"/>
              </w:rPr>
            </w:pPr>
          </w:p>
        </w:tc>
        <w:tc>
          <w:tcPr>
            <w:tcW w:w="1080" w:type="pct"/>
            <w:vMerge w:val="continue"/>
            <w:vAlign w:val="center"/>
          </w:tcPr>
          <w:p w14:paraId="2B9C3FEF">
            <w:pPr>
              <w:pStyle w:val="185"/>
              <w:rPr>
                <w:rFonts w:hint="default" w:ascii="Times New Roman" w:hAnsi="Times New Roman" w:cs="Times New Roman"/>
                <w:highlight w:val="none"/>
              </w:rPr>
            </w:pPr>
          </w:p>
        </w:tc>
      </w:tr>
      <w:tr w14:paraId="29B04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091302B5">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395B7D58">
            <w:pPr>
              <w:pStyle w:val="185"/>
              <w:rPr>
                <w:rFonts w:hint="default" w:ascii="Times New Roman" w:hAnsi="Times New Roman" w:cs="Times New Roman"/>
                <w:color w:val="000000"/>
                <w:highlight w:val="none"/>
              </w:rPr>
            </w:pPr>
          </w:p>
        </w:tc>
        <w:tc>
          <w:tcPr>
            <w:tcW w:w="1079" w:type="pct"/>
            <w:shd w:val="clear" w:color="auto" w:fill="auto"/>
            <w:vAlign w:val="center"/>
          </w:tcPr>
          <w:p w14:paraId="05E47D87">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江河区油泥砂转运点</w:t>
            </w:r>
          </w:p>
        </w:tc>
        <w:tc>
          <w:tcPr>
            <w:tcW w:w="1079" w:type="pct"/>
            <w:vMerge w:val="continue"/>
            <w:vAlign w:val="center"/>
          </w:tcPr>
          <w:p w14:paraId="666C1F51">
            <w:pPr>
              <w:pStyle w:val="185"/>
              <w:rPr>
                <w:rFonts w:hint="default" w:ascii="Times New Roman" w:hAnsi="Times New Roman" w:cs="Times New Roman"/>
                <w:color w:val="000000"/>
                <w:highlight w:val="none"/>
              </w:rPr>
            </w:pPr>
          </w:p>
        </w:tc>
        <w:tc>
          <w:tcPr>
            <w:tcW w:w="1079" w:type="pct"/>
            <w:vMerge w:val="continue"/>
            <w:vAlign w:val="center"/>
          </w:tcPr>
          <w:p w14:paraId="4AF862BD">
            <w:pPr>
              <w:pStyle w:val="185"/>
              <w:rPr>
                <w:rFonts w:hint="default" w:ascii="Times New Roman" w:hAnsi="Times New Roman" w:cs="Times New Roman"/>
                <w:highlight w:val="none"/>
              </w:rPr>
            </w:pPr>
          </w:p>
        </w:tc>
        <w:tc>
          <w:tcPr>
            <w:tcW w:w="1080" w:type="pct"/>
            <w:vMerge w:val="continue"/>
            <w:vAlign w:val="center"/>
          </w:tcPr>
          <w:p w14:paraId="4DD62937">
            <w:pPr>
              <w:pStyle w:val="185"/>
              <w:rPr>
                <w:rFonts w:hint="default" w:ascii="Times New Roman" w:hAnsi="Times New Roman" w:cs="Times New Roman"/>
                <w:highlight w:val="none"/>
              </w:rPr>
            </w:pPr>
          </w:p>
        </w:tc>
      </w:tr>
      <w:tr w14:paraId="1EFE8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6BBBAAC3">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1992FEA4">
            <w:pPr>
              <w:pStyle w:val="185"/>
              <w:rPr>
                <w:rFonts w:hint="default" w:ascii="Times New Roman" w:hAnsi="Times New Roman" w:cs="Times New Roman"/>
                <w:color w:val="000000"/>
                <w:highlight w:val="none"/>
              </w:rPr>
            </w:pPr>
          </w:p>
        </w:tc>
        <w:tc>
          <w:tcPr>
            <w:tcW w:w="1079" w:type="pct"/>
            <w:shd w:val="clear" w:color="auto" w:fill="auto"/>
            <w:vAlign w:val="center"/>
          </w:tcPr>
          <w:p w14:paraId="373FA089">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下二门区油泥砂转运点</w:t>
            </w:r>
          </w:p>
        </w:tc>
        <w:tc>
          <w:tcPr>
            <w:tcW w:w="1079" w:type="pct"/>
            <w:vMerge w:val="continue"/>
            <w:vAlign w:val="center"/>
          </w:tcPr>
          <w:p w14:paraId="0AF2BAAD">
            <w:pPr>
              <w:pStyle w:val="185"/>
              <w:rPr>
                <w:rFonts w:hint="default" w:ascii="Times New Roman" w:hAnsi="Times New Roman" w:cs="Times New Roman"/>
                <w:color w:val="000000"/>
                <w:highlight w:val="none"/>
              </w:rPr>
            </w:pPr>
          </w:p>
        </w:tc>
        <w:tc>
          <w:tcPr>
            <w:tcW w:w="1079" w:type="pct"/>
            <w:vMerge w:val="continue"/>
            <w:vAlign w:val="center"/>
          </w:tcPr>
          <w:p w14:paraId="737CF154">
            <w:pPr>
              <w:pStyle w:val="185"/>
              <w:rPr>
                <w:rFonts w:hint="default" w:ascii="Times New Roman" w:hAnsi="Times New Roman" w:cs="Times New Roman"/>
                <w:highlight w:val="none"/>
              </w:rPr>
            </w:pPr>
          </w:p>
        </w:tc>
        <w:tc>
          <w:tcPr>
            <w:tcW w:w="1080" w:type="pct"/>
            <w:vMerge w:val="continue"/>
            <w:vAlign w:val="center"/>
          </w:tcPr>
          <w:p w14:paraId="6374386B">
            <w:pPr>
              <w:pStyle w:val="185"/>
              <w:rPr>
                <w:rFonts w:hint="default" w:ascii="Times New Roman" w:hAnsi="Times New Roman" w:cs="Times New Roman"/>
                <w:highlight w:val="none"/>
              </w:rPr>
            </w:pPr>
          </w:p>
        </w:tc>
      </w:tr>
      <w:tr w14:paraId="1AF31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312" w:type="pct"/>
            <w:vMerge w:val="continue"/>
            <w:shd w:val="clear" w:color="auto" w:fill="auto"/>
            <w:vAlign w:val="center"/>
          </w:tcPr>
          <w:p w14:paraId="4468B2C1">
            <w:pPr>
              <w:pStyle w:val="185"/>
              <w:rPr>
                <w:rFonts w:hint="default" w:ascii="Times New Roman" w:hAnsi="Times New Roman" w:cs="Times New Roman"/>
                <w:color w:val="000000"/>
                <w:highlight w:val="none"/>
              </w:rPr>
            </w:pPr>
          </w:p>
        </w:tc>
        <w:tc>
          <w:tcPr>
            <w:tcW w:w="370" w:type="pct"/>
            <w:vMerge w:val="continue"/>
            <w:shd w:val="clear" w:color="auto" w:fill="auto"/>
            <w:vAlign w:val="center"/>
          </w:tcPr>
          <w:p w14:paraId="55BCB56D">
            <w:pPr>
              <w:pStyle w:val="185"/>
              <w:rPr>
                <w:rFonts w:hint="default" w:ascii="Times New Roman" w:hAnsi="Times New Roman" w:cs="Times New Roman"/>
                <w:color w:val="000000"/>
                <w:highlight w:val="none"/>
              </w:rPr>
            </w:pPr>
          </w:p>
        </w:tc>
        <w:tc>
          <w:tcPr>
            <w:tcW w:w="1079" w:type="pct"/>
            <w:shd w:val="clear" w:color="auto" w:fill="auto"/>
            <w:vAlign w:val="center"/>
          </w:tcPr>
          <w:p w14:paraId="35710BA1">
            <w:pPr>
              <w:pStyle w:val="185"/>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下二门联合站</w:t>
            </w:r>
          </w:p>
        </w:tc>
        <w:tc>
          <w:tcPr>
            <w:tcW w:w="1079" w:type="pct"/>
            <w:vMerge w:val="continue"/>
            <w:vAlign w:val="center"/>
          </w:tcPr>
          <w:p w14:paraId="490DCEE6">
            <w:pPr>
              <w:pStyle w:val="185"/>
              <w:rPr>
                <w:rFonts w:hint="default" w:ascii="Times New Roman" w:hAnsi="Times New Roman" w:cs="Times New Roman"/>
                <w:color w:val="000000"/>
                <w:highlight w:val="none"/>
              </w:rPr>
            </w:pPr>
          </w:p>
        </w:tc>
        <w:tc>
          <w:tcPr>
            <w:tcW w:w="1079" w:type="pct"/>
            <w:vMerge w:val="continue"/>
            <w:vAlign w:val="center"/>
          </w:tcPr>
          <w:p w14:paraId="28E7104C">
            <w:pPr>
              <w:pStyle w:val="185"/>
              <w:rPr>
                <w:rFonts w:hint="default" w:ascii="Times New Roman" w:hAnsi="Times New Roman" w:cs="Times New Roman"/>
                <w:highlight w:val="none"/>
              </w:rPr>
            </w:pPr>
          </w:p>
        </w:tc>
        <w:tc>
          <w:tcPr>
            <w:tcW w:w="1080" w:type="pct"/>
            <w:vMerge w:val="continue"/>
            <w:vAlign w:val="center"/>
          </w:tcPr>
          <w:p w14:paraId="0118986C">
            <w:pPr>
              <w:pStyle w:val="185"/>
              <w:rPr>
                <w:rFonts w:hint="default" w:ascii="Times New Roman" w:hAnsi="Times New Roman" w:cs="Times New Roman"/>
                <w:highlight w:val="none"/>
              </w:rPr>
            </w:pPr>
          </w:p>
        </w:tc>
      </w:tr>
      <w:tr w14:paraId="44704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12" w:type="pct"/>
            <w:vMerge w:val="restart"/>
            <w:shd w:val="clear" w:color="auto" w:fill="auto"/>
            <w:vAlign w:val="center"/>
          </w:tcPr>
          <w:p w14:paraId="25553C1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井场</w:t>
            </w:r>
          </w:p>
        </w:tc>
        <w:tc>
          <w:tcPr>
            <w:tcW w:w="370" w:type="pct"/>
            <w:shd w:val="clear" w:color="auto" w:fill="auto"/>
            <w:vAlign w:val="center"/>
          </w:tcPr>
          <w:p w14:paraId="51EFB8D7">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双河巡检站</w:t>
            </w:r>
          </w:p>
        </w:tc>
        <w:tc>
          <w:tcPr>
            <w:tcW w:w="1079" w:type="pct"/>
            <w:shd w:val="clear" w:color="auto" w:fill="auto"/>
            <w:vAlign w:val="center"/>
          </w:tcPr>
          <w:p w14:paraId="7492F28F">
            <w:pPr>
              <w:pStyle w:val="185"/>
              <w:rPr>
                <w:rFonts w:hint="default" w:ascii="Times New Roman" w:hAnsi="Times New Roman" w:cs="Times New Roman"/>
                <w:highlight w:val="none"/>
              </w:rPr>
            </w:pPr>
            <w:r>
              <w:rPr>
                <w:rFonts w:hint="default" w:ascii="Times New Roman" w:hAnsi="Times New Roman" w:cs="Times New Roman"/>
                <w:highlight w:val="none"/>
              </w:rPr>
              <w:t>注聚3#站</w:t>
            </w:r>
          </w:p>
        </w:tc>
        <w:tc>
          <w:tcPr>
            <w:tcW w:w="1079" w:type="pct"/>
            <w:vMerge w:val="restart"/>
            <w:vAlign w:val="center"/>
          </w:tcPr>
          <w:p w14:paraId="3E18CE61">
            <w:pPr>
              <w:pStyle w:val="185"/>
              <w:rPr>
                <w:rFonts w:hint="default" w:ascii="Times New Roman" w:hAnsi="Times New Roman" w:cs="Times New Roman"/>
                <w:highlight w:val="none"/>
              </w:rPr>
            </w:pPr>
            <w:r>
              <w:rPr>
                <w:rFonts w:hint="default" w:ascii="Times New Roman" w:hAnsi="Times New Roman" w:cs="Times New Roman"/>
                <w:color w:val="000000"/>
                <w:highlight w:val="none"/>
              </w:rPr>
              <w:t>《工业企业厂界噪声排放标准》（GB12348-2008）</w:t>
            </w:r>
          </w:p>
        </w:tc>
        <w:tc>
          <w:tcPr>
            <w:tcW w:w="1079" w:type="pct"/>
            <w:vMerge w:val="restart"/>
            <w:vAlign w:val="center"/>
          </w:tcPr>
          <w:p w14:paraId="63A8A4C4">
            <w:pPr>
              <w:pStyle w:val="185"/>
              <w:rPr>
                <w:rFonts w:hint="default" w:ascii="Times New Roman" w:hAnsi="Times New Roman" w:cs="Times New Roman"/>
                <w:highlight w:val="none"/>
              </w:rPr>
            </w:pPr>
            <w:r>
              <w:rPr>
                <w:rFonts w:hint="default" w:ascii="Times New Roman" w:hAnsi="Times New Roman" w:cs="Times New Roman"/>
                <w:highlight w:val="none"/>
              </w:rPr>
              <w:t>等效连续A声级（Leq）（昼夜）</w:t>
            </w:r>
          </w:p>
          <w:p w14:paraId="13266B8B">
            <w:pPr>
              <w:pStyle w:val="185"/>
              <w:rPr>
                <w:rFonts w:hint="default" w:ascii="Times New Roman" w:hAnsi="Times New Roman" w:cs="Times New Roman"/>
                <w:highlight w:val="none"/>
              </w:rPr>
            </w:pPr>
            <w:r>
              <w:rPr>
                <w:rFonts w:hint="default" w:ascii="Times New Roman" w:hAnsi="Times New Roman" w:cs="Times New Roman"/>
                <w:highlight w:val="none"/>
              </w:rPr>
              <w:t>限值：昼间60 dB（A），夜间50 dB（A）</w:t>
            </w:r>
          </w:p>
        </w:tc>
        <w:tc>
          <w:tcPr>
            <w:tcW w:w="1080" w:type="pct"/>
            <w:vMerge w:val="restart"/>
            <w:vAlign w:val="center"/>
          </w:tcPr>
          <w:p w14:paraId="786F4A4C">
            <w:pPr>
              <w:pStyle w:val="185"/>
              <w:jc w:val="center"/>
              <w:rPr>
                <w:rFonts w:hint="default" w:ascii="Times New Roman" w:hAnsi="Times New Roman" w:cs="Times New Roman"/>
                <w:highlight w:val="none"/>
              </w:rPr>
            </w:pPr>
            <w:r>
              <w:rPr>
                <w:rFonts w:hint="default" w:ascii="Times New Roman" w:hAnsi="Times New Roman" w:cs="Times New Roman"/>
                <w:highlight w:val="none"/>
              </w:rPr>
              <w:t>1次/季度</w:t>
            </w:r>
          </w:p>
        </w:tc>
      </w:tr>
      <w:tr w14:paraId="2AE4A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12" w:type="pct"/>
            <w:vMerge w:val="continue"/>
            <w:shd w:val="clear" w:color="auto" w:fill="auto"/>
            <w:vAlign w:val="center"/>
          </w:tcPr>
          <w:p w14:paraId="23157763">
            <w:pPr>
              <w:pStyle w:val="185"/>
              <w:rPr>
                <w:rFonts w:hint="default" w:ascii="Times New Roman" w:hAnsi="Times New Roman" w:cs="Times New Roman"/>
                <w:color w:val="000000"/>
                <w:highlight w:val="none"/>
              </w:rPr>
            </w:pPr>
          </w:p>
        </w:tc>
        <w:tc>
          <w:tcPr>
            <w:tcW w:w="370" w:type="pct"/>
            <w:shd w:val="clear" w:color="auto" w:fill="auto"/>
            <w:vAlign w:val="center"/>
          </w:tcPr>
          <w:p w14:paraId="0991C48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江河巡检站</w:t>
            </w:r>
          </w:p>
        </w:tc>
        <w:tc>
          <w:tcPr>
            <w:tcW w:w="1079" w:type="pct"/>
            <w:shd w:val="clear" w:color="auto" w:fill="auto"/>
            <w:vAlign w:val="center"/>
          </w:tcPr>
          <w:p w14:paraId="382CD498">
            <w:pPr>
              <w:pStyle w:val="185"/>
              <w:rPr>
                <w:rFonts w:hint="default" w:ascii="Times New Roman" w:hAnsi="Times New Roman" w:cs="Times New Roman"/>
                <w:highlight w:val="none"/>
              </w:rPr>
            </w:pPr>
            <w:r>
              <w:rPr>
                <w:rFonts w:hint="default" w:ascii="Times New Roman" w:hAnsi="Times New Roman" w:cs="Times New Roman"/>
                <w:highlight w:val="none"/>
              </w:rPr>
              <w:t>5#注聚站</w:t>
            </w:r>
          </w:p>
        </w:tc>
        <w:tc>
          <w:tcPr>
            <w:tcW w:w="1079" w:type="pct"/>
            <w:vMerge w:val="continue"/>
          </w:tcPr>
          <w:p w14:paraId="44FA4BD4">
            <w:pPr>
              <w:pStyle w:val="185"/>
              <w:rPr>
                <w:rFonts w:hint="default" w:ascii="Times New Roman" w:hAnsi="Times New Roman" w:cs="Times New Roman"/>
                <w:highlight w:val="none"/>
              </w:rPr>
            </w:pPr>
          </w:p>
        </w:tc>
        <w:tc>
          <w:tcPr>
            <w:tcW w:w="1079" w:type="pct"/>
            <w:vMerge w:val="continue"/>
            <w:vAlign w:val="center"/>
          </w:tcPr>
          <w:p w14:paraId="2BC40DEF">
            <w:pPr>
              <w:pStyle w:val="185"/>
              <w:rPr>
                <w:rFonts w:hint="default" w:ascii="Times New Roman" w:hAnsi="Times New Roman" w:cs="Times New Roman"/>
                <w:highlight w:val="none"/>
              </w:rPr>
            </w:pPr>
          </w:p>
        </w:tc>
        <w:tc>
          <w:tcPr>
            <w:tcW w:w="1080" w:type="pct"/>
            <w:vMerge w:val="continue"/>
            <w:vAlign w:val="center"/>
          </w:tcPr>
          <w:p w14:paraId="7E616977">
            <w:pPr>
              <w:pStyle w:val="185"/>
              <w:rPr>
                <w:rFonts w:hint="default" w:ascii="Times New Roman" w:hAnsi="Times New Roman" w:cs="Times New Roman"/>
                <w:highlight w:val="none"/>
              </w:rPr>
            </w:pPr>
          </w:p>
        </w:tc>
      </w:tr>
      <w:tr w14:paraId="2074C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312" w:type="pct"/>
            <w:vMerge w:val="continue"/>
            <w:shd w:val="clear" w:color="auto" w:fill="auto"/>
            <w:vAlign w:val="center"/>
          </w:tcPr>
          <w:p w14:paraId="1FEDAA03">
            <w:pPr>
              <w:pStyle w:val="185"/>
              <w:rPr>
                <w:rFonts w:hint="default" w:ascii="Times New Roman" w:hAnsi="Times New Roman" w:cs="Times New Roman"/>
                <w:color w:val="000000"/>
                <w:highlight w:val="none"/>
              </w:rPr>
            </w:pPr>
          </w:p>
        </w:tc>
        <w:tc>
          <w:tcPr>
            <w:tcW w:w="370" w:type="pct"/>
            <w:shd w:val="clear" w:color="auto" w:fill="auto"/>
            <w:vAlign w:val="center"/>
          </w:tcPr>
          <w:p w14:paraId="7B9FFD5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下二门巡检站</w:t>
            </w:r>
          </w:p>
        </w:tc>
        <w:tc>
          <w:tcPr>
            <w:tcW w:w="1079" w:type="pct"/>
            <w:shd w:val="clear" w:color="auto" w:fill="auto"/>
            <w:vAlign w:val="center"/>
          </w:tcPr>
          <w:p w14:paraId="43C61086">
            <w:pPr>
              <w:pStyle w:val="185"/>
              <w:rPr>
                <w:rFonts w:hint="default" w:ascii="Times New Roman" w:hAnsi="Times New Roman" w:cs="Times New Roman"/>
                <w:highlight w:val="none"/>
              </w:rPr>
            </w:pPr>
            <w:r>
              <w:rPr>
                <w:rFonts w:hint="default" w:ascii="Times New Roman" w:hAnsi="Times New Roman" w:cs="Times New Roman"/>
                <w:highlight w:val="none"/>
              </w:rPr>
              <w:t xml:space="preserve">17#计量站  </w:t>
            </w:r>
          </w:p>
        </w:tc>
        <w:tc>
          <w:tcPr>
            <w:tcW w:w="1079" w:type="pct"/>
            <w:vMerge w:val="continue"/>
          </w:tcPr>
          <w:p w14:paraId="03642D96">
            <w:pPr>
              <w:pStyle w:val="185"/>
              <w:rPr>
                <w:rFonts w:hint="default" w:ascii="Times New Roman" w:hAnsi="Times New Roman" w:cs="Times New Roman"/>
                <w:highlight w:val="none"/>
              </w:rPr>
            </w:pPr>
          </w:p>
        </w:tc>
        <w:tc>
          <w:tcPr>
            <w:tcW w:w="1079" w:type="pct"/>
            <w:vMerge w:val="continue"/>
            <w:vAlign w:val="center"/>
          </w:tcPr>
          <w:p w14:paraId="7DC619E8">
            <w:pPr>
              <w:pStyle w:val="185"/>
              <w:rPr>
                <w:rFonts w:hint="default" w:ascii="Times New Roman" w:hAnsi="Times New Roman" w:cs="Times New Roman"/>
                <w:highlight w:val="none"/>
              </w:rPr>
            </w:pPr>
          </w:p>
        </w:tc>
        <w:tc>
          <w:tcPr>
            <w:tcW w:w="1080" w:type="pct"/>
            <w:vMerge w:val="continue"/>
            <w:vAlign w:val="center"/>
          </w:tcPr>
          <w:p w14:paraId="035FB7FA">
            <w:pPr>
              <w:pStyle w:val="185"/>
              <w:rPr>
                <w:rFonts w:hint="default" w:ascii="Times New Roman" w:hAnsi="Times New Roman" w:cs="Times New Roman"/>
                <w:highlight w:val="none"/>
              </w:rPr>
            </w:pPr>
          </w:p>
        </w:tc>
      </w:tr>
      <w:tr w14:paraId="3ED05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6" w:hRule="atLeast"/>
          <w:jc w:val="center"/>
        </w:trPr>
        <w:tc>
          <w:tcPr>
            <w:tcW w:w="312" w:type="pct"/>
            <w:vMerge w:val="continue"/>
            <w:shd w:val="clear" w:color="auto" w:fill="auto"/>
            <w:vAlign w:val="center"/>
          </w:tcPr>
          <w:p w14:paraId="3B16B678">
            <w:pPr>
              <w:pStyle w:val="185"/>
              <w:rPr>
                <w:rFonts w:hint="default" w:ascii="Times New Roman" w:hAnsi="Times New Roman" w:cs="Times New Roman"/>
                <w:color w:val="000000"/>
                <w:highlight w:val="none"/>
              </w:rPr>
            </w:pPr>
          </w:p>
        </w:tc>
        <w:tc>
          <w:tcPr>
            <w:tcW w:w="370" w:type="pct"/>
            <w:shd w:val="clear" w:color="auto" w:fill="auto"/>
            <w:vAlign w:val="center"/>
          </w:tcPr>
          <w:p w14:paraId="7162F72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魏岗巡检站</w:t>
            </w:r>
          </w:p>
        </w:tc>
        <w:tc>
          <w:tcPr>
            <w:tcW w:w="1079" w:type="pct"/>
            <w:shd w:val="clear" w:color="auto" w:fill="auto"/>
            <w:vAlign w:val="center"/>
          </w:tcPr>
          <w:p w14:paraId="7CB17487">
            <w:pPr>
              <w:pStyle w:val="185"/>
              <w:rPr>
                <w:rFonts w:hint="default" w:ascii="Times New Roman" w:hAnsi="Times New Roman" w:cs="Times New Roman"/>
                <w:highlight w:val="none"/>
              </w:rPr>
            </w:pPr>
            <w:r>
              <w:rPr>
                <w:rFonts w:hint="default" w:ascii="Times New Roman" w:hAnsi="Times New Roman" w:cs="Times New Roman"/>
                <w:highlight w:val="none"/>
              </w:rPr>
              <w:t>11#计量站</w:t>
            </w:r>
          </w:p>
        </w:tc>
        <w:tc>
          <w:tcPr>
            <w:tcW w:w="1079" w:type="pct"/>
            <w:vMerge w:val="continue"/>
          </w:tcPr>
          <w:p w14:paraId="5ED2E8EE">
            <w:pPr>
              <w:pStyle w:val="185"/>
              <w:rPr>
                <w:rFonts w:hint="default" w:ascii="Times New Roman" w:hAnsi="Times New Roman" w:cs="Times New Roman"/>
                <w:highlight w:val="none"/>
              </w:rPr>
            </w:pPr>
          </w:p>
        </w:tc>
        <w:tc>
          <w:tcPr>
            <w:tcW w:w="1079" w:type="pct"/>
            <w:vMerge w:val="continue"/>
            <w:vAlign w:val="center"/>
          </w:tcPr>
          <w:p w14:paraId="3AFA96EF">
            <w:pPr>
              <w:pStyle w:val="185"/>
              <w:rPr>
                <w:rFonts w:hint="default" w:ascii="Times New Roman" w:hAnsi="Times New Roman" w:cs="Times New Roman"/>
                <w:highlight w:val="none"/>
              </w:rPr>
            </w:pPr>
          </w:p>
        </w:tc>
        <w:tc>
          <w:tcPr>
            <w:tcW w:w="1080" w:type="pct"/>
            <w:vMerge w:val="continue"/>
            <w:vAlign w:val="center"/>
          </w:tcPr>
          <w:p w14:paraId="475C2B74">
            <w:pPr>
              <w:pStyle w:val="185"/>
              <w:rPr>
                <w:rFonts w:hint="default" w:ascii="Times New Roman" w:hAnsi="Times New Roman" w:cs="Times New Roman"/>
                <w:highlight w:val="none"/>
              </w:rPr>
            </w:pPr>
          </w:p>
        </w:tc>
      </w:tr>
    </w:tbl>
    <w:p w14:paraId="7DC3DEB3">
      <w:pPr>
        <w:pStyle w:val="185"/>
        <w:rPr>
          <w:rFonts w:hint="default" w:ascii="Times New Roman" w:hAnsi="Times New Roman" w:cs="Times New Roman"/>
          <w:color w:val="000000"/>
          <w:highlight w:val="none"/>
        </w:rPr>
      </w:pPr>
    </w:p>
    <w:p w14:paraId="7A45F641">
      <w:pPr>
        <w:pStyle w:val="2"/>
        <w:rPr>
          <w:rFonts w:hint="default" w:ascii="Times New Roman" w:hAnsi="Times New Roman" w:cs="Times New Roman"/>
          <w:color w:val="000000"/>
        </w:rPr>
      </w:pPr>
      <w:r>
        <w:rPr>
          <w:rFonts w:hint="default" w:ascii="Times New Roman" w:hAnsi="Times New Roman" w:cs="Times New Roman"/>
          <w:color w:val="000000"/>
        </w:rPr>
        <w:t>壤和地下水监测（环境质量监测）</w:t>
      </w:r>
    </w:p>
    <w:p w14:paraId="69050D81">
      <w:pPr>
        <w:pStyle w:val="3"/>
        <w:rPr>
          <w:rFonts w:hint="default" w:ascii="Times New Roman" w:hAnsi="Times New Roman" w:cs="Times New Roman"/>
          <w:color w:val="000000"/>
        </w:rPr>
      </w:pPr>
      <w:r>
        <w:rPr>
          <w:rFonts w:hint="default" w:ascii="Times New Roman" w:hAnsi="Times New Roman" w:cs="Times New Roman"/>
          <w:color w:val="000000"/>
        </w:rPr>
        <w:t>土壤与地下水执行限值</w:t>
      </w:r>
    </w:p>
    <w:p w14:paraId="01E3EB4E">
      <w:pPr>
        <w:ind w:firstLine="480"/>
        <w:rPr>
          <w:rFonts w:hint="default" w:ascii="Times New Roman" w:hAnsi="Times New Roman" w:cs="Times New Roman"/>
          <w:color w:val="000000"/>
        </w:rPr>
      </w:pPr>
      <w:r>
        <w:rPr>
          <w:rFonts w:hint="default" w:ascii="Times New Roman" w:hAnsi="Times New Roman" w:cs="Times New Roman"/>
          <w:color w:val="000000"/>
        </w:rPr>
        <w:t>土壤执行GB36600-2018《土壤环境质量建设用地土壤污染风险管控标准（试行）》中“第二类用地”风险筛选值，石油类和石油烃（C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）暂无执行限值；地下水执行GB14848-2017《地下水质量标准》中“Ⅲ类水”限值</w:t>
      </w:r>
      <w:r>
        <w:rPr>
          <w:rFonts w:hint="default" w:ascii="Times New Roman" w:hAnsi="Times New Roman" w:cs="Times New Roman"/>
          <w:color w:val="000000"/>
          <w:lang w:eastAsia="zh-CN"/>
        </w:rPr>
        <w:t>，</w:t>
      </w:r>
      <w:r>
        <w:rPr>
          <w:rFonts w:hint="default" w:ascii="Times New Roman" w:hAnsi="Times New Roman" w:cs="Times New Roman"/>
          <w:color w:val="000000"/>
        </w:rPr>
        <w:t>详细限值见下表。</w:t>
      </w:r>
    </w:p>
    <w:p w14:paraId="1FC6AFDB">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16</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土壤污染物及浓度限值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855"/>
        <w:gridCol w:w="3120"/>
        <w:gridCol w:w="1233"/>
        <w:gridCol w:w="1799"/>
        <w:gridCol w:w="855"/>
        <w:gridCol w:w="3307"/>
        <w:gridCol w:w="1233"/>
        <w:gridCol w:w="1612"/>
      </w:tblGrid>
      <w:tr w14:paraId="62ED66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blHeader/>
        </w:trPr>
        <w:tc>
          <w:tcPr>
            <w:tcW w:w="305" w:type="pct"/>
            <w:shd w:val="clear" w:color="auto" w:fill="auto"/>
            <w:noWrap/>
            <w:vAlign w:val="center"/>
          </w:tcPr>
          <w:p w14:paraId="245537F5">
            <w:pPr>
              <w:pStyle w:val="185"/>
              <w:rPr>
                <w:rFonts w:hint="default" w:ascii="Times New Roman" w:hAnsi="Times New Roman" w:cs="Times New Roman"/>
                <w:color w:val="000000"/>
              </w:rPr>
            </w:pPr>
            <w:r>
              <w:rPr>
                <w:rFonts w:hint="default" w:ascii="Times New Roman" w:hAnsi="Times New Roman" w:cs="Times New Roman"/>
                <w:color w:val="000000"/>
              </w:rPr>
              <w:t>序号</w:t>
            </w:r>
          </w:p>
        </w:tc>
        <w:tc>
          <w:tcPr>
            <w:tcW w:w="1113" w:type="pct"/>
            <w:shd w:val="clear" w:color="auto" w:fill="auto"/>
            <w:noWrap/>
            <w:vAlign w:val="center"/>
          </w:tcPr>
          <w:p w14:paraId="745082D9">
            <w:pPr>
              <w:pStyle w:val="185"/>
              <w:rPr>
                <w:rFonts w:hint="default" w:ascii="Times New Roman" w:hAnsi="Times New Roman" w:cs="Times New Roman"/>
                <w:color w:val="000000"/>
              </w:rPr>
            </w:pPr>
            <w:r>
              <w:rPr>
                <w:rFonts w:hint="default" w:ascii="Times New Roman" w:hAnsi="Times New Roman" w:cs="Times New Roman"/>
                <w:color w:val="000000"/>
              </w:rPr>
              <w:t>污染物</w:t>
            </w:r>
          </w:p>
          <w:p w14:paraId="4FB8BEA9">
            <w:pPr>
              <w:pStyle w:val="185"/>
              <w:rPr>
                <w:rFonts w:hint="default" w:ascii="Times New Roman" w:hAnsi="Times New Roman" w:cs="Times New Roman"/>
                <w:color w:val="000000"/>
              </w:rPr>
            </w:pPr>
            <w:r>
              <w:rPr>
                <w:rFonts w:hint="default" w:ascii="Times New Roman" w:hAnsi="Times New Roman" w:cs="Times New Roman"/>
                <w:color w:val="000000"/>
              </w:rPr>
              <w:t>名称</w:t>
            </w:r>
          </w:p>
        </w:tc>
        <w:tc>
          <w:tcPr>
            <w:tcW w:w="440" w:type="pct"/>
            <w:shd w:val="clear" w:color="auto" w:fill="auto"/>
            <w:noWrap/>
            <w:vAlign w:val="center"/>
          </w:tcPr>
          <w:p w14:paraId="7D772EBC">
            <w:pPr>
              <w:pStyle w:val="185"/>
              <w:rPr>
                <w:rFonts w:hint="default" w:ascii="Times New Roman" w:hAnsi="Times New Roman" w:cs="Times New Roman"/>
                <w:color w:val="000000"/>
              </w:rPr>
            </w:pPr>
            <w:r>
              <w:rPr>
                <w:rFonts w:hint="default" w:ascii="Times New Roman" w:hAnsi="Times New Roman" w:cs="Times New Roman"/>
                <w:color w:val="000000"/>
              </w:rPr>
              <w:t>单位</w:t>
            </w:r>
          </w:p>
        </w:tc>
        <w:tc>
          <w:tcPr>
            <w:tcW w:w="642" w:type="pct"/>
            <w:shd w:val="clear" w:color="auto" w:fill="auto"/>
            <w:vAlign w:val="center"/>
          </w:tcPr>
          <w:p w14:paraId="6048DE3A">
            <w:pPr>
              <w:pStyle w:val="185"/>
              <w:rPr>
                <w:rFonts w:hint="default" w:ascii="Times New Roman" w:hAnsi="Times New Roman" w:cs="Times New Roman"/>
                <w:color w:val="000000"/>
              </w:rPr>
            </w:pPr>
            <w:r>
              <w:rPr>
                <w:rFonts w:hint="default" w:ascii="Times New Roman" w:hAnsi="Times New Roman" w:cs="Times New Roman"/>
                <w:color w:val="000000"/>
              </w:rPr>
              <w:t>浓度</w:t>
            </w:r>
          </w:p>
          <w:p w14:paraId="668241B1">
            <w:pPr>
              <w:pStyle w:val="185"/>
              <w:rPr>
                <w:rFonts w:hint="default" w:ascii="Times New Roman" w:hAnsi="Times New Roman" w:cs="Times New Roman"/>
                <w:color w:val="000000"/>
              </w:rPr>
            </w:pPr>
            <w:r>
              <w:rPr>
                <w:rFonts w:hint="default" w:ascii="Times New Roman" w:hAnsi="Times New Roman" w:cs="Times New Roman"/>
                <w:color w:val="000000"/>
              </w:rPr>
              <w:t>限值</w:t>
            </w:r>
          </w:p>
        </w:tc>
        <w:tc>
          <w:tcPr>
            <w:tcW w:w="305" w:type="pct"/>
            <w:shd w:val="clear" w:color="auto" w:fill="auto"/>
            <w:vAlign w:val="center"/>
          </w:tcPr>
          <w:p w14:paraId="2E1F0F59">
            <w:pPr>
              <w:pStyle w:val="185"/>
              <w:rPr>
                <w:rFonts w:hint="default" w:ascii="Times New Roman" w:hAnsi="Times New Roman" w:cs="Times New Roman"/>
                <w:color w:val="000000"/>
              </w:rPr>
            </w:pPr>
            <w:r>
              <w:rPr>
                <w:rFonts w:hint="default" w:ascii="Times New Roman" w:hAnsi="Times New Roman" w:cs="Times New Roman"/>
                <w:color w:val="000000"/>
              </w:rPr>
              <w:t>序号</w:t>
            </w:r>
          </w:p>
        </w:tc>
        <w:tc>
          <w:tcPr>
            <w:tcW w:w="1180" w:type="pct"/>
            <w:shd w:val="clear" w:color="auto" w:fill="auto"/>
            <w:vAlign w:val="center"/>
          </w:tcPr>
          <w:p w14:paraId="789CA052">
            <w:pPr>
              <w:pStyle w:val="185"/>
              <w:rPr>
                <w:rFonts w:hint="default" w:ascii="Times New Roman" w:hAnsi="Times New Roman" w:cs="Times New Roman"/>
                <w:color w:val="000000"/>
              </w:rPr>
            </w:pPr>
            <w:r>
              <w:rPr>
                <w:rFonts w:hint="default" w:ascii="Times New Roman" w:hAnsi="Times New Roman" w:cs="Times New Roman"/>
                <w:color w:val="000000"/>
              </w:rPr>
              <w:t>污染物</w:t>
            </w:r>
          </w:p>
          <w:p w14:paraId="2BBF6592">
            <w:pPr>
              <w:pStyle w:val="185"/>
              <w:rPr>
                <w:rFonts w:hint="default" w:ascii="Times New Roman" w:hAnsi="Times New Roman" w:cs="Times New Roman"/>
                <w:color w:val="000000"/>
              </w:rPr>
            </w:pPr>
            <w:r>
              <w:rPr>
                <w:rFonts w:hint="default" w:ascii="Times New Roman" w:hAnsi="Times New Roman" w:cs="Times New Roman"/>
                <w:color w:val="000000"/>
              </w:rPr>
              <w:t>名称</w:t>
            </w:r>
          </w:p>
        </w:tc>
        <w:tc>
          <w:tcPr>
            <w:tcW w:w="440" w:type="pct"/>
            <w:shd w:val="clear" w:color="auto" w:fill="auto"/>
            <w:vAlign w:val="center"/>
          </w:tcPr>
          <w:p w14:paraId="68A86E93">
            <w:pPr>
              <w:pStyle w:val="185"/>
              <w:rPr>
                <w:rFonts w:hint="default" w:ascii="Times New Roman" w:hAnsi="Times New Roman" w:cs="Times New Roman"/>
                <w:color w:val="000000"/>
              </w:rPr>
            </w:pPr>
            <w:r>
              <w:rPr>
                <w:rFonts w:hint="default" w:ascii="Times New Roman" w:hAnsi="Times New Roman" w:cs="Times New Roman"/>
                <w:color w:val="000000"/>
              </w:rPr>
              <w:t>单位</w:t>
            </w:r>
          </w:p>
        </w:tc>
        <w:tc>
          <w:tcPr>
            <w:tcW w:w="575" w:type="pct"/>
            <w:shd w:val="clear" w:color="auto" w:fill="auto"/>
            <w:vAlign w:val="center"/>
          </w:tcPr>
          <w:p w14:paraId="20A6E3C2">
            <w:pPr>
              <w:pStyle w:val="185"/>
              <w:rPr>
                <w:rFonts w:hint="default" w:ascii="Times New Roman" w:hAnsi="Times New Roman" w:cs="Times New Roman"/>
                <w:color w:val="000000"/>
              </w:rPr>
            </w:pPr>
            <w:r>
              <w:rPr>
                <w:rFonts w:hint="default" w:ascii="Times New Roman" w:hAnsi="Times New Roman" w:cs="Times New Roman"/>
                <w:color w:val="000000"/>
              </w:rPr>
              <w:t>浓度</w:t>
            </w:r>
          </w:p>
          <w:p w14:paraId="3D7C4199">
            <w:pPr>
              <w:pStyle w:val="185"/>
              <w:rPr>
                <w:rFonts w:hint="default" w:ascii="Times New Roman" w:hAnsi="Times New Roman" w:cs="Times New Roman"/>
                <w:color w:val="000000"/>
              </w:rPr>
            </w:pPr>
            <w:r>
              <w:rPr>
                <w:rFonts w:hint="default" w:ascii="Times New Roman" w:hAnsi="Times New Roman" w:cs="Times New Roman"/>
                <w:color w:val="000000"/>
              </w:rPr>
              <w:t>限值</w:t>
            </w:r>
          </w:p>
        </w:tc>
      </w:tr>
      <w:tr w14:paraId="21158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487A31AC">
            <w:pPr>
              <w:pStyle w:val="185"/>
              <w:rPr>
                <w:rFonts w:hint="default" w:ascii="Times New Roman" w:hAnsi="Times New Roman" w:cs="Times New Roman"/>
                <w:color w:val="000000"/>
              </w:rPr>
            </w:pPr>
            <w:r>
              <w:rPr>
                <w:rFonts w:hint="default" w:ascii="Times New Roman" w:hAnsi="Times New Roman" w:cs="Times New Roman"/>
                <w:color w:val="000000"/>
              </w:rPr>
              <w:t>1</w:t>
            </w:r>
          </w:p>
        </w:tc>
        <w:tc>
          <w:tcPr>
            <w:tcW w:w="1113" w:type="pct"/>
            <w:shd w:val="clear" w:color="auto" w:fill="auto"/>
            <w:noWrap/>
            <w:vAlign w:val="center"/>
          </w:tcPr>
          <w:p w14:paraId="12D078F1">
            <w:pPr>
              <w:pStyle w:val="185"/>
              <w:rPr>
                <w:rFonts w:hint="default" w:ascii="Times New Roman" w:hAnsi="Times New Roman" w:cs="Times New Roman"/>
                <w:color w:val="000000"/>
              </w:rPr>
            </w:pPr>
            <w:r>
              <w:rPr>
                <w:rFonts w:hint="default" w:ascii="Times New Roman" w:hAnsi="Times New Roman" w:cs="Times New Roman"/>
                <w:color w:val="000000"/>
              </w:rPr>
              <w:t>萘</w:t>
            </w:r>
          </w:p>
        </w:tc>
        <w:tc>
          <w:tcPr>
            <w:tcW w:w="440" w:type="pct"/>
            <w:shd w:val="clear" w:color="auto" w:fill="auto"/>
            <w:noWrap/>
            <w:vAlign w:val="center"/>
          </w:tcPr>
          <w:p w14:paraId="62BC66C7">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70BFC718">
            <w:pPr>
              <w:pStyle w:val="185"/>
              <w:rPr>
                <w:rFonts w:hint="default" w:ascii="Times New Roman" w:hAnsi="Times New Roman" w:cs="Times New Roman"/>
                <w:color w:val="000000"/>
              </w:rPr>
            </w:pPr>
            <w:r>
              <w:rPr>
                <w:rFonts w:hint="default" w:ascii="Times New Roman" w:hAnsi="Times New Roman" w:cs="Times New Roman"/>
                <w:color w:val="000000"/>
              </w:rPr>
              <w:t>≤70</w:t>
            </w:r>
          </w:p>
        </w:tc>
        <w:tc>
          <w:tcPr>
            <w:tcW w:w="305" w:type="pct"/>
            <w:shd w:val="clear" w:color="auto" w:fill="auto"/>
            <w:vAlign w:val="center"/>
          </w:tcPr>
          <w:p w14:paraId="0845C5A7">
            <w:pPr>
              <w:pStyle w:val="185"/>
              <w:rPr>
                <w:rFonts w:hint="default" w:ascii="Times New Roman" w:hAnsi="Times New Roman" w:cs="Times New Roman"/>
                <w:color w:val="000000"/>
              </w:rPr>
            </w:pPr>
            <w:r>
              <w:rPr>
                <w:rFonts w:hint="default" w:ascii="Times New Roman" w:hAnsi="Times New Roman" w:cs="Times New Roman"/>
                <w:color w:val="000000"/>
              </w:rPr>
              <w:t>26</w:t>
            </w:r>
          </w:p>
        </w:tc>
        <w:tc>
          <w:tcPr>
            <w:tcW w:w="1180" w:type="pct"/>
            <w:shd w:val="clear" w:color="auto" w:fill="auto"/>
            <w:vAlign w:val="center"/>
          </w:tcPr>
          <w:p w14:paraId="77BC5ABA">
            <w:pPr>
              <w:pStyle w:val="185"/>
              <w:rPr>
                <w:rFonts w:hint="default" w:ascii="Times New Roman" w:hAnsi="Times New Roman" w:cs="Times New Roman"/>
                <w:color w:val="000000"/>
              </w:rPr>
            </w:pPr>
            <w:r>
              <w:rPr>
                <w:rFonts w:hint="default" w:ascii="Times New Roman" w:hAnsi="Times New Roman" w:cs="Times New Roman"/>
                <w:color w:val="000000"/>
              </w:rPr>
              <w:t>1,2-二氯丙烷</w:t>
            </w:r>
          </w:p>
        </w:tc>
        <w:tc>
          <w:tcPr>
            <w:tcW w:w="440" w:type="pct"/>
            <w:shd w:val="clear" w:color="auto" w:fill="auto"/>
            <w:vAlign w:val="center"/>
          </w:tcPr>
          <w:p w14:paraId="0FF18137">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3EF6E755">
            <w:pPr>
              <w:pStyle w:val="185"/>
              <w:rPr>
                <w:rFonts w:hint="default" w:ascii="Times New Roman" w:hAnsi="Times New Roman" w:cs="Times New Roman"/>
                <w:color w:val="000000"/>
              </w:rPr>
            </w:pPr>
            <w:r>
              <w:rPr>
                <w:rFonts w:hint="default" w:ascii="Times New Roman" w:hAnsi="Times New Roman" w:cs="Times New Roman"/>
                <w:color w:val="000000"/>
              </w:rPr>
              <w:t>≤5000</w:t>
            </w:r>
          </w:p>
        </w:tc>
      </w:tr>
      <w:tr w14:paraId="6EB7D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1A55B70">
            <w:pPr>
              <w:pStyle w:val="185"/>
              <w:rPr>
                <w:rFonts w:hint="default" w:ascii="Times New Roman" w:hAnsi="Times New Roman" w:cs="Times New Roman"/>
                <w:color w:val="000000"/>
              </w:rPr>
            </w:pPr>
            <w:r>
              <w:rPr>
                <w:rFonts w:hint="default" w:ascii="Times New Roman" w:hAnsi="Times New Roman" w:cs="Times New Roman"/>
                <w:color w:val="000000"/>
              </w:rPr>
              <w:t>2</w:t>
            </w:r>
          </w:p>
        </w:tc>
        <w:tc>
          <w:tcPr>
            <w:tcW w:w="1113" w:type="pct"/>
            <w:shd w:val="clear" w:color="auto" w:fill="auto"/>
            <w:noWrap/>
            <w:vAlign w:val="center"/>
          </w:tcPr>
          <w:p w14:paraId="4FB1AF34">
            <w:pPr>
              <w:pStyle w:val="185"/>
              <w:rPr>
                <w:rFonts w:hint="default" w:ascii="Times New Roman" w:hAnsi="Times New Roman" w:cs="Times New Roman"/>
                <w:color w:val="000000"/>
              </w:rPr>
            </w:pPr>
            <w:r>
              <w:rPr>
                <w:rFonts w:hint="default" w:ascii="Times New Roman" w:hAnsi="Times New Roman" w:cs="Times New Roman"/>
                <w:color w:val="000000"/>
              </w:rPr>
              <w:t>茚并[1,2,3-cd]芘</w:t>
            </w:r>
          </w:p>
        </w:tc>
        <w:tc>
          <w:tcPr>
            <w:tcW w:w="440" w:type="pct"/>
            <w:shd w:val="clear" w:color="auto" w:fill="auto"/>
            <w:noWrap/>
            <w:vAlign w:val="center"/>
          </w:tcPr>
          <w:p w14:paraId="6E9B3DB9">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549BC842">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05" w:type="pct"/>
            <w:shd w:val="clear" w:color="auto" w:fill="auto"/>
            <w:vAlign w:val="center"/>
          </w:tcPr>
          <w:p w14:paraId="775E7519">
            <w:pPr>
              <w:pStyle w:val="185"/>
              <w:rPr>
                <w:rFonts w:hint="default" w:ascii="Times New Roman" w:hAnsi="Times New Roman" w:cs="Times New Roman"/>
                <w:color w:val="000000"/>
              </w:rPr>
            </w:pPr>
            <w:r>
              <w:rPr>
                <w:rFonts w:hint="default" w:ascii="Times New Roman" w:hAnsi="Times New Roman" w:cs="Times New Roman"/>
                <w:color w:val="000000"/>
              </w:rPr>
              <w:t>27</w:t>
            </w:r>
          </w:p>
        </w:tc>
        <w:tc>
          <w:tcPr>
            <w:tcW w:w="1180" w:type="pct"/>
            <w:shd w:val="clear" w:color="auto" w:fill="auto"/>
            <w:vAlign w:val="center"/>
          </w:tcPr>
          <w:p w14:paraId="7DBF3A36">
            <w:pPr>
              <w:pStyle w:val="185"/>
              <w:rPr>
                <w:rFonts w:hint="default" w:ascii="Times New Roman" w:hAnsi="Times New Roman" w:cs="Times New Roman"/>
                <w:color w:val="000000"/>
              </w:rPr>
            </w:pPr>
            <w:r>
              <w:rPr>
                <w:rFonts w:hint="default" w:ascii="Times New Roman" w:hAnsi="Times New Roman" w:cs="Times New Roman"/>
                <w:color w:val="000000"/>
              </w:rPr>
              <w:t>三氯乙烯</w:t>
            </w:r>
          </w:p>
        </w:tc>
        <w:tc>
          <w:tcPr>
            <w:tcW w:w="440" w:type="pct"/>
            <w:shd w:val="clear" w:color="auto" w:fill="auto"/>
            <w:vAlign w:val="center"/>
          </w:tcPr>
          <w:p w14:paraId="2C292CD1">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42A929DD">
            <w:pPr>
              <w:pStyle w:val="185"/>
              <w:rPr>
                <w:rFonts w:hint="default" w:ascii="Times New Roman" w:hAnsi="Times New Roman" w:cs="Times New Roman"/>
                <w:color w:val="000000"/>
              </w:rPr>
            </w:pPr>
            <w:r>
              <w:rPr>
                <w:rFonts w:hint="default" w:ascii="Times New Roman" w:hAnsi="Times New Roman" w:cs="Times New Roman"/>
                <w:color w:val="000000"/>
              </w:rPr>
              <w:t>≤2800</w:t>
            </w:r>
          </w:p>
        </w:tc>
      </w:tr>
      <w:tr w14:paraId="06B01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DF00EB5">
            <w:pPr>
              <w:pStyle w:val="185"/>
              <w:rPr>
                <w:rFonts w:hint="default" w:ascii="Times New Roman" w:hAnsi="Times New Roman" w:cs="Times New Roman"/>
                <w:color w:val="000000"/>
              </w:rPr>
            </w:pPr>
            <w:r>
              <w:rPr>
                <w:rFonts w:hint="default" w:ascii="Times New Roman" w:hAnsi="Times New Roman" w:cs="Times New Roman"/>
                <w:color w:val="000000"/>
              </w:rPr>
              <w:t>3</w:t>
            </w:r>
          </w:p>
        </w:tc>
        <w:tc>
          <w:tcPr>
            <w:tcW w:w="1113" w:type="pct"/>
            <w:shd w:val="clear" w:color="auto" w:fill="auto"/>
            <w:noWrap/>
            <w:vAlign w:val="center"/>
          </w:tcPr>
          <w:p w14:paraId="1D70E82F">
            <w:pPr>
              <w:pStyle w:val="185"/>
              <w:rPr>
                <w:rFonts w:hint="default" w:ascii="Times New Roman" w:hAnsi="Times New Roman" w:cs="Times New Roman"/>
                <w:color w:val="000000"/>
              </w:rPr>
            </w:pPr>
            <w:r>
              <w:rPr>
                <w:rFonts w:hint="default" w:ascii="Times New Roman" w:hAnsi="Times New Roman" w:cs="Times New Roman"/>
                <w:color w:val="000000"/>
              </w:rPr>
              <w:t>二苯并[a,h]蒽</w:t>
            </w:r>
          </w:p>
        </w:tc>
        <w:tc>
          <w:tcPr>
            <w:tcW w:w="440" w:type="pct"/>
            <w:shd w:val="clear" w:color="auto" w:fill="auto"/>
            <w:noWrap/>
            <w:vAlign w:val="center"/>
          </w:tcPr>
          <w:p w14:paraId="0F880FEB">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71D770BA">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05" w:type="pct"/>
            <w:shd w:val="clear" w:color="auto" w:fill="auto"/>
            <w:vAlign w:val="center"/>
          </w:tcPr>
          <w:p w14:paraId="710C7EE9">
            <w:pPr>
              <w:pStyle w:val="185"/>
              <w:rPr>
                <w:rFonts w:hint="default" w:ascii="Times New Roman" w:hAnsi="Times New Roman" w:cs="Times New Roman"/>
                <w:color w:val="000000"/>
              </w:rPr>
            </w:pPr>
            <w:r>
              <w:rPr>
                <w:rFonts w:hint="default" w:ascii="Times New Roman" w:hAnsi="Times New Roman" w:cs="Times New Roman"/>
                <w:color w:val="000000"/>
              </w:rPr>
              <w:t>28</w:t>
            </w:r>
          </w:p>
        </w:tc>
        <w:tc>
          <w:tcPr>
            <w:tcW w:w="1180" w:type="pct"/>
            <w:shd w:val="clear" w:color="auto" w:fill="auto"/>
            <w:vAlign w:val="center"/>
          </w:tcPr>
          <w:p w14:paraId="076DADDA">
            <w:pPr>
              <w:pStyle w:val="185"/>
              <w:rPr>
                <w:rFonts w:hint="default" w:ascii="Times New Roman" w:hAnsi="Times New Roman" w:cs="Times New Roman"/>
                <w:color w:val="000000"/>
              </w:rPr>
            </w:pPr>
            <w:r>
              <w:rPr>
                <w:rFonts w:hint="default" w:ascii="Times New Roman" w:hAnsi="Times New Roman" w:cs="Times New Roman"/>
                <w:color w:val="000000"/>
              </w:rPr>
              <w:t>苯</w:t>
            </w:r>
          </w:p>
        </w:tc>
        <w:tc>
          <w:tcPr>
            <w:tcW w:w="440" w:type="pct"/>
            <w:shd w:val="clear" w:color="auto" w:fill="auto"/>
            <w:vAlign w:val="center"/>
          </w:tcPr>
          <w:p w14:paraId="15B34BC1">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1A6DF080">
            <w:pPr>
              <w:pStyle w:val="185"/>
              <w:rPr>
                <w:rFonts w:hint="default" w:ascii="Times New Roman" w:hAnsi="Times New Roman" w:cs="Times New Roman"/>
                <w:color w:val="000000"/>
              </w:rPr>
            </w:pPr>
            <w:r>
              <w:rPr>
                <w:rFonts w:hint="default" w:ascii="Times New Roman" w:hAnsi="Times New Roman" w:cs="Times New Roman"/>
                <w:color w:val="000000"/>
              </w:rPr>
              <w:t>≤4000</w:t>
            </w:r>
          </w:p>
        </w:tc>
      </w:tr>
      <w:tr w14:paraId="319AC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CD3A84D">
            <w:pPr>
              <w:pStyle w:val="185"/>
              <w:rPr>
                <w:rFonts w:hint="default" w:ascii="Times New Roman" w:hAnsi="Times New Roman" w:cs="Times New Roman"/>
                <w:color w:val="000000"/>
              </w:rPr>
            </w:pPr>
            <w:r>
              <w:rPr>
                <w:rFonts w:hint="default" w:ascii="Times New Roman" w:hAnsi="Times New Roman" w:cs="Times New Roman"/>
                <w:color w:val="000000"/>
              </w:rPr>
              <w:t>4</w:t>
            </w:r>
          </w:p>
        </w:tc>
        <w:tc>
          <w:tcPr>
            <w:tcW w:w="1113" w:type="pct"/>
            <w:shd w:val="clear" w:color="auto" w:fill="auto"/>
            <w:noWrap/>
            <w:vAlign w:val="center"/>
          </w:tcPr>
          <w:p w14:paraId="4EEC6D03">
            <w:pPr>
              <w:pStyle w:val="185"/>
              <w:rPr>
                <w:rFonts w:hint="default" w:ascii="Times New Roman" w:hAnsi="Times New Roman" w:cs="Times New Roman"/>
                <w:color w:val="000000"/>
              </w:rPr>
            </w:pPr>
            <w:r>
              <w:rPr>
                <w:rFonts w:hint="default" w:ascii="Times New Roman" w:hAnsi="Times New Roman" w:cs="Times New Roman"/>
                <w:color w:val="000000"/>
              </w:rPr>
              <w:t>䓛</w:t>
            </w:r>
          </w:p>
        </w:tc>
        <w:tc>
          <w:tcPr>
            <w:tcW w:w="440" w:type="pct"/>
            <w:shd w:val="clear" w:color="auto" w:fill="auto"/>
            <w:noWrap/>
            <w:vAlign w:val="center"/>
          </w:tcPr>
          <w:p w14:paraId="5F1EDA2A">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3DA46170">
            <w:pPr>
              <w:pStyle w:val="185"/>
              <w:rPr>
                <w:rFonts w:hint="default" w:ascii="Times New Roman" w:hAnsi="Times New Roman" w:cs="Times New Roman"/>
                <w:color w:val="000000"/>
              </w:rPr>
            </w:pPr>
            <w:r>
              <w:rPr>
                <w:rFonts w:hint="default" w:ascii="Times New Roman" w:hAnsi="Times New Roman" w:cs="Times New Roman"/>
                <w:color w:val="000000"/>
              </w:rPr>
              <w:t>≤1293</w:t>
            </w:r>
          </w:p>
        </w:tc>
        <w:tc>
          <w:tcPr>
            <w:tcW w:w="305" w:type="pct"/>
            <w:shd w:val="clear" w:color="auto" w:fill="auto"/>
            <w:vAlign w:val="center"/>
          </w:tcPr>
          <w:p w14:paraId="663AD9E8">
            <w:pPr>
              <w:pStyle w:val="185"/>
              <w:rPr>
                <w:rFonts w:hint="default" w:ascii="Times New Roman" w:hAnsi="Times New Roman" w:cs="Times New Roman"/>
                <w:color w:val="000000"/>
              </w:rPr>
            </w:pPr>
            <w:r>
              <w:rPr>
                <w:rFonts w:hint="default" w:ascii="Times New Roman" w:hAnsi="Times New Roman" w:cs="Times New Roman"/>
                <w:color w:val="000000"/>
              </w:rPr>
              <w:t>29</w:t>
            </w:r>
          </w:p>
        </w:tc>
        <w:tc>
          <w:tcPr>
            <w:tcW w:w="1180" w:type="pct"/>
            <w:shd w:val="clear" w:color="auto" w:fill="auto"/>
            <w:vAlign w:val="center"/>
          </w:tcPr>
          <w:p w14:paraId="7AC67969">
            <w:pPr>
              <w:pStyle w:val="185"/>
              <w:rPr>
                <w:rFonts w:hint="default" w:ascii="Times New Roman" w:hAnsi="Times New Roman" w:cs="Times New Roman"/>
                <w:color w:val="000000"/>
              </w:rPr>
            </w:pPr>
            <w:r>
              <w:rPr>
                <w:rFonts w:hint="default" w:ascii="Times New Roman" w:hAnsi="Times New Roman" w:cs="Times New Roman"/>
                <w:color w:val="000000"/>
              </w:rPr>
              <w:t>1,2-二氯乙烷</w:t>
            </w:r>
          </w:p>
        </w:tc>
        <w:tc>
          <w:tcPr>
            <w:tcW w:w="440" w:type="pct"/>
            <w:shd w:val="clear" w:color="auto" w:fill="auto"/>
            <w:vAlign w:val="center"/>
          </w:tcPr>
          <w:p w14:paraId="2B2CB312">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6CDE922D">
            <w:pPr>
              <w:pStyle w:val="185"/>
              <w:rPr>
                <w:rFonts w:hint="default" w:ascii="Times New Roman" w:hAnsi="Times New Roman" w:cs="Times New Roman"/>
                <w:color w:val="000000"/>
              </w:rPr>
            </w:pPr>
            <w:r>
              <w:rPr>
                <w:rFonts w:hint="default" w:ascii="Times New Roman" w:hAnsi="Times New Roman" w:cs="Times New Roman"/>
                <w:color w:val="000000"/>
              </w:rPr>
              <w:t>≤5000</w:t>
            </w:r>
          </w:p>
        </w:tc>
      </w:tr>
      <w:tr w14:paraId="5FEF0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95D42F0">
            <w:pPr>
              <w:pStyle w:val="185"/>
              <w:rPr>
                <w:rFonts w:hint="default" w:ascii="Times New Roman" w:hAnsi="Times New Roman" w:cs="Times New Roman"/>
                <w:color w:val="000000"/>
              </w:rPr>
            </w:pPr>
            <w:r>
              <w:rPr>
                <w:rFonts w:hint="default" w:ascii="Times New Roman" w:hAnsi="Times New Roman" w:cs="Times New Roman"/>
                <w:color w:val="000000"/>
              </w:rPr>
              <w:t>5</w:t>
            </w:r>
          </w:p>
        </w:tc>
        <w:tc>
          <w:tcPr>
            <w:tcW w:w="1113" w:type="pct"/>
            <w:shd w:val="clear" w:color="auto" w:fill="auto"/>
            <w:noWrap/>
            <w:vAlign w:val="center"/>
          </w:tcPr>
          <w:p w14:paraId="29DDA0FE">
            <w:pPr>
              <w:pStyle w:val="185"/>
              <w:rPr>
                <w:rFonts w:hint="default" w:ascii="Times New Roman" w:hAnsi="Times New Roman" w:cs="Times New Roman"/>
                <w:color w:val="000000"/>
              </w:rPr>
            </w:pPr>
            <w:r>
              <w:rPr>
                <w:rFonts w:hint="default" w:ascii="Times New Roman" w:hAnsi="Times New Roman" w:cs="Times New Roman"/>
                <w:color w:val="000000"/>
              </w:rPr>
              <w:t>苯并[k]荧蒽</w:t>
            </w:r>
          </w:p>
        </w:tc>
        <w:tc>
          <w:tcPr>
            <w:tcW w:w="440" w:type="pct"/>
            <w:shd w:val="clear" w:color="auto" w:fill="auto"/>
            <w:noWrap/>
            <w:vAlign w:val="center"/>
          </w:tcPr>
          <w:p w14:paraId="367605C4">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68C813B5">
            <w:pPr>
              <w:pStyle w:val="185"/>
              <w:rPr>
                <w:rFonts w:hint="default" w:ascii="Times New Roman" w:hAnsi="Times New Roman" w:cs="Times New Roman"/>
                <w:color w:val="000000"/>
              </w:rPr>
            </w:pPr>
            <w:r>
              <w:rPr>
                <w:rFonts w:hint="default" w:ascii="Times New Roman" w:hAnsi="Times New Roman" w:cs="Times New Roman"/>
                <w:color w:val="000000"/>
              </w:rPr>
              <w:t>≤151</w:t>
            </w:r>
          </w:p>
        </w:tc>
        <w:tc>
          <w:tcPr>
            <w:tcW w:w="305" w:type="pct"/>
            <w:shd w:val="clear" w:color="auto" w:fill="auto"/>
            <w:vAlign w:val="center"/>
          </w:tcPr>
          <w:p w14:paraId="5EA8E8FC">
            <w:pPr>
              <w:pStyle w:val="185"/>
              <w:rPr>
                <w:rFonts w:hint="default" w:ascii="Times New Roman" w:hAnsi="Times New Roman" w:cs="Times New Roman"/>
                <w:color w:val="000000"/>
              </w:rPr>
            </w:pPr>
            <w:r>
              <w:rPr>
                <w:rFonts w:hint="default" w:ascii="Times New Roman" w:hAnsi="Times New Roman" w:cs="Times New Roman"/>
                <w:color w:val="000000"/>
              </w:rPr>
              <w:t>30</w:t>
            </w:r>
          </w:p>
        </w:tc>
        <w:tc>
          <w:tcPr>
            <w:tcW w:w="1180" w:type="pct"/>
            <w:shd w:val="clear" w:color="auto" w:fill="auto"/>
            <w:vAlign w:val="center"/>
          </w:tcPr>
          <w:p w14:paraId="10FEEA69">
            <w:pPr>
              <w:pStyle w:val="185"/>
              <w:rPr>
                <w:rFonts w:hint="default" w:ascii="Times New Roman" w:hAnsi="Times New Roman" w:cs="Times New Roman"/>
                <w:color w:val="000000"/>
              </w:rPr>
            </w:pPr>
            <w:r>
              <w:rPr>
                <w:rFonts w:hint="default" w:ascii="Times New Roman" w:hAnsi="Times New Roman" w:cs="Times New Roman"/>
                <w:color w:val="000000"/>
              </w:rPr>
              <w:t>四氯化碳</w:t>
            </w:r>
          </w:p>
        </w:tc>
        <w:tc>
          <w:tcPr>
            <w:tcW w:w="440" w:type="pct"/>
            <w:shd w:val="clear" w:color="auto" w:fill="auto"/>
            <w:vAlign w:val="center"/>
          </w:tcPr>
          <w:p w14:paraId="1E736FF9">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4D9B7547">
            <w:pPr>
              <w:pStyle w:val="185"/>
              <w:rPr>
                <w:rFonts w:hint="default" w:ascii="Times New Roman" w:hAnsi="Times New Roman" w:cs="Times New Roman"/>
                <w:color w:val="000000"/>
              </w:rPr>
            </w:pPr>
            <w:r>
              <w:rPr>
                <w:rFonts w:hint="default" w:ascii="Times New Roman" w:hAnsi="Times New Roman" w:cs="Times New Roman"/>
                <w:color w:val="000000"/>
              </w:rPr>
              <w:t>≤2800</w:t>
            </w:r>
          </w:p>
        </w:tc>
      </w:tr>
      <w:tr w14:paraId="1B175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0B0C73E">
            <w:pPr>
              <w:pStyle w:val="185"/>
              <w:rPr>
                <w:rFonts w:hint="default" w:ascii="Times New Roman" w:hAnsi="Times New Roman" w:cs="Times New Roman"/>
                <w:color w:val="000000"/>
              </w:rPr>
            </w:pPr>
            <w:r>
              <w:rPr>
                <w:rFonts w:hint="default" w:ascii="Times New Roman" w:hAnsi="Times New Roman" w:cs="Times New Roman"/>
                <w:color w:val="000000"/>
              </w:rPr>
              <w:t>6</w:t>
            </w:r>
          </w:p>
        </w:tc>
        <w:tc>
          <w:tcPr>
            <w:tcW w:w="1113" w:type="pct"/>
            <w:shd w:val="clear" w:color="auto" w:fill="auto"/>
            <w:noWrap/>
            <w:vAlign w:val="center"/>
          </w:tcPr>
          <w:p w14:paraId="48D88863">
            <w:pPr>
              <w:pStyle w:val="185"/>
              <w:rPr>
                <w:rFonts w:hint="default" w:ascii="Times New Roman" w:hAnsi="Times New Roman" w:cs="Times New Roman"/>
                <w:color w:val="000000"/>
              </w:rPr>
            </w:pPr>
            <w:r>
              <w:rPr>
                <w:rFonts w:hint="default" w:ascii="Times New Roman" w:hAnsi="Times New Roman" w:cs="Times New Roman"/>
                <w:color w:val="000000"/>
              </w:rPr>
              <w:t>苯并[b]荧蒽</w:t>
            </w:r>
          </w:p>
        </w:tc>
        <w:tc>
          <w:tcPr>
            <w:tcW w:w="440" w:type="pct"/>
            <w:shd w:val="clear" w:color="auto" w:fill="auto"/>
            <w:noWrap/>
            <w:vAlign w:val="center"/>
          </w:tcPr>
          <w:p w14:paraId="35F52957">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193FAD40">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05" w:type="pct"/>
            <w:shd w:val="clear" w:color="auto" w:fill="auto"/>
            <w:vAlign w:val="center"/>
          </w:tcPr>
          <w:p w14:paraId="3AE61E08">
            <w:pPr>
              <w:pStyle w:val="185"/>
              <w:rPr>
                <w:rFonts w:hint="default" w:ascii="Times New Roman" w:hAnsi="Times New Roman" w:cs="Times New Roman"/>
                <w:color w:val="000000"/>
              </w:rPr>
            </w:pPr>
            <w:r>
              <w:rPr>
                <w:rFonts w:hint="default" w:ascii="Times New Roman" w:hAnsi="Times New Roman" w:cs="Times New Roman"/>
                <w:color w:val="000000"/>
              </w:rPr>
              <w:t>31</w:t>
            </w:r>
          </w:p>
        </w:tc>
        <w:tc>
          <w:tcPr>
            <w:tcW w:w="1180" w:type="pct"/>
            <w:shd w:val="clear" w:color="auto" w:fill="auto"/>
            <w:vAlign w:val="center"/>
          </w:tcPr>
          <w:p w14:paraId="291AF213">
            <w:pPr>
              <w:pStyle w:val="185"/>
              <w:rPr>
                <w:rFonts w:hint="default" w:ascii="Times New Roman" w:hAnsi="Times New Roman" w:cs="Times New Roman"/>
                <w:color w:val="000000"/>
              </w:rPr>
            </w:pPr>
            <w:r>
              <w:rPr>
                <w:rFonts w:hint="default" w:ascii="Times New Roman" w:hAnsi="Times New Roman" w:cs="Times New Roman"/>
                <w:color w:val="000000"/>
              </w:rPr>
              <w:t>1,1,1-三氯乙烷</w:t>
            </w:r>
          </w:p>
        </w:tc>
        <w:tc>
          <w:tcPr>
            <w:tcW w:w="440" w:type="pct"/>
            <w:shd w:val="clear" w:color="auto" w:fill="auto"/>
            <w:vAlign w:val="center"/>
          </w:tcPr>
          <w:p w14:paraId="09C57C3A">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783B6ED2">
            <w:pPr>
              <w:pStyle w:val="185"/>
              <w:rPr>
                <w:rFonts w:hint="default" w:ascii="Times New Roman" w:hAnsi="Times New Roman" w:cs="Times New Roman"/>
                <w:color w:val="000000"/>
              </w:rPr>
            </w:pPr>
            <w:r>
              <w:rPr>
                <w:rFonts w:hint="default" w:ascii="Times New Roman" w:hAnsi="Times New Roman" w:cs="Times New Roman"/>
                <w:color w:val="000000"/>
              </w:rPr>
              <w:t>≤840000</w:t>
            </w:r>
          </w:p>
        </w:tc>
      </w:tr>
      <w:tr w14:paraId="0B552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AB7C362">
            <w:pPr>
              <w:pStyle w:val="185"/>
              <w:rPr>
                <w:rFonts w:hint="default" w:ascii="Times New Roman" w:hAnsi="Times New Roman" w:cs="Times New Roman"/>
                <w:color w:val="000000"/>
              </w:rPr>
            </w:pPr>
            <w:r>
              <w:rPr>
                <w:rFonts w:hint="default" w:ascii="Times New Roman" w:hAnsi="Times New Roman" w:cs="Times New Roman"/>
                <w:color w:val="000000"/>
              </w:rPr>
              <w:t>7</w:t>
            </w:r>
          </w:p>
        </w:tc>
        <w:tc>
          <w:tcPr>
            <w:tcW w:w="1113" w:type="pct"/>
            <w:shd w:val="clear" w:color="auto" w:fill="auto"/>
            <w:noWrap/>
            <w:vAlign w:val="center"/>
          </w:tcPr>
          <w:p w14:paraId="26CF798B">
            <w:pPr>
              <w:pStyle w:val="185"/>
              <w:rPr>
                <w:rFonts w:hint="default" w:ascii="Times New Roman" w:hAnsi="Times New Roman" w:cs="Times New Roman"/>
                <w:color w:val="000000"/>
              </w:rPr>
            </w:pPr>
            <w:r>
              <w:rPr>
                <w:rFonts w:hint="default" w:ascii="Times New Roman" w:hAnsi="Times New Roman" w:cs="Times New Roman"/>
                <w:color w:val="000000"/>
              </w:rPr>
              <w:t>苯并[a]芘</w:t>
            </w:r>
          </w:p>
        </w:tc>
        <w:tc>
          <w:tcPr>
            <w:tcW w:w="440" w:type="pct"/>
            <w:shd w:val="clear" w:color="auto" w:fill="auto"/>
            <w:noWrap/>
            <w:vAlign w:val="center"/>
          </w:tcPr>
          <w:p w14:paraId="00769567">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604E43F8">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05" w:type="pct"/>
            <w:shd w:val="clear" w:color="auto" w:fill="auto"/>
            <w:vAlign w:val="center"/>
          </w:tcPr>
          <w:p w14:paraId="359259BC">
            <w:pPr>
              <w:pStyle w:val="185"/>
              <w:rPr>
                <w:rFonts w:hint="default" w:ascii="Times New Roman" w:hAnsi="Times New Roman" w:cs="Times New Roman"/>
                <w:color w:val="000000"/>
              </w:rPr>
            </w:pPr>
            <w:r>
              <w:rPr>
                <w:rFonts w:hint="default" w:ascii="Times New Roman" w:hAnsi="Times New Roman" w:cs="Times New Roman"/>
                <w:color w:val="000000"/>
              </w:rPr>
              <w:t>32</w:t>
            </w:r>
          </w:p>
        </w:tc>
        <w:tc>
          <w:tcPr>
            <w:tcW w:w="1180" w:type="pct"/>
            <w:shd w:val="clear" w:color="auto" w:fill="auto"/>
            <w:vAlign w:val="center"/>
          </w:tcPr>
          <w:p w14:paraId="4A896207">
            <w:pPr>
              <w:pStyle w:val="185"/>
              <w:rPr>
                <w:rFonts w:hint="default" w:ascii="Times New Roman" w:hAnsi="Times New Roman" w:cs="Times New Roman"/>
                <w:color w:val="000000"/>
              </w:rPr>
            </w:pPr>
            <w:r>
              <w:rPr>
                <w:rFonts w:hint="default" w:ascii="Times New Roman" w:hAnsi="Times New Roman" w:cs="Times New Roman"/>
                <w:color w:val="000000"/>
              </w:rPr>
              <w:t>氯仿</w:t>
            </w:r>
          </w:p>
        </w:tc>
        <w:tc>
          <w:tcPr>
            <w:tcW w:w="440" w:type="pct"/>
            <w:shd w:val="clear" w:color="auto" w:fill="auto"/>
            <w:vAlign w:val="center"/>
          </w:tcPr>
          <w:p w14:paraId="1382937E">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1361004C">
            <w:pPr>
              <w:pStyle w:val="185"/>
              <w:rPr>
                <w:rFonts w:hint="default" w:ascii="Times New Roman" w:hAnsi="Times New Roman" w:cs="Times New Roman"/>
                <w:color w:val="000000"/>
              </w:rPr>
            </w:pPr>
            <w:r>
              <w:rPr>
                <w:rFonts w:hint="default" w:ascii="Times New Roman" w:hAnsi="Times New Roman" w:cs="Times New Roman"/>
                <w:color w:val="000000"/>
              </w:rPr>
              <w:t>≤900</w:t>
            </w:r>
          </w:p>
        </w:tc>
      </w:tr>
      <w:tr w14:paraId="11C59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5DD03138">
            <w:pPr>
              <w:pStyle w:val="185"/>
              <w:rPr>
                <w:rFonts w:hint="default" w:ascii="Times New Roman" w:hAnsi="Times New Roman" w:cs="Times New Roman"/>
                <w:color w:val="000000"/>
              </w:rPr>
            </w:pPr>
            <w:r>
              <w:rPr>
                <w:rFonts w:hint="default" w:ascii="Times New Roman" w:hAnsi="Times New Roman" w:cs="Times New Roman"/>
                <w:color w:val="000000"/>
              </w:rPr>
              <w:t>8</w:t>
            </w:r>
          </w:p>
        </w:tc>
        <w:tc>
          <w:tcPr>
            <w:tcW w:w="1113" w:type="pct"/>
            <w:shd w:val="clear" w:color="auto" w:fill="auto"/>
            <w:noWrap/>
            <w:vAlign w:val="center"/>
          </w:tcPr>
          <w:p w14:paraId="16FD13CD">
            <w:pPr>
              <w:pStyle w:val="185"/>
              <w:rPr>
                <w:rFonts w:hint="default" w:ascii="Times New Roman" w:hAnsi="Times New Roman" w:cs="Times New Roman"/>
                <w:color w:val="000000"/>
              </w:rPr>
            </w:pPr>
            <w:r>
              <w:rPr>
                <w:rFonts w:hint="default" w:ascii="Times New Roman" w:hAnsi="Times New Roman" w:cs="Times New Roman"/>
                <w:color w:val="000000"/>
              </w:rPr>
              <w:t>苯并[a]蒽</w:t>
            </w:r>
          </w:p>
        </w:tc>
        <w:tc>
          <w:tcPr>
            <w:tcW w:w="440" w:type="pct"/>
            <w:shd w:val="clear" w:color="auto" w:fill="auto"/>
            <w:noWrap/>
            <w:vAlign w:val="center"/>
          </w:tcPr>
          <w:p w14:paraId="05ED6CE1">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00769935">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05" w:type="pct"/>
            <w:shd w:val="clear" w:color="auto" w:fill="auto"/>
            <w:vAlign w:val="center"/>
          </w:tcPr>
          <w:p w14:paraId="60E032D6">
            <w:pPr>
              <w:pStyle w:val="185"/>
              <w:rPr>
                <w:rFonts w:hint="default" w:ascii="Times New Roman" w:hAnsi="Times New Roman" w:cs="Times New Roman"/>
                <w:color w:val="000000"/>
              </w:rPr>
            </w:pPr>
            <w:r>
              <w:rPr>
                <w:rFonts w:hint="default" w:ascii="Times New Roman" w:hAnsi="Times New Roman" w:cs="Times New Roman"/>
                <w:color w:val="000000"/>
              </w:rPr>
              <w:t>33</w:t>
            </w:r>
          </w:p>
        </w:tc>
        <w:tc>
          <w:tcPr>
            <w:tcW w:w="1180" w:type="pct"/>
            <w:shd w:val="clear" w:color="auto" w:fill="auto"/>
            <w:vAlign w:val="center"/>
          </w:tcPr>
          <w:p w14:paraId="140B1882">
            <w:pPr>
              <w:pStyle w:val="185"/>
              <w:rPr>
                <w:rFonts w:hint="default" w:ascii="Times New Roman" w:hAnsi="Times New Roman" w:cs="Times New Roman"/>
                <w:color w:val="000000"/>
              </w:rPr>
            </w:pPr>
            <w:r>
              <w:rPr>
                <w:rFonts w:hint="default" w:ascii="Times New Roman" w:hAnsi="Times New Roman" w:cs="Times New Roman"/>
                <w:color w:val="000000"/>
              </w:rPr>
              <w:t>顺-1,2-二氯乙烯</w:t>
            </w:r>
          </w:p>
        </w:tc>
        <w:tc>
          <w:tcPr>
            <w:tcW w:w="440" w:type="pct"/>
            <w:shd w:val="clear" w:color="auto" w:fill="auto"/>
            <w:vAlign w:val="center"/>
          </w:tcPr>
          <w:p w14:paraId="08B7ED3A">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13146DD0">
            <w:pPr>
              <w:pStyle w:val="185"/>
              <w:rPr>
                <w:rFonts w:hint="default" w:ascii="Times New Roman" w:hAnsi="Times New Roman" w:cs="Times New Roman"/>
                <w:color w:val="000000"/>
              </w:rPr>
            </w:pPr>
            <w:r>
              <w:rPr>
                <w:rFonts w:hint="default" w:ascii="Times New Roman" w:hAnsi="Times New Roman" w:cs="Times New Roman"/>
                <w:color w:val="000000"/>
              </w:rPr>
              <w:t>≤596000</w:t>
            </w:r>
          </w:p>
        </w:tc>
      </w:tr>
      <w:tr w14:paraId="1BEF7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34C9EC1">
            <w:pPr>
              <w:pStyle w:val="185"/>
              <w:rPr>
                <w:rFonts w:hint="default" w:ascii="Times New Roman" w:hAnsi="Times New Roman" w:cs="Times New Roman"/>
                <w:color w:val="000000"/>
              </w:rPr>
            </w:pPr>
            <w:r>
              <w:rPr>
                <w:rFonts w:hint="default" w:ascii="Times New Roman" w:hAnsi="Times New Roman" w:cs="Times New Roman"/>
                <w:color w:val="000000"/>
              </w:rPr>
              <w:t>9</w:t>
            </w:r>
          </w:p>
        </w:tc>
        <w:tc>
          <w:tcPr>
            <w:tcW w:w="1113" w:type="pct"/>
            <w:shd w:val="clear" w:color="auto" w:fill="auto"/>
            <w:noWrap/>
            <w:vAlign w:val="center"/>
          </w:tcPr>
          <w:p w14:paraId="0D7344C2">
            <w:pPr>
              <w:pStyle w:val="185"/>
              <w:rPr>
                <w:rFonts w:hint="default" w:ascii="Times New Roman" w:hAnsi="Times New Roman" w:cs="Times New Roman"/>
                <w:color w:val="000000"/>
              </w:rPr>
            </w:pPr>
            <w:r>
              <w:rPr>
                <w:rFonts w:hint="default" w:ascii="Times New Roman" w:hAnsi="Times New Roman" w:cs="Times New Roman"/>
                <w:color w:val="000000"/>
              </w:rPr>
              <w:t>2-氯苯酚</w:t>
            </w:r>
          </w:p>
        </w:tc>
        <w:tc>
          <w:tcPr>
            <w:tcW w:w="440" w:type="pct"/>
            <w:shd w:val="clear" w:color="auto" w:fill="auto"/>
            <w:noWrap/>
            <w:vAlign w:val="center"/>
          </w:tcPr>
          <w:p w14:paraId="1A217682">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10CC1D44">
            <w:pPr>
              <w:pStyle w:val="185"/>
              <w:rPr>
                <w:rFonts w:hint="default" w:ascii="Times New Roman" w:hAnsi="Times New Roman" w:cs="Times New Roman"/>
                <w:color w:val="000000"/>
              </w:rPr>
            </w:pPr>
            <w:r>
              <w:rPr>
                <w:rFonts w:hint="default" w:ascii="Times New Roman" w:hAnsi="Times New Roman" w:cs="Times New Roman"/>
                <w:color w:val="000000"/>
              </w:rPr>
              <w:t>≤2256</w:t>
            </w:r>
          </w:p>
        </w:tc>
        <w:tc>
          <w:tcPr>
            <w:tcW w:w="305" w:type="pct"/>
            <w:shd w:val="clear" w:color="auto" w:fill="auto"/>
            <w:vAlign w:val="center"/>
          </w:tcPr>
          <w:p w14:paraId="018B6A7C">
            <w:pPr>
              <w:pStyle w:val="185"/>
              <w:rPr>
                <w:rFonts w:hint="default" w:ascii="Times New Roman" w:hAnsi="Times New Roman" w:cs="Times New Roman"/>
                <w:color w:val="000000"/>
              </w:rPr>
            </w:pPr>
            <w:r>
              <w:rPr>
                <w:rFonts w:hint="default" w:ascii="Times New Roman" w:hAnsi="Times New Roman" w:cs="Times New Roman"/>
                <w:color w:val="000000"/>
              </w:rPr>
              <w:t>34</w:t>
            </w:r>
          </w:p>
        </w:tc>
        <w:tc>
          <w:tcPr>
            <w:tcW w:w="1180" w:type="pct"/>
            <w:shd w:val="clear" w:color="auto" w:fill="auto"/>
            <w:vAlign w:val="center"/>
          </w:tcPr>
          <w:p w14:paraId="5C80D409">
            <w:pPr>
              <w:pStyle w:val="185"/>
              <w:rPr>
                <w:rFonts w:hint="default" w:ascii="Times New Roman" w:hAnsi="Times New Roman" w:cs="Times New Roman"/>
                <w:color w:val="000000"/>
              </w:rPr>
            </w:pPr>
            <w:r>
              <w:rPr>
                <w:rFonts w:hint="default" w:ascii="Times New Roman" w:hAnsi="Times New Roman" w:cs="Times New Roman"/>
                <w:color w:val="000000"/>
              </w:rPr>
              <w:t>1,1-二氯乙烷</w:t>
            </w:r>
          </w:p>
        </w:tc>
        <w:tc>
          <w:tcPr>
            <w:tcW w:w="440" w:type="pct"/>
            <w:shd w:val="clear" w:color="auto" w:fill="auto"/>
            <w:vAlign w:val="center"/>
          </w:tcPr>
          <w:p w14:paraId="555357ED">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796111A9">
            <w:pPr>
              <w:pStyle w:val="185"/>
              <w:rPr>
                <w:rFonts w:hint="default" w:ascii="Times New Roman" w:hAnsi="Times New Roman" w:cs="Times New Roman"/>
                <w:color w:val="000000"/>
              </w:rPr>
            </w:pPr>
            <w:r>
              <w:rPr>
                <w:rFonts w:hint="default" w:ascii="Times New Roman" w:hAnsi="Times New Roman" w:cs="Times New Roman"/>
                <w:color w:val="000000"/>
              </w:rPr>
              <w:t>≤9000</w:t>
            </w:r>
          </w:p>
        </w:tc>
      </w:tr>
      <w:tr w14:paraId="1865F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4C95B13B">
            <w:pPr>
              <w:pStyle w:val="185"/>
              <w:rPr>
                <w:rFonts w:hint="default" w:ascii="Times New Roman" w:hAnsi="Times New Roman" w:cs="Times New Roman"/>
                <w:color w:val="000000"/>
              </w:rPr>
            </w:pPr>
            <w:r>
              <w:rPr>
                <w:rFonts w:hint="default" w:ascii="Times New Roman" w:hAnsi="Times New Roman" w:cs="Times New Roman"/>
                <w:color w:val="000000"/>
              </w:rPr>
              <w:t>10</w:t>
            </w:r>
          </w:p>
        </w:tc>
        <w:tc>
          <w:tcPr>
            <w:tcW w:w="1113" w:type="pct"/>
            <w:shd w:val="clear" w:color="auto" w:fill="auto"/>
            <w:noWrap/>
            <w:vAlign w:val="center"/>
          </w:tcPr>
          <w:p w14:paraId="25BCFB34">
            <w:pPr>
              <w:pStyle w:val="185"/>
              <w:rPr>
                <w:rFonts w:hint="default" w:ascii="Times New Roman" w:hAnsi="Times New Roman" w:cs="Times New Roman"/>
                <w:color w:val="000000"/>
              </w:rPr>
            </w:pPr>
            <w:r>
              <w:rPr>
                <w:rFonts w:hint="default" w:ascii="Times New Roman" w:hAnsi="Times New Roman" w:cs="Times New Roman"/>
                <w:color w:val="000000"/>
              </w:rPr>
              <w:t>苯胺</w:t>
            </w:r>
          </w:p>
        </w:tc>
        <w:tc>
          <w:tcPr>
            <w:tcW w:w="440" w:type="pct"/>
            <w:shd w:val="clear" w:color="auto" w:fill="auto"/>
            <w:noWrap/>
            <w:vAlign w:val="center"/>
          </w:tcPr>
          <w:p w14:paraId="5DFDBA67">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69E4EA51">
            <w:pPr>
              <w:pStyle w:val="185"/>
              <w:rPr>
                <w:rFonts w:hint="default" w:ascii="Times New Roman" w:hAnsi="Times New Roman" w:cs="Times New Roman"/>
                <w:color w:val="000000"/>
              </w:rPr>
            </w:pPr>
            <w:r>
              <w:rPr>
                <w:rFonts w:hint="default" w:ascii="Times New Roman" w:hAnsi="Times New Roman" w:cs="Times New Roman"/>
                <w:color w:val="000000"/>
              </w:rPr>
              <w:t>≤260</w:t>
            </w:r>
          </w:p>
        </w:tc>
        <w:tc>
          <w:tcPr>
            <w:tcW w:w="305" w:type="pct"/>
            <w:shd w:val="clear" w:color="auto" w:fill="auto"/>
            <w:vAlign w:val="center"/>
          </w:tcPr>
          <w:p w14:paraId="0DFE0AA8">
            <w:pPr>
              <w:pStyle w:val="185"/>
              <w:rPr>
                <w:rFonts w:hint="default" w:ascii="Times New Roman" w:hAnsi="Times New Roman" w:cs="Times New Roman"/>
                <w:color w:val="000000"/>
              </w:rPr>
            </w:pPr>
            <w:r>
              <w:rPr>
                <w:rFonts w:hint="default" w:ascii="Times New Roman" w:hAnsi="Times New Roman" w:cs="Times New Roman"/>
                <w:color w:val="000000"/>
              </w:rPr>
              <w:t>35</w:t>
            </w:r>
          </w:p>
        </w:tc>
        <w:tc>
          <w:tcPr>
            <w:tcW w:w="1180" w:type="pct"/>
            <w:shd w:val="clear" w:color="auto" w:fill="auto"/>
            <w:vAlign w:val="center"/>
          </w:tcPr>
          <w:p w14:paraId="65EB91B7">
            <w:pPr>
              <w:pStyle w:val="185"/>
              <w:rPr>
                <w:rFonts w:hint="default" w:ascii="Times New Roman" w:hAnsi="Times New Roman" w:cs="Times New Roman"/>
                <w:color w:val="000000"/>
              </w:rPr>
            </w:pPr>
            <w:r>
              <w:rPr>
                <w:rFonts w:hint="default" w:ascii="Times New Roman" w:hAnsi="Times New Roman" w:cs="Times New Roman"/>
                <w:color w:val="000000"/>
              </w:rPr>
              <w:t>反-1,2-二氯乙烯</w:t>
            </w:r>
          </w:p>
        </w:tc>
        <w:tc>
          <w:tcPr>
            <w:tcW w:w="440" w:type="pct"/>
            <w:shd w:val="clear" w:color="auto" w:fill="auto"/>
            <w:vAlign w:val="center"/>
          </w:tcPr>
          <w:p w14:paraId="19420CA6">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15EBF6C0">
            <w:pPr>
              <w:pStyle w:val="185"/>
              <w:rPr>
                <w:rFonts w:hint="default" w:ascii="Times New Roman" w:hAnsi="Times New Roman" w:cs="Times New Roman"/>
                <w:color w:val="000000"/>
              </w:rPr>
            </w:pPr>
            <w:r>
              <w:rPr>
                <w:rFonts w:hint="default" w:ascii="Times New Roman" w:hAnsi="Times New Roman" w:cs="Times New Roman"/>
                <w:color w:val="000000"/>
              </w:rPr>
              <w:t>≤54000</w:t>
            </w:r>
          </w:p>
        </w:tc>
      </w:tr>
      <w:tr w14:paraId="6D57F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9E6F0BD">
            <w:pPr>
              <w:pStyle w:val="185"/>
              <w:rPr>
                <w:rFonts w:hint="default" w:ascii="Times New Roman" w:hAnsi="Times New Roman" w:cs="Times New Roman"/>
                <w:color w:val="000000"/>
              </w:rPr>
            </w:pPr>
            <w:r>
              <w:rPr>
                <w:rFonts w:hint="default" w:ascii="Times New Roman" w:hAnsi="Times New Roman" w:cs="Times New Roman"/>
                <w:color w:val="000000"/>
              </w:rPr>
              <w:t>11</w:t>
            </w:r>
          </w:p>
        </w:tc>
        <w:tc>
          <w:tcPr>
            <w:tcW w:w="1113" w:type="pct"/>
            <w:shd w:val="clear" w:color="auto" w:fill="auto"/>
            <w:noWrap/>
            <w:vAlign w:val="center"/>
          </w:tcPr>
          <w:p w14:paraId="4BAE4D5D">
            <w:pPr>
              <w:pStyle w:val="185"/>
              <w:rPr>
                <w:rFonts w:hint="default" w:ascii="Times New Roman" w:hAnsi="Times New Roman" w:cs="Times New Roman"/>
                <w:color w:val="000000"/>
              </w:rPr>
            </w:pPr>
            <w:r>
              <w:rPr>
                <w:rFonts w:hint="default" w:ascii="Times New Roman" w:hAnsi="Times New Roman" w:cs="Times New Roman"/>
                <w:color w:val="000000"/>
              </w:rPr>
              <w:t>硝基苯</w:t>
            </w:r>
          </w:p>
        </w:tc>
        <w:tc>
          <w:tcPr>
            <w:tcW w:w="440" w:type="pct"/>
            <w:shd w:val="clear" w:color="auto" w:fill="auto"/>
            <w:noWrap/>
            <w:vAlign w:val="center"/>
          </w:tcPr>
          <w:p w14:paraId="78DAC64B">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642" w:type="pct"/>
            <w:shd w:val="clear" w:color="auto" w:fill="auto"/>
            <w:vAlign w:val="center"/>
          </w:tcPr>
          <w:p w14:paraId="7BF61F75">
            <w:pPr>
              <w:pStyle w:val="185"/>
              <w:rPr>
                <w:rFonts w:hint="default" w:ascii="Times New Roman" w:hAnsi="Times New Roman" w:cs="Times New Roman"/>
                <w:color w:val="000000"/>
              </w:rPr>
            </w:pPr>
            <w:r>
              <w:rPr>
                <w:rFonts w:hint="default" w:ascii="Times New Roman" w:hAnsi="Times New Roman" w:cs="Times New Roman"/>
                <w:color w:val="000000"/>
              </w:rPr>
              <w:t>≤76</w:t>
            </w:r>
          </w:p>
        </w:tc>
        <w:tc>
          <w:tcPr>
            <w:tcW w:w="305" w:type="pct"/>
            <w:shd w:val="clear" w:color="auto" w:fill="auto"/>
            <w:vAlign w:val="center"/>
          </w:tcPr>
          <w:p w14:paraId="2C21C138">
            <w:pPr>
              <w:pStyle w:val="185"/>
              <w:rPr>
                <w:rFonts w:hint="default" w:ascii="Times New Roman" w:hAnsi="Times New Roman" w:cs="Times New Roman"/>
                <w:color w:val="000000"/>
              </w:rPr>
            </w:pPr>
            <w:r>
              <w:rPr>
                <w:rFonts w:hint="default" w:ascii="Times New Roman" w:hAnsi="Times New Roman" w:cs="Times New Roman"/>
                <w:color w:val="000000"/>
              </w:rPr>
              <w:t>36</w:t>
            </w:r>
          </w:p>
        </w:tc>
        <w:tc>
          <w:tcPr>
            <w:tcW w:w="1180" w:type="pct"/>
            <w:shd w:val="clear" w:color="auto" w:fill="auto"/>
            <w:vAlign w:val="center"/>
          </w:tcPr>
          <w:p w14:paraId="25FE429C">
            <w:pPr>
              <w:pStyle w:val="185"/>
              <w:rPr>
                <w:rFonts w:hint="default" w:ascii="Times New Roman" w:hAnsi="Times New Roman" w:cs="Times New Roman"/>
                <w:color w:val="000000"/>
              </w:rPr>
            </w:pPr>
            <w:r>
              <w:rPr>
                <w:rFonts w:hint="default" w:ascii="Times New Roman" w:hAnsi="Times New Roman" w:cs="Times New Roman"/>
                <w:color w:val="000000"/>
              </w:rPr>
              <w:t>二氯甲烷</w:t>
            </w:r>
          </w:p>
        </w:tc>
        <w:tc>
          <w:tcPr>
            <w:tcW w:w="440" w:type="pct"/>
            <w:shd w:val="clear" w:color="auto" w:fill="auto"/>
            <w:vAlign w:val="center"/>
          </w:tcPr>
          <w:p w14:paraId="264E162B">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1CB52BA4">
            <w:pPr>
              <w:pStyle w:val="185"/>
              <w:rPr>
                <w:rFonts w:hint="default" w:ascii="Times New Roman" w:hAnsi="Times New Roman" w:cs="Times New Roman"/>
                <w:color w:val="000000"/>
              </w:rPr>
            </w:pPr>
            <w:r>
              <w:rPr>
                <w:rFonts w:hint="default" w:ascii="Times New Roman" w:hAnsi="Times New Roman" w:cs="Times New Roman"/>
                <w:color w:val="000000"/>
              </w:rPr>
              <w:t>≤616000</w:t>
            </w:r>
          </w:p>
        </w:tc>
      </w:tr>
      <w:tr w14:paraId="19D14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2F8B809">
            <w:pPr>
              <w:pStyle w:val="185"/>
              <w:rPr>
                <w:rFonts w:hint="default" w:ascii="Times New Roman" w:hAnsi="Times New Roman" w:cs="Times New Roman"/>
                <w:color w:val="000000"/>
              </w:rPr>
            </w:pPr>
            <w:r>
              <w:rPr>
                <w:rFonts w:hint="default" w:ascii="Times New Roman" w:hAnsi="Times New Roman" w:cs="Times New Roman"/>
                <w:color w:val="000000"/>
              </w:rPr>
              <w:t>12</w:t>
            </w:r>
          </w:p>
        </w:tc>
        <w:tc>
          <w:tcPr>
            <w:tcW w:w="1113" w:type="pct"/>
            <w:shd w:val="clear" w:color="auto" w:fill="auto"/>
            <w:noWrap/>
            <w:vAlign w:val="center"/>
          </w:tcPr>
          <w:p w14:paraId="7AB92A47">
            <w:pPr>
              <w:pStyle w:val="185"/>
              <w:rPr>
                <w:rFonts w:hint="default" w:ascii="Times New Roman" w:hAnsi="Times New Roman" w:cs="Times New Roman"/>
                <w:color w:val="000000"/>
              </w:rPr>
            </w:pPr>
            <w:r>
              <w:rPr>
                <w:rFonts w:hint="default" w:ascii="Times New Roman" w:hAnsi="Times New Roman" w:cs="Times New Roman"/>
                <w:color w:val="000000"/>
              </w:rPr>
              <w:t>氯甲烷</w:t>
            </w:r>
          </w:p>
        </w:tc>
        <w:tc>
          <w:tcPr>
            <w:tcW w:w="440" w:type="pct"/>
            <w:shd w:val="clear" w:color="auto" w:fill="auto"/>
            <w:noWrap/>
            <w:vAlign w:val="center"/>
          </w:tcPr>
          <w:p w14:paraId="2C97CD0C">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56A20486">
            <w:pPr>
              <w:pStyle w:val="185"/>
              <w:rPr>
                <w:rFonts w:hint="default" w:ascii="Times New Roman" w:hAnsi="Times New Roman" w:cs="Times New Roman"/>
                <w:color w:val="000000"/>
              </w:rPr>
            </w:pPr>
            <w:r>
              <w:rPr>
                <w:rFonts w:hint="default" w:ascii="Times New Roman" w:hAnsi="Times New Roman" w:cs="Times New Roman"/>
                <w:color w:val="000000"/>
              </w:rPr>
              <w:t>≤37000</w:t>
            </w:r>
          </w:p>
        </w:tc>
        <w:tc>
          <w:tcPr>
            <w:tcW w:w="305" w:type="pct"/>
            <w:shd w:val="clear" w:color="auto" w:fill="auto"/>
            <w:vAlign w:val="center"/>
          </w:tcPr>
          <w:p w14:paraId="2094673E">
            <w:pPr>
              <w:pStyle w:val="185"/>
              <w:rPr>
                <w:rFonts w:hint="default" w:ascii="Times New Roman" w:hAnsi="Times New Roman" w:cs="Times New Roman"/>
                <w:color w:val="000000"/>
              </w:rPr>
            </w:pPr>
            <w:r>
              <w:rPr>
                <w:rFonts w:hint="default" w:ascii="Times New Roman" w:hAnsi="Times New Roman" w:cs="Times New Roman"/>
                <w:color w:val="000000"/>
              </w:rPr>
              <w:t>37</w:t>
            </w:r>
          </w:p>
        </w:tc>
        <w:tc>
          <w:tcPr>
            <w:tcW w:w="1180" w:type="pct"/>
            <w:shd w:val="clear" w:color="auto" w:fill="auto"/>
            <w:vAlign w:val="center"/>
          </w:tcPr>
          <w:p w14:paraId="784971D6">
            <w:pPr>
              <w:pStyle w:val="185"/>
              <w:rPr>
                <w:rFonts w:hint="default" w:ascii="Times New Roman" w:hAnsi="Times New Roman" w:cs="Times New Roman"/>
                <w:color w:val="000000"/>
              </w:rPr>
            </w:pPr>
            <w:r>
              <w:rPr>
                <w:rFonts w:hint="default" w:ascii="Times New Roman" w:hAnsi="Times New Roman" w:cs="Times New Roman"/>
                <w:color w:val="000000"/>
              </w:rPr>
              <w:t>1,1-二氯乙烯</w:t>
            </w:r>
          </w:p>
        </w:tc>
        <w:tc>
          <w:tcPr>
            <w:tcW w:w="440" w:type="pct"/>
            <w:shd w:val="clear" w:color="auto" w:fill="auto"/>
            <w:vAlign w:val="center"/>
          </w:tcPr>
          <w:p w14:paraId="34A1276A">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2571CCF9">
            <w:pPr>
              <w:pStyle w:val="185"/>
              <w:rPr>
                <w:rFonts w:hint="default" w:ascii="Times New Roman" w:hAnsi="Times New Roman" w:cs="Times New Roman"/>
                <w:color w:val="000000"/>
              </w:rPr>
            </w:pPr>
            <w:r>
              <w:rPr>
                <w:rFonts w:hint="default" w:ascii="Times New Roman" w:hAnsi="Times New Roman" w:cs="Times New Roman"/>
                <w:color w:val="000000"/>
              </w:rPr>
              <w:t>≤66000</w:t>
            </w:r>
          </w:p>
        </w:tc>
      </w:tr>
      <w:tr w14:paraId="6F7E9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BA54D3E">
            <w:pPr>
              <w:pStyle w:val="185"/>
              <w:rPr>
                <w:rFonts w:hint="default" w:ascii="Times New Roman" w:hAnsi="Times New Roman" w:cs="Times New Roman"/>
                <w:color w:val="000000"/>
              </w:rPr>
            </w:pPr>
            <w:r>
              <w:rPr>
                <w:rFonts w:hint="default" w:ascii="Times New Roman" w:hAnsi="Times New Roman" w:cs="Times New Roman"/>
                <w:color w:val="000000"/>
              </w:rPr>
              <w:t>13</w:t>
            </w:r>
          </w:p>
        </w:tc>
        <w:tc>
          <w:tcPr>
            <w:tcW w:w="1113" w:type="pct"/>
            <w:shd w:val="clear" w:color="auto" w:fill="auto"/>
            <w:noWrap/>
            <w:vAlign w:val="center"/>
          </w:tcPr>
          <w:p w14:paraId="5F9100F7">
            <w:pPr>
              <w:pStyle w:val="185"/>
              <w:rPr>
                <w:rFonts w:hint="default" w:ascii="Times New Roman" w:hAnsi="Times New Roman" w:cs="Times New Roman"/>
                <w:color w:val="000000"/>
              </w:rPr>
            </w:pPr>
            <w:r>
              <w:rPr>
                <w:rFonts w:hint="default" w:ascii="Times New Roman" w:hAnsi="Times New Roman" w:cs="Times New Roman"/>
                <w:color w:val="000000"/>
              </w:rPr>
              <w:t>1,2-二氯苯</w:t>
            </w:r>
          </w:p>
        </w:tc>
        <w:tc>
          <w:tcPr>
            <w:tcW w:w="440" w:type="pct"/>
            <w:shd w:val="clear" w:color="auto" w:fill="auto"/>
            <w:noWrap/>
            <w:vAlign w:val="center"/>
          </w:tcPr>
          <w:p w14:paraId="58DEDB78">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78967F54">
            <w:pPr>
              <w:pStyle w:val="185"/>
              <w:rPr>
                <w:rFonts w:hint="default" w:ascii="Times New Roman" w:hAnsi="Times New Roman" w:cs="Times New Roman"/>
                <w:color w:val="000000"/>
              </w:rPr>
            </w:pPr>
            <w:r>
              <w:rPr>
                <w:rFonts w:hint="default" w:ascii="Times New Roman" w:hAnsi="Times New Roman" w:cs="Times New Roman"/>
                <w:color w:val="000000"/>
              </w:rPr>
              <w:t>≤560000</w:t>
            </w:r>
          </w:p>
        </w:tc>
        <w:tc>
          <w:tcPr>
            <w:tcW w:w="305" w:type="pct"/>
            <w:shd w:val="clear" w:color="auto" w:fill="auto"/>
            <w:vAlign w:val="center"/>
          </w:tcPr>
          <w:p w14:paraId="409FB992">
            <w:pPr>
              <w:pStyle w:val="185"/>
              <w:rPr>
                <w:rFonts w:hint="default" w:ascii="Times New Roman" w:hAnsi="Times New Roman" w:cs="Times New Roman"/>
                <w:color w:val="000000"/>
              </w:rPr>
            </w:pPr>
            <w:r>
              <w:rPr>
                <w:rFonts w:hint="default" w:ascii="Times New Roman" w:hAnsi="Times New Roman" w:cs="Times New Roman"/>
                <w:color w:val="000000"/>
              </w:rPr>
              <w:t>38</w:t>
            </w:r>
          </w:p>
        </w:tc>
        <w:tc>
          <w:tcPr>
            <w:tcW w:w="1180" w:type="pct"/>
            <w:shd w:val="clear" w:color="auto" w:fill="auto"/>
            <w:vAlign w:val="center"/>
          </w:tcPr>
          <w:p w14:paraId="4A9ED9D9">
            <w:pPr>
              <w:pStyle w:val="185"/>
              <w:rPr>
                <w:rFonts w:hint="default" w:ascii="Times New Roman" w:hAnsi="Times New Roman" w:cs="Times New Roman"/>
                <w:color w:val="000000"/>
              </w:rPr>
            </w:pPr>
            <w:r>
              <w:rPr>
                <w:rFonts w:hint="default" w:ascii="Times New Roman" w:hAnsi="Times New Roman" w:cs="Times New Roman"/>
                <w:color w:val="000000"/>
              </w:rPr>
              <w:t>氯乙烯</w:t>
            </w:r>
          </w:p>
        </w:tc>
        <w:tc>
          <w:tcPr>
            <w:tcW w:w="440" w:type="pct"/>
            <w:shd w:val="clear" w:color="auto" w:fill="auto"/>
            <w:vAlign w:val="center"/>
          </w:tcPr>
          <w:p w14:paraId="4B18426E">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575" w:type="pct"/>
            <w:shd w:val="clear" w:color="auto" w:fill="auto"/>
            <w:vAlign w:val="center"/>
          </w:tcPr>
          <w:p w14:paraId="7CB965AD">
            <w:pPr>
              <w:pStyle w:val="185"/>
              <w:rPr>
                <w:rFonts w:hint="default" w:ascii="Times New Roman" w:hAnsi="Times New Roman" w:cs="Times New Roman"/>
                <w:color w:val="000000"/>
              </w:rPr>
            </w:pPr>
            <w:r>
              <w:rPr>
                <w:rFonts w:hint="default" w:ascii="Times New Roman" w:hAnsi="Times New Roman" w:cs="Times New Roman"/>
                <w:color w:val="000000"/>
              </w:rPr>
              <w:t>≤430</w:t>
            </w:r>
          </w:p>
        </w:tc>
      </w:tr>
      <w:tr w14:paraId="0A779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6682560D">
            <w:pPr>
              <w:pStyle w:val="185"/>
              <w:rPr>
                <w:rFonts w:hint="default" w:ascii="Times New Roman" w:hAnsi="Times New Roman" w:cs="Times New Roman"/>
                <w:color w:val="000000"/>
              </w:rPr>
            </w:pPr>
            <w:r>
              <w:rPr>
                <w:rFonts w:hint="default" w:ascii="Times New Roman" w:hAnsi="Times New Roman" w:cs="Times New Roman"/>
                <w:color w:val="000000"/>
              </w:rPr>
              <w:t>14</w:t>
            </w:r>
          </w:p>
        </w:tc>
        <w:tc>
          <w:tcPr>
            <w:tcW w:w="1113" w:type="pct"/>
            <w:shd w:val="clear" w:color="auto" w:fill="auto"/>
            <w:noWrap/>
            <w:vAlign w:val="center"/>
          </w:tcPr>
          <w:p w14:paraId="312C2DA1">
            <w:pPr>
              <w:pStyle w:val="185"/>
              <w:rPr>
                <w:rFonts w:hint="default" w:ascii="Times New Roman" w:hAnsi="Times New Roman" w:cs="Times New Roman"/>
                <w:color w:val="000000"/>
              </w:rPr>
            </w:pPr>
            <w:r>
              <w:rPr>
                <w:rFonts w:hint="default" w:ascii="Times New Roman" w:hAnsi="Times New Roman" w:cs="Times New Roman"/>
                <w:color w:val="000000"/>
              </w:rPr>
              <w:t>1,4-二氯苯</w:t>
            </w:r>
          </w:p>
        </w:tc>
        <w:tc>
          <w:tcPr>
            <w:tcW w:w="440" w:type="pct"/>
            <w:shd w:val="clear" w:color="auto" w:fill="auto"/>
            <w:noWrap/>
            <w:vAlign w:val="center"/>
          </w:tcPr>
          <w:p w14:paraId="06DF4B77">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3F5EBCC4">
            <w:pPr>
              <w:pStyle w:val="185"/>
              <w:rPr>
                <w:rFonts w:hint="default" w:ascii="Times New Roman" w:hAnsi="Times New Roman" w:cs="Times New Roman"/>
                <w:color w:val="000000"/>
              </w:rPr>
            </w:pPr>
            <w:r>
              <w:rPr>
                <w:rFonts w:hint="default" w:ascii="Times New Roman" w:hAnsi="Times New Roman" w:cs="Times New Roman"/>
                <w:color w:val="000000"/>
              </w:rPr>
              <w:t>≤20000</w:t>
            </w:r>
          </w:p>
        </w:tc>
        <w:tc>
          <w:tcPr>
            <w:tcW w:w="305" w:type="pct"/>
            <w:shd w:val="clear" w:color="auto" w:fill="auto"/>
            <w:vAlign w:val="center"/>
          </w:tcPr>
          <w:p w14:paraId="307C8F4F">
            <w:pPr>
              <w:pStyle w:val="185"/>
              <w:rPr>
                <w:rFonts w:hint="default" w:ascii="Times New Roman" w:hAnsi="Times New Roman" w:cs="Times New Roman"/>
                <w:color w:val="000000"/>
              </w:rPr>
            </w:pPr>
            <w:r>
              <w:rPr>
                <w:rFonts w:hint="default" w:ascii="Times New Roman" w:hAnsi="Times New Roman" w:cs="Times New Roman"/>
                <w:color w:val="000000"/>
              </w:rPr>
              <w:t>39</w:t>
            </w:r>
          </w:p>
        </w:tc>
        <w:tc>
          <w:tcPr>
            <w:tcW w:w="1180" w:type="pct"/>
            <w:shd w:val="clear" w:color="auto" w:fill="auto"/>
            <w:vAlign w:val="center"/>
          </w:tcPr>
          <w:p w14:paraId="359296F4">
            <w:pPr>
              <w:pStyle w:val="185"/>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w:t>
            </w:r>
          </w:p>
        </w:tc>
        <w:tc>
          <w:tcPr>
            <w:tcW w:w="440" w:type="pct"/>
            <w:shd w:val="clear" w:color="auto" w:fill="auto"/>
            <w:vAlign w:val="center"/>
          </w:tcPr>
          <w:p w14:paraId="53B5CC88">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00745899">
            <w:pPr>
              <w:pStyle w:val="185"/>
              <w:rPr>
                <w:rFonts w:hint="default" w:ascii="Times New Roman" w:hAnsi="Times New Roman" w:cs="Times New Roman"/>
                <w:color w:val="000000"/>
              </w:rPr>
            </w:pPr>
            <w:r>
              <w:rPr>
                <w:rFonts w:hint="default" w:ascii="Times New Roman" w:hAnsi="Times New Roman" w:cs="Times New Roman"/>
                <w:color w:val="000000"/>
              </w:rPr>
              <w:t>≤4500</w:t>
            </w:r>
          </w:p>
        </w:tc>
      </w:tr>
      <w:tr w14:paraId="794C5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98B0260">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1113" w:type="pct"/>
            <w:shd w:val="clear" w:color="auto" w:fill="auto"/>
            <w:noWrap/>
            <w:vAlign w:val="center"/>
          </w:tcPr>
          <w:p w14:paraId="54E6D6FB">
            <w:pPr>
              <w:pStyle w:val="185"/>
              <w:rPr>
                <w:rFonts w:hint="default" w:ascii="Times New Roman" w:hAnsi="Times New Roman" w:cs="Times New Roman"/>
                <w:color w:val="000000"/>
              </w:rPr>
            </w:pPr>
            <w:r>
              <w:rPr>
                <w:rFonts w:hint="default" w:ascii="Times New Roman" w:hAnsi="Times New Roman" w:cs="Times New Roman"/>
                <w:color w:val="000000"/>
              </w:rPr>
              <w:t>1,2,3-三氯丙烷</w:t>
            </w:r>
          </w:p>
        </w:tc>
        <w:tc>
          <w:tcPr>
            <w:tcW w:w="440" w:type="pct"/>
            <w:shd w:val="clear" w:color="auto" w:fill="auto"/>
            <w:noWrap/>
            <w:vAlign w:val="center"/>
          </w:tcPr>
          <w:p w14:paraId="36D242EC">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3B5E30E6">
            <w:pPr>
              <w:pStyle w:val="185"/>
              <w:rPr>
                <w:rFonts w:hint="default" w:ascii="Times New Roman" w:hAnsi="Times New Roman" w:cs="Times New Roman"/>
                <w:color w:val="000000"/>
              </w:rPr>
            </w:pPr>
            <w:r>
              <w:rPr>
                <w:rFonts w:hint="default" w:ascii="Times New Roman" w:hAnsi="Times New Roman" w:cs="Times New Roman"/>
                <w:color w:val="000000"/>
              </w:rPr>
              <w:t>≤500</w:t>
            </w:r>
          </w:p>
        </w:tc>
        <w:tc>
          <w:tcPr>
            <w:tcW w:w="305" w:type="pct"/>
            <w:shd w:val="clear" w:color="auto" w:fill="auto"/>
            <w:vAlign w:val="center"/>
          </w:tcPr>
          <w:p w14:paraId="2786C73D">
            <w:pPr>
              <w:pStyle w:val="185"/>
              <w:rPr>
                <w:rFonts w:hint="default" w:ascii="Times New Roman" w:hAnsi="Times New Roman" w:cs="Times New Roman"/>
                <w:color w:val="000000"/>
              </w:rPr>
            </w:pPr>
            <w:r>
              <w:rPr>
                <w:rFonts w:hint="default" w:ascii="Times New Roman" w:hAnsi="Times New Roman" w:cs="Times New Roman"/>
                <w:color w:val="000000"/>
              </w:rPr>
              <w:t>40</w:t>
            </w:r>
          </w:p>
        </w:tc>
        <w:tc>
          <w:tcPr>
            <w:tcW w:w="1180" w:type="pct"/>
            <w:shd w:val="clear" w:color="auto" w:fill="auto"/>
            <w:vAlign w:val="center"/>
          </w:tcPr>
          <w:p w14:paraId="78964746">
            <w:pPr>
              <w:pStyle w:val="185"/>
              <w:rPr>
                <w:rFonts w:hint="default" w:ascii="Times New Roman" w:hAnsi="Times New Roman" w:cs="Times New Roman"/>
                <w:color w:val="000000"/>
              </w:rPr>
            </w:pPr>
            <w:r>
              <w:rPr>
                <w:rFonts w:hint="default" w:ascii="Times New Roman" w:hAnsi="Times New Roman" w:cs="Times New Roman"/>
                <w:color w:val="000000"/>
              </w:rPr>
              <w:t>六价铬</w:t>
            </w:r>
          </w:p>
        </w:tc>
        <w:tc>
          <w:tcPr>
            <w:tcW w:w="440" w:type="pct"/>
            <w:shd w:val="clear" w:color="auto" w:fill="auto"/>
            <w:vAlign w:val="center"/>
          </w:tcPr>
          <w:p w14:paraId="383939A6">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06655A78">
            <w:pPr>
              <w:pStyle w:val="185"/>
              <w:rPr>
                <w:rFonts w:hint="default" w:ascii="Times New Roman" w:hAnsi="Times New Roman" w:cs="Times New Roman"/>
                <w:color w:val="000000"/>
              </w:rPr>
            </w:pPr>
            <w:r>
              <w:rPr>
                <w:rFonts w:hint="default" w:ascii="Times New Roman" w:hAnsi="Times New Roman" w:cs="Times New Roman"/>
                <w:color w:val="000000"/>
              </w:rPr>
              <w:t>≤5.7</w:t>
            </w:r>
          </w:p>
        </w:tc>
      </w:tr>
      <w:tr w14:paraId="10BF9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0037F81B">
            <w:pPr>
              <w:pStyle w:val="185"/>
              <w:rPr>
                <w:rFonts w:hint="default" w:ascii="Times New Roman" w:hAnsi="Times New Roman" w:cs="Times New Roman"/>
                <w:color w:val="000000"/>
              </w:rPr>
            </w:pPr>
            <w:r>
              <w:rPr>
                <w:rFonts w:hint="default" w:ascii="Times New Roman" w:hAnsi="Times New Roman" w:cs="Times New Roman"/>
                <w:color w:val="000000"/>
              </w:rPr>
              <w:t>16</w:t>
            </w:r>
          </w:p>
        </w:tc>
        <w:tc>
          <w:tcPr>
            <w:tcW w:w="1113" w:type="pct"/>
            <w:shd w:val="clear" w:color="auto" w:fill="auto"/>
            <w:noWrap/>
            <w:vAlign w:val="center"/>
          </w:tcPr>
          <w:p w14:paraId="7E35D76E">
            <w:pPr>
              <w:pStyle w:val="185"/>
              <w:rPr>
                <w:rFonts w:hint="default" w:ascii="Times New Roman" w:hAnsi="Times New Roman" w:cs="Times New Roman"/>
                <w:color w:val="000000"/>
              </w:rPr>
            </w:pPr>
            <w:r>
              <w:rPr>
                <w:rFonts w:hint="default" w:ascii="Times New Roman" w:hAnsi="Times New Roman" w:cs="Times New Roman"/>
                <w:color w:val="000000"/>
              </w:rPr>
              <w:t>1,1,2,2-四氯乙烷</w:t>
            </w:r>
          </w:p>
        </w:tc>
        <w:tc>
          <w:tcPr>
            <w:tcW w:w="440" w:type="pct"/>
            <w:shd w:val="clear" w:color="auto" w:fill="auto"/>
            <w:noWrap/>
            <w:vAlign w:val="center"/>
          </w:tcPr>
          <w:p w14:paraId="72969CEE">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170F5C5C">
            <w:pPr>
              <w:pStyle w:val="185"/>
              <w:rPr>
                <w:rFonts w:hint="default" w:ascii="Times New Roman" w:hAnsi="Times New Roman" w:cs="Times New Roman"/>
                <w:color w:val="000000"/>
              </w:rPr>
            </w:pPr>
            <w:r>
              <w:rPr>
                <w:rFonts w:hint="default" w:ascii="Times New Roman" w:hAnsi="Times New Roman" w:cs="Times New Roman"/>
                <w:color w:val="000000"/>
              </w:rPr>
              <w:t>≤6800</w:t>
            </w:r>
          </w:p>
        </w:tc>
        <w:tc>
          <w:tcPr>
            <w:tcW w:w="305" w:type="pct"/>
            <w:shd w:val="clear" w:color="auto" w:fill="auto"/>
            <w:vAlign w:val="center"/>
          </w:tcPr>
          <w:p w14:paraId="4356FFAD">
            <w:pPr>
              <w:pStyle w:val="185"/>
              <w:rPr>
                <w:rFonts w:hint="default" w:ascii="Times New Roman" w:hAnsi="Times New Roman" w:cs="Times New Roman"/>
                <w:color w:val="000000"/>
              </w:rPr>
            </w:pPr>
            <w:r>
              <w:rPr>
                <w:rFonts w:hint="default" w:ascii="Times New Roman" w:hAnsi="Times New Roman" w:cs="Times New Roman"/>
                <w:color w:val="000000"/>
              </w:rPr>
              <w:t>41</w:t>
            </w:r>
          </w:p>
        </w:tc>
        <w:tc>
          <w:tcPr>
            <w:tcW w:w="1180" w:type="pct"/>
            <w:shd w:val="clear" w:color="auto" w:fill="auto"/>
            <w:vAlign w:val="center"/>
          </w:tcPr>
          <w:p w14:paraId="7B9B69E8">
            <w:pPr>
              <w:pStyle w:val="185"/>
              <w:rPr>
                <w:rFonts w:hint="default" w:ascii="Times New Roman" w:hAnsi="Times New Roman" w:cs="Times New Roman"/>
                <w:color w:val="000000"/>
              </w:rPr>
            </w:pPr>
            <w:r>
              <w:rPr>
                <w:rFonts w:hint="default" w:ascii="Times New Roman" w:hAnsi="Times New Roman" w:cs="Times New Roman"/>
                <w:color w:val="000000"/>
              </w:rPr>
              <w:t>镍</w:t>
            </w:r>
          </w:p>
        </w:tc>
        <w:tc>
          <w:tcPr>
            <w:tcW w:w="440" w:type="pct"/>
            <w:shd w:val="clear" w:color="auto" w:fill="auto"/>
            <w:vAlign w:val="center"/>
          </w:tcPr>
          <w:p w14:paraId="143AF639">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3504B5CF">
            <w:pPr>
              <w:pStyle w:val="185"/>
              <w:rPr>
                <w:rFonts w:hint="default" w:ascii="Times New Roman" w:hAnsi="Times New Roman" w:cs="Times New Roman"/>
                <w:color w:val="000000"/>
              </w:rPr>
            </w:pPr>
            <w:r>
              <w:rPr>
                <w:rFonts w:hint="default" w:ascii="Times New Roman" w:hAnsi="Times New Roman" w:cs="Times New Roman"/>
                <w:color w:val="000000"/>
              </w:rPr>
              <w:t>≤900</w:t>
            </w:r>
          </w:p>
        </w:tc>
      </w:tr>
      <w:tr w14:paraId="2F48D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1E45763">
            <w:pPr>
              <w:pStyle w:val="185"/>
              <w:rPr>
                <w:rFonts w:hint="default" w:ascii="Times New Roman" w:hAnsi="Times New Roman" w:cs="Times New Roman"/>
                <w:color w:val="000000"/>
              </w:rPr>
            </w:pPr>
            <w:r>
              <w:rPr>
                <w:rFonts w:hint="default" w:ascii="Times New Roman" w:hAnsi="Times New Roman" w:cs="Times New Roman"/>
                <w:color w:val="000000"/>
              </w:rPr>
              <w:t>17</w:t>
            </w:r>
          </w:p>
        </w:tc>
        <w:tc>
          <w:tcPr>
            <w:tcW w:w="1113" w:type="pct"/>
            <w:shd w:val="clear" w:color="auto" w:fill="auto"/>
            <w:noWrap/>
            <w:vAlign w:val="center"/>
          </w:tcPr>
          <w:p w14:paraId="4FF925DD">
            <w:pPr>
              <w:pStyle w:val="185"/>
              <w:rPr>
                <w:rFonts w:hint="default" w:ascii="Times New Roman" w:hAnsi="Times New Roman" w:cs="Times New Roman"/>
                <w:color w:val="000000"/>
              </w:rPr>
            </w:pPr>
            <w:r>
              <w:rPr>
                <w:rFonts w:hint="default" w:ascii="Times New Roman" w:hAnsi="Times New Roman" w:cs="Times New Roman"/>
                <w:color w:val="000000"/>
              </w:rPr>
              <w:t>苯乙烯</w:t>
            </w:r>
          </w:p>
        </w:tc>
        <w:tc>
          <w:tcPr>
            <w:tcW w:w="440" w:type="pct"/>
            <w:shd w:val="clear" w:color="auto" w:fill="auto"/>
            <w:noWrap/>
            <w:vAlign w:val="center"/>
          </w:tcPr>
          <w:p w14:paraId="242E7244">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24E27285">
            <w:pPr>
              <w:pStyle w:val="185"/>
              <w:rPr>
                <w:rFonts w:hint="default" w:ascii="Times New Roman" w:hAnsi="Times New Roman" w:cs="Times New Roman"/>
                <w:color w:val="000000"/>
              </w:rPr>
            </w:pPr>
            <w:r>
              <w:rPr>
                <w:rFonts w:hint="default" w:ascii="Times New Roman" w:hAnsi="Times New Roman" w:cs="Times New Roman"/>
                <w:color w:val="000000"/>
              </w:rPr>
              <w:t>≤1290000</w:t>
            </w:r>
          </w:p>
        </w:tc>
        <w:tc>
          <w:tcPr>
            <w:tcW w:w="305" w:type="pct"/>
            <w:shd w:val="clear" w:color="auto" w:fill="auto"/>
            <w:vAlign w:val="center"/>
          </w:tcPr>
          <w:p w14:paraId="1E502DAA">
            <w:pPr>
              <w:pStyle w:val="185"/>
              <w:rPr>
                <w:rFonts w:hint="default" w:ascii="Times New Roman" w:hAnsi="Times New Roman" w:cs="Times New Roman"/>
                <w:color w:val="000000"/>
              </w:rPr>
            </w:pPr>
            <w:r>
              <w:rPr>
                <w:rFonts w:hint="default" w:ascii="Times New Roman" w:hAnsi="Times New Roman" w:cs="Times New Roman"/>
                <w:color w:val="000000"/>
              </w:rPr>
              <w:t>42</w:t>
            </w:r>
          </w:p>
        </w:tc>
        <w:tc>
          <w:tcPr>
            <w:tcW w:w="1180" w:type="pct"/>
            <w:shd w:val="clear" w:color="auto" w:fill="auto"/>
            <w:vAlign w:val="center"/>
          </w:tcPr>
          <w:p w14:paraId="04F481F7">
            <w:pPr>
              <w:pStyle w:val="185"/>
              <w:rPr>
                <w:rFonts w:hint="default" w:ascii="Times New Roman" w:hAnsi="Times New Roman" w:cs="Times New Roman"/>
                <w:color w:val="000000"/>
              </w:rPr>
            </w:pPr>
            <w:r>
              <w:rPr>
                <w:rFonts w:hint="default" w:ascii="Times New Roman" w:hAnsi="Times New Roman" w:cs="Times New Roman"/>
                <w:color w:val="000000"/>
              </w:rPr>
              <w:t>镉</w:t>
            </w:r>
          </w:p>
        </w:tc>
        <w:tc>
          <w:tcPr>
            <w:tcW w:w="440" w:type="pct"/>
            <w:shd w:val="clear" w:color="auto" w:fill="auto"/>
            <w:vAlign w:val="center"/>
          </w:tcPr>
          <w:p w14:paraId="332AA4D7">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0602AA38">
            <w:pPr>
              <w:pStyle w:val="185"/>
              <w:rPr>
                <w:rFonts w:hint="default" w:ascii="Times New Roman" w:hAnsi="Times New Roman" w:cs="Times New Roman"/>
                <w:color w:val="000000"/>
              </w:rPr>
            </w:pPr>
            <w:r>
              <w:rPr>
                <w:rFonts w:hint="default" w:ascii="Times New Roman" w:hAnsi="Times New Roman" w:cs="Times New Roman"/>
                <w:color w:val="000000"/>
              </w:rPr>
              <w:t>≤65</w:t>
            </w:r>
          </w:p>
        </w:tc>
      </w:tr>
      <w:tr w14:paraId="1DFDB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9A815A7">
            <w:pPr>
              <w:pStyle w:val="185"/>
              <w:rPr>
                <w:rFonts w:hint="default" w:ascii="Times New Roman" w:hAnsi="Times New Roman" w:cs="Times New Roman"/>
                <w:color w:val="000000"/>
              </w:rPr>
            </w:pPr>
            <w:r>
              <w:rPr>
                <w:rFonts w:hint="default" w:ascii="Times New Roman" w:hAnsi="Times New Roman" w:cs="Times New Roman"/>
                <w:color w:val="000000"/>
              </w:rPr>
              <w:t>18</w:t>
            </w:r>
          </w:p>
        </w:tc>
        <w:tc>
          <w:tcPr>
            <w:tcW w:w="1113" w:type="pct"/>
            <w:shd w:val="clear" w:color="auto" w:fill="auto"/>
            <w:noWrap/>
            <w:vAlign w:val="center"/>
          </w:tcPr>
          <w:p w14:paraId="605364E2">
            <w:pPr>
              <w:pStyle w:val="185"/>
              <w:rPr>
                <w:rFonts w:hint="default" w:ascii="Times New Roman" w:hAnsi="Times New Roman" w:cs="Times New Roman"/>
                <w:color w:val="000000"/>
              </w:rPr>
            </w:pPr>
            <w:r>
              <w:rPr>
                <w:rFonts w:hint="default" w:ascii="Times New Roman" w:hAnsi="Times New Roman" w:cs="Times New Roman"/>
                <w:color w:val="000000"/>
              </w:rPr>
              <w:t>邻二甲苯</w:t>
            </w:r>
          </w:p>
        </w:tc>
        <w:tc>
          <w:tcPr>
            <w:tcW w:w="440" w:type="pct"/>
            <w:shd w:val="clear" w:color="auto" w:fill="auto"/>
            <w:noWrap/>
            <w:vAlign w:val="center"/>
          </w:tcPr>
          <w:p w14:paraId="7A521B4C">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3AEE33B6">
            <w:pPr>
              <w:pStyle w:val="185"/>
              <w:rPr>
                <w:rFonts w:hint="default" w:ascii="Times New Roman" w:hAnsi="Times New Roman" w:cs="Times New Roman"/>
                <w:color w:val="000000"/>
              </w:rPr>
            </w:pPr>
            <w:r>
              <w:rPr>
                <w:rFonts w:hint="default" w:ascii="Times New Roman" w:hAnsi="Times New Roman" w:cs="Times New Roman"/>
                <w:color w:val="000000"/>
              </w:rPr>
              <w:t>≤640000</w:t>
            </w:r>
          </w:p>
        </w:tc>
        <w:tc>
          <w:tcPr>
            <w:tcW w:w="305" w:type="pct"/>
            <w:shd w:val="clear" w:color="auto" w:fill="auto"/>
            <w:vAlign w:val="center"/>
          </w:tcPr>
          <w:p w14:paraId="5F42A5C1">
            <w:pPr>
              <w:pStyle w:val="185"/>
              <w:rPr>
                <w:rFonts w:hint="default" w:ascii="Times New Roman" w:hAnsi="Times New Roman" w:cs="Times New Roman"/>
                <w:color w:val="000000"/>
              </w:rPr>
            </w:pPr>
            <w:r>
              <w:rPr>
                <w:rFonts w:hint="default" w:ascii="Times New Roman" w:hAnsi="Times New Roman" w:cs="Times New Roman"/>
                <w:color w:val="000000"/>
              </w:rPr>
              <w:t>43</w:t>
            </w:r>
          </w:p>
        </w:tc>
        <w:tc>
          <w:tcPr>
            <w:tcW w:w="1180" w:type="pct"/>
            <w:shd w:val="clear" w:color="auto" w:fill="auto"/>
            <w:vAlign w:val="center"/>
          </w:tcPr>
          <w:p w14:paraId="1ADDD8BF">
            <w:pPr>
              <w:pStyle w:val="185"/>
              <w:rPr>
                <w:rFonts w:hint="default" w:ascii="Times New Roman" w:hAnsi="Times New Roman" w:cs="Times New Roman"/>
                <w:color w:val="000000"/>
              </w:rPr>
            </w:pPr>
            <w:r>
              <w:rPr>
                <w:rFonts w:hint="default" w:ascii="Times New Roman" w:hAnsi="Times New Roman" w:cs="Times New Roman"/>
                <w:color w:val="000000"/>
              </w:rPr>
              <w:t>铅</w:t>
            </w:r>
          </w:p>
        </w:tc>
        <w:tc>
          <w:tcPr>
            <w:tcW w:w="440" w:type="pct"/>
            <w:shd w:val="clear" w:color="auto" w:fill="auto"/>
            <w:vAlign w:val="center"/>
          </w:tcPr>
          <w:p w14:paraId="4BD0E5FC">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2813E325">
            <w:pPr>
              <w:pStyle w:val="185"/>
              <w:rPr>
                <w:rFonts w:hint="default" w:ascii="Times New Roman" w:hAnsi="Times New Roman" w:cs="Times New Roman"/>
                <w:color w:val="000000"/>
              </w:rPr>
            </w:pPr>
            <w:r>
              <w:rPr>
                <w:rFonts w:hint="default" w:ascii="Times New Roman" w:hAnsi="Times New Roman" w:cs="Times New Roman"/>
                <w:color w:val="000000"/>
              </w:rPr>
              <w:t>≤800</w:t>
            </w:r>
          </w:p>
        </w:tc>
      </w:tr>
      <w:tr w14:paraId="4248A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29CE4352">
            <w:pPr>
              <w:pStyle w:val="185"/>
              <w:rPr>
                <w:rFonts w:hint="default" w:ascii="Times New Roman" w:hAnsi="Times New Roman" w:cs="Times New Roman"/>
                <w:color w:val="000000"/>
              </w:rPr>
            </w:pPr>
            <w:r>
              <w:rPr>
                <w:rFonts w:hint="default" w:ascii="Times New Roman" w:hAnsi="Times New Roman" w:cs="Times New Roman"/>
                <w:color w:val="000000"/>
              </w:rPr>
              <w:t>19</w:t>
            </w:r>
          </w:p>
        </w:tc>
        <w:tc>
          <w:tcPr>
            <w:tcW w:w="1113" w:type="pct"/>
            <w:shd w:val="clear" w:color="auto" w:fill="auto"/>
            <w:noWrap/>
            <w:vAlign w:val="center"/>
          </w:tcPr>
          <w:p w14:paraId="68F963B3">
            <w:pPr>
              <w:pStyle w:val="185"/>
              <w:rPr>
                <w:rFonts w:hint="default" w:ascii="Times New Roman" w:hAnsi="Times New Roman" w:cs="Times New Roman"/>
                <w:color w:val="000000"/>
              </w:rPr>
            </w:pPr>
            <w:r>
              <w:rPr>
                <w:rFonts w:hint="default" w:ascii="Times New Roman" w:hAnsi="Times New Roman" w:cs="Times New Roman"/>
                <w:color w:val="000000"/>
              </w:rPr>
              <w:t>间，对二甲苯</w:t>
            </w:r>
          </w:p>
        </w:tc>
        <w:tc>
          <w:tcPr>
            <w:tcW w:w="440" w:type="pct"/>
            <w:shd w:val="clear" w:color="auto" w:fill="auto"/>
            <w:noWrap/>
            <w:vAlign w:val="center"/>
          </w:tcPr>
          <w:p w14:paraId="4272ABBC">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44331FBE">
            <w:pPr>
              <w:pStyle w:val="185"/>
              <w:rPr>
                <w:rFonts w:hint="default" w:ascii="Times New Roman" w:hAnsi="Times New Roman" w:cs="Times New Roman"/>
                <w:color w:val="000000"/>
              </w:rPr>
            </w:pPr>
            <w:r>
              <w:rPr>
                <w:rFonts w:hint="default" w:ascii="Times New Roman" w:hAnsi="Times New Roman" w:cs="Times New Roman"/>
                <w:color w:val="000000"/>
              </w:rPr>
              <w:t>≤570000</w:t>
            </w:r>
          </w:p>
        </w:tc>
        <w:tc>
          <w:tcPr>
            <w:tcW w:w="305" w:type="pct"/>
            <w:shd w:val="clear" w:color="auto" w:fill="auto"/>
            <w:vAlign w:val="center"/>
          </w:tcPr>
          <w:p w14:paraId="78558AB2">
            <w:pPr>
              <w:pStyle w:val="185"/>
              <w:rPr>
                <w:rFonts w:hint="default" w:ascii="Times New Roman" w:hAnsi="Times New Roman" w:cs="Times New Roman"/>
                <w:color w:val="000000"/>
              </w:rPr>
            </w:pPr>
            <w:r>
              <w:rPr>
                <w:rFonts w:hint="default" w:ascii="Times New Roman" w:hAnsi="Times New Roman" w:cs="Times New Roman"/>
                <w:color w:val="000000"/>
              </w:rPr>
              <w:t>44</w:t>
            </w:r>
          </w:p>
        </w:tc>
        <w:tc>
          <w:tcPr>
            <w:tcW w:w="1180" w:type="pct"/>
            <w:shd w:val="clear" w:color="auto" w:fill="auto"/>
            <w:vAlign w:val="center"/>
          </w:tcPr>
          <w:p w14:paraId="04B6C43B">
            <w:pPr>
              <w:pStyle w:val="185"/>
              <w:rPr>
                <w:rFonts w:hint="default" w:ascii="Times New Roman" w:hAnsi="Times New Roman" w:cs="Times New Roman"/>
                <w:color w:val="000000"/>
              </w:rPr>
            </w:pPr>
            <w:r>
              <w:rPr>
                <w:rFonts w:hint="default" w:ascii="Times New Roman" w:hAnsi="Times New Roman" w:cs="Times New Roman"/>
                <w:color w:val="000000"/>
              </w:rPr>
              <w:t>铜</w:t>
            </w:r>
          </w:p>
        </w:tc>
        <w:tc>
          <w:tcPr>
            <w:tcW w:w="440" w:type="pct"/>
            <w:shd w:val="clear" w:color="auto" w:fill="auto"/>
            <w:vAlign w:val="center"/>
          </w:tcPr>
          <w:p w14:paraId="7292BEC2">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02AD0294">
            <w:pPr>
              <w:pStyle w:val="185"/>
              <w:rPr>
                <w:rFonts w:hint="default" w:ascii="Times New Roman" w:hAnsi="Times New Roman" w:cs="Times New Roman"/>
                <w:color w:val="000000"/>
              </w:rPr>
            </w:pPr>
            <w:r>
              <w:rPr>
                <w:rFonts w:hint="default" w:ascii="Times New Roman" w:hAnsi="Times New Roman" w:cs="Times New Roman"/>
                <w:color w:val="000000"/>
              </w:rPr>
              <w:t>≤18000</w:t>
            </w:r>
          </w:p>
        </w:tc>
      </w:tr>
      <w:tr w14:paraId="25006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7A35DBF">
            <w:pPr>
              <w:pStyle w:val="185"/>
              <w:rPr>
                <w:rFonts w:hint="default" w:ascii="Times New Roman" w:hAnsi="Times New Roman" w:cs="Times New Roman"/>
                <w:color w:val="000000"/>
              </w:rPr>
            </w:pPr>
            <w:r>
              <w:rPr>
                <w:rFonts w:hint="default" w:ascii="Times New Roman" w:hAnsi="Times New Roman" w:cs="Times New Roman"/>
                <w:color w:val="000000"/>
              </w:rPr>
              <w:t>20</w:t>
            </w:r>
          </w:p>
        </w:tc>
        <w:tc>
          <w:tcPr>
            <w:tcW w:w="1113" w:type="pct"/>
            <w:shd w:val="clear" w:color="auto" w:fill="auto"/>
            <w:noWrap/>
            <w:vAlign w:val="center"/>
          </w:tcPr>
          <w:p w14:paraId="5150522F">
            <w:pPr>
              <w:pStyle w:val="185"/>
              <w:rPr>
                <w:rFonts w:hint="default" w:ascii="Times New Roman" w:hAnsi="Times New Roman" w:cs="Times New Roman"/>
                <w:color w:val="000000"/>
              </w:rPr>
            </w:pPr>
            <w:r>
              <w:rPr>
                <w:rFonts w:hint="default" w:ascii="Times New Roman" w:hAnsi="Times New Roman" w:cs="Times New Roman"/>
                <w:color w:val="000000"/>
              </w:rPr>
              <w:t>乙苯</w:t>
            </w:r>
          </w:p>
        </w:tc>
        <w:tc>
          <w:tcPr>
            <w:tcW w:w="440" w:type="pct"/>
            <w:shd w:val="clear" w:color="auto" w:fill="auto"/>
            <w:noWrap/>
            <w:vAlign w:val="center"/>
          </w:tcPr>
          <w:p w14:paraId="116DC133">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3A997920">
            <w:pPr>
              <w:pStyle w:val="185"/>
              <w:rPr>
                <w:rFonts w:hint="default" w:ascii="Times New Roman" w:hAnsi="Times New Roman" w:cs="Times New Roman"/>
                <w:color w:val="000000"/>
              </w:rPr>
            </w:pPr>
            <w:r>
              <w:rPr>
                <w:rFonts w:hint="default" w:ascii="Times New Roman" w:hAnsi="Times New Roman" w:cs="Times New Roman"/>
                <w:color w:val="000000"/>
              </w:rPr>
              <w:t>≤28000</w:t>
            </w:r>
          </w:p>
        </w:tc>
        <w:tc>
          <w:tcPr>
            <w:tcW w:w="305" w:type="pct"/>
            <w:shd w:val="clear" w:color="auto" w:fill="auto"/>
            <w:vAlign w:val="center"/>
          </w:tcPr>
          <w:p w14:paraId="2CC891EC">
            <w:pPr>
              <w:pStyle w:val="185"/>
              <w:rPr>
                <w:rFonts w:hint="default" w:ascii="Times New Roman" w:hAnsi="Times New Roman" w:cs="Times New Roman"/>
                <w:color w:val="000000"/>
              </w:rPr>
            </w:pPr>
            <w:r>
              <w:rPr>
                <w:rFonts w:hint="default" w:ascii="Times New Roman" w:hAnsi="Times New Roman" w:cs="Times New Roman"/>
                <w:color w:val="000000"/>
              </w:rPr>
              <w:t>45</w:t>
            </w:r>
          </w:p>
        </w:tc>
        <w:tc>
          <w:tcPr>
            <w:tcW w:w="1180" w:type="pct"/>
            <w:shd w:val="clear" w:color="auto" w:fill="auto"/>
            <w:vAlign w:val="center"/>
          </w:tcPr>
          <w:p w14:paraId="2592E7A6">
            <w:pPr>
              <w:pStyle w:val="185"/>
              <w:rPr>
                <w:rFonts w:hint="default" w:ascii="Times New Roman" w:hAnsi="Times New Roman" w:cs="Times New Roman"/>
                <w:color w:val="000000"/>
              </w:rPr>
            </w:pPr>
            <w:r>
              <w:rPr>
                <w:rFonts w:hint="default" w:ascii="Times New Roman" w:hAnsi="Times New Roman" w:cs="Times New Roman"/>
                <w:color w:val="000000"/>
              </w:rPr>
              <w:t>总砷</w:t>
            </w:r>
          </w:p>
        </w:tc>
        <w:tc>
          <w:tcPr>
            <w:tcW w:w="440" w:type="pct"/>
            <w:shd w:val="clear" w:color="auto" w:fill="auto"/>
            <w:vAlign w:val="center"/>
          </w:tcPr>
          <w:p w14:paraId="0FCD87C6">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5ADE80CF">
            <w:pPr>
              <w:pStyle w:val="185"/>
              <w:rPr>
                <w:rFonts w:hint="default" w:ascii="Times New Roman" w:hAnsi="Times New Roman" w:cs="Times New Roman"/>
                <w:color w:val="000000"/>
              </w:rPr>
            </w:pPr>
            <w:r>
              <w:rPr>
                <w:rFonts w:hint="default" w:ascii="Times New Roman" w:hAnsi="Times New Roman" w:cs="Times New Roman"/>
                <w:color w:val="000000"/>
              </w:rPr>
              <w:t>≤60</w:t>
            </w:r>
          </w:p>
        </w:tc>
      </w:tr>
      <w:tr w14:paraId="0F9C5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ADA8DD7">
            <w:pPr>
              <w:pStyle w:val="185"/>
              <w:rPr>
                <w:rFonts w:hint="default" w:ascii="Times New Roman" w:hAnsi="Times New Roman" w:cs="Times New Roman"/>
                <w:color w:val="000000"/>
              </w:rPr>
            </w:pPr>
            <w:r>
              <w:rPr>
                <w:rFonts w:hint="default" w:ascii="Times New Roman" w:hAnsi="Times New Roman" w:cs="Times New Roman"/>
                <w:color w:val="000000"/>
              </w:rPr>
              <w:t>21</w:t>
            </w:r>
          </w:p>
        </w:tc>
        <w:tc>
          <w:tcPr>
            <w:tcW w:w="1113" w:type="pct"/>
            <w:shd w:val="clear" w:color="auto" w:fill="auto"/>
            <w:noWrap/>
            <w:vAlign w:val="center"/>
          </w:tcPr>
          <w:p w14:paraId="4D803C42">
            <w:pPr>
              <w:pStyle w:val="185"/>
              <w:rPr>
                <w:rFonts w:hint="default" w:ascii="Times New Roman" w:hAnsi="Times New Roman" w:cs="Times New Roman"/>
                <w:color w:val="000000"/>
              </w:rPr>
            </w:pPr>
            <w:r>
              <w:rPr>
                <w:rFonts w:hint="default" w:ascii="Times New Roman" w:hAnsi="Times New Roman" w:cs="Times New Roman"/>
                <w:color w:val="000000"/>
              </w:rPr>
              <w:t>1,1,1,2-四氯乙烷</w:t>
            </w:r>
          </w:p>
        </w:tc>
        <w:tc>
          <w:tcPr>
            <w:tcW w:w="440" w:type="pct"/>
            <w:shd w:val="clear" w:color="auto" w:fill="auto"/>
            <w:noWrap/>
            <w:vAlign w:val="center"/>
          </w:tcPr>
          <w:p w14:paraId="4B9490EF">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1D88FC50">
            <w:pPr>
              <w:pStyle w:val="185"/>
              <w:rPr>
                <w:rFonts w:hint="default" w:ascii="Times New Roman" w:hAnsi="Times New Roman" w:cs="Times New Roman"/>
                <w:color w:val="000000"/>
              </w:rPr>
            </w:pPr>
            <w:r>
              <w:rPr>
                <w:rFonts w:hint="default" w:ascii="Times New Roman" w:hAnsi="Times New Roman" w:cs="Times New Roman"/>
                <w:color w:val="000000"/>
              </w:rPr>
              <w:t>≤10000</w:t>
            </w:r>
          </w:p>
        </w:tc>
        <w:tc>
          <w:tcPr>
            <w:tcW w:w="305" w:type="pct"/>
            <w:shd w:val="clear" w:color="auto" w:fill="auto"/>
            <w:vAlign w:val="center"/>
          </w:tcPr>
          <w:p w14:paraId="2B445A96">
            <w:pPr>
              <w:pStyle w:val="185"/>
              <w:rPr>
                <w:rFonts w:hint="default" w:ascii="Times New Roman" w:hAnsi="Times New Roman" w:cs="Times New Roman"/>
                <w:color w:val="000000"/>
              </w:rPr>
            </w:pPr>
            <w:r>
              <w:rPr>
                <w:rFonts w:hint="default" w:ascii="Times New Roman" w:hAnsi="Times New Roman" w:cs="Times New Roman"/>
                <w:color w:val="000000"/>
              </w:rPr>
              <w:t>46</w:t>
            </w:r>
          </w:p>
        </w:tc>
        <w:tc>
          <w:tcPr>
            <w:tcW w:w="1180" w:type="pct"/>
            <w:shd w:val="clear" w:color="auto" w:fill="auto"/>
            <w:vAlign w:val="center"/>
          </w:tcPr>
          <w:p w14:paraId="7853F7F1">
            <w:pPr>
              <w:pStyle w:val="185"/>
              <w:rPr>
                <w:rFonts w:hint="default" w:ascii="Times New Roman" w:hAnsi="Times New Roman" w:cs="Times New Roman"/>
                <w:color w:val="000000"/>
              </w:rPr>
            </w:pPr>
            <w:r>
              <w:rPr>
                <w:rFonts w:hint="default" w:ascii="Times New Roman" w:hAnsi="Times New Roman" w:cs="Times New Roman"/>
                <w:color w:val="000000"/>
              </w:rPr>
              <w:t>总汞</w:t>
            </w:r>
          </w:p>
        </w:tc>
        <w:tc>
          <w:tcPr>
            <w:tcW w:w="440" w:type="pct"/>
            <w:shd w:val="clear" w:color="auto" w:fill="auto"/>
            <w:vAlign w:val="center"/>
          </w:tcPr>
          <w:p w14:paraId="485BD562">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0615DBC2">
            <w:pPr>
              <w:pStyle w:val="185"/>
              <w:rPr>
                <w:rFonts w:hint="default" w:ascii="Times New Roman" w:hAnsi="Times New Roman" w:cs="Times New Roman"/>
                <w:color w:val="000000"/>
              </w:rPr>
            </w:pPr>
            <w:r>
              <w:rPr>
                <w:rFonts w:hint="default" w:ascii="Times New Roman" w:hAnsi="Times New Roman" w:cs="Times New Roman"/>
                <w:color w:val="000000"/>
              </w:rPr>
              <w:t>≤38</w:t>
            </w:r>
          </w:p>
        </w:tc>
      </w:tr>
      <w:tr w14:paraId="2D361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C84FA06">
            <w:pPr>
              <w:pStyle w:val="185"/>
              <w:rPr>
                <w:rFonts w:hint="default" w:ascii="Times New Roman" w:hAnsi="Times New Roman" w:cs="Times New Roman"/>
                <w:color w:val="000000"/>
              </w:rPr>
            </w:pPr>
            <w:r>
              <w:rPr>
                <w:rFonts w:hint="default" w:ascii="Times New Roman" w:hAnsi="Times New Roman" w:cs="Times New Roman"/>
                <w:color w:val="000000"/>
              </w:rPr>
              <w:t>22</w:t>
            </w:r>
          </w:p>
        </w:tc>
        <w:tc>
          <w:tcPr>
            <w:tcW w:w="1113" w:type="pct"/>
            <w:shd w:val="clear" w:color="auto" w:fill="auto"/>
            <w:noWrap/>
            <w:vAlign w:val="center"/>
          </w:tcPr>
          <w:p w14:paraId="1478B011">
            <w:pPr>
              <w:pStyle w:val="185"/>
              <w:rPr>
                <w:rFonts w:hint="default" w:ascii="Times New Roman" w:hAnsi="Times New Roman" w:cs="Times New Roman"/>
                <w:color w:val="000000"/>
              </w:rPr>
            </w:pPr>
            <w:r>
              <w:rPr>
                <w:rFonts w:hint="default" w:ascii="Times New Roman" w:hAnsi="Times New Roman" w:cs="Times New Roman"/>
                <w:color w:val="000000"/>
              </w:rPr>
              <w:t>氯苯</w:t>
            </w:r>
          </w:p>
        </w:tc>
        <w:tc>
          <w:tcPr>
            <w:tcW w:w="440" w:type="pct"/>
            <w:shd w:val="clear" w:color="auto" w:fill="auto"/>
            <w:noWrap/>
            <w:vAlign w:val="center"/>
          </w:tcPr>
          <w:p w14:paraId="750747A0">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3353C1F5">
            <w:pPr>
              <w:pStyle w:val="185"/>
              <w:rPr>
                <w:rFonts w:hint="default" w:ascii="Times New Roman" w:hAnsi="Times New Roman" w:cs="Times New Roman"/>
                <w:color w:val="000000"/>
              </w:rPr>
            </w:pPr>
            <w:r>
              <w:rPr>
                <w:rFonts w:hint="default" w:ascii="Times New Roman" w:hAnsi="Times New Roman" w:cs="Times New Roman"/>
                <w:color w:val="000000"/>
              </w:rPr>
              <w:t>≤270000</w:t>
            </w:r>
          </w:p>
        </w:tc>
        <w:tc>
          <w:tcPr>
            <w:tcW w:w="305" w:type="pct"/>
            <w:shd w:val="clear" w:color="auto" w:fill="auto"/>
            <w:vAlign w:val="center"/>
          </w:tcPr>
          <w:p w14:paraId="2F449F29">
            <w:pPr>
              <w:pStyle w:val="185"/>
              <w:rPr>
                <w:rFonts w:hint="default" w:ascii="Times New Roman" w:hAnsi="Times New Roman" w:cs="Times New Roman"/>
                <w:color w:val="000000"/>
              </w:rPr>
            </w:pPr>
            <w:r>
              <w:rPr>
                <w:rFonts w:hint="default" w:ascii="Times New Roman" w:hAnsi="Times New Roman" w:cs="Times New Roman"/>
                <w:color w:val="000000"/>
              </w:rPr>
              <w:t>47</w:t>
            </w:r>
          </w:p>
        </w:tc>
        <w:tc>
          <w:tcPr>
            <w:tcW w:w="1180" w:type="pct"/>
            <w:shd w:val="clear" w:color="auto" w:fill="auto"/>
            <w:vAlign w:val="center"/>
          </w:tcPr>
          <w:p w14:paraId="769AA27C">
            <w:pPr>
              <w:pStyle w:val="185"/>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w:t>
            </w:r>
          </w:p>
        </w:tc>
        <w:tc>
          <w:tcPr>
            <w:tcW w:w="440" w:type="pct"/>
            <w:shd w:val="clear" w:color="auto" w:fill="auto"/>
            <w:vAlign w:val="center"/>
          </w:tcPr>
          <w:p w14:paraId="255870E6">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4CEFF927">
            <w:pPr>
              <w:pStyle w:val="185"/>
              <w:rPr>
                <w:rFonts w:hint="default" w:ascii="Times New Roman" w:hAnsi="Times New Roman" w:cs="Times New Roman"/>
                <w:color w:val="000000"/>
              </w:rPr>
            </w:pPr>
            <w:r>
              <w:rPr>
                <w:rFonts w:hint="default" w:ascii="Times New Roman" w:hAnsi="Times New Roman" w:cs="Times New Roman"/>
                <w:color w:val="000000"/>
              </w:rPr>
              <w:t>—</w:t>
            </w:r>
          </w:p>
        </w:tc>
      </w:tr>
      <w:tr w14:paraId="6EC0F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1066B634">
            <w:pPr>
              <w:pStyle w:val="185"/>
              <w:rPr>
                <w:rFonts w:hint="default" w:ascii="Times New Roman" w:hAnsi="Times New Roman" w:cs="Times New Roman"/>
                <w:color w:val="000000"/>
              </w:rPr>
            </w:pPr>
            <w:r>
              <w:rPr>
                <w:rFonts w:hint="default" w:ascii="Times New Roman" w:hAnsi="Times New Roman" w:cs="Times New Roman"/>
                <w:color w:val="000000"/>
              </w:rPr>
              <w:t>23</w:t>
            </w:r>
          </w:p>
        </w:tc>
        <w:tc>
          <w:tcPr>
            <w:tcW w:w="1113" w:type="pct"/>
            <w:shd w:val="clear" w:color="auto" w:fill="auto"/>
            <w:noWrap/>
            <w:vAlign w:val="center"/>
          </w:tcPr>
          <w:p w14:paraId="4F68B445">
            <w:pPr>
              <w:pStyle w:val="185"/>
              <w:rPr>
                <w:rFonts w:hint="default" w:ascii="Times New Roman" w:hAnsi="Times New Roman" w:cs="Times New Roman"/>
                <w:color w:val="000000"/>
              </w:rPr>
            </w:pPr>
            <w:r>
              <w:rPr>
                <w:rFonts w:hint="default" w:ascii="Times New Roman" w:hAnsi="Times New Roman" w:cs="Times New Roman"/>
                <w:color w:val="000000"/>
              </w:rPr>
              <w:t>四氯乙烯</w:t>
            </w:r>
          </w:p>
        </w:tc>
        <w:tc>
          <w:tcPr>
            <w:tcW w:w="440" w:type="pct"/>
            <w:shd w:val="clear" w:color="auto" w:fill="auto"/>
            <w:noWrap/>
            <w:vAlign w:val="center"/>
          </w:tcPr>
          <w:p w14:paraId="7ED88A90">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5448ABCD">
            <w:pPr>
              <w:pStyle w:val="185"/>
              <w:rPr>
                <w:rFonts w:hint="default" w:ascii="Times New Roman" w:hAnsi="Times New Roman" w:cs="Times New Roman"/>
                <w:color w:val="000000"/>
              </w:rPr>
            </w:pPr>
            <w:r>
              <w:rPr>
                <w:rFonts w:hint="default" w:ascii="Times New Roman" w:hAnsi="Times New Roman" w:cs="Times New Roman"/>
                <w:color w:val="000000"/>
              </w:rPr>
              <w:t>≤53000</w:t>
            </w:r>
          </w:p>
        </w:tc>
        <w:tc>
          <w:tcPr>
            <w:tcW w:w="305" w:type="pct"/>
            <w:shd w:val="clear" w:color="auto" w:fill="auto"/>
            <w:vAlign w:val="center"/>
          </w:tcPr>
          <w:p w14:paraId="02F3AA1F">
            <w:pPr>
              <w:pStyle w:val="185"/>
              <w:rPr>
                <w:rFonts w:hint="default" w:ascii="Times New Roman" w:hAnsi="Times New Roman" w:cs="Times New Roman"/>
                <w:color w:val="000000"/>
              </w:rPr>
            </w:pPr>
            <w:r>
              <w:rPr>
                <w:rFonts w:hint="default" w:ascii="Times New Roman" w:hAnsi="Times New Roman" w:cs="Times New Roman"/>
                <w:color w:val="000000"/>
              </w:rPr>
              <w:t>48</w:t>
            </w:r>
          </w:p>
        </w:tc>
        <w:tc>
          <w:tcPr>
            <w:tcW w:w="1180" w:type="pct"/>
            <w:shd w:val="clear" w:color="auto" w:fill="auto"/>
            <w:vAlign w:val="center"/>
          </w:tcPr>
          <w:p w14:paraId="58D22826">
            <w:pPr>
              <w:pStyle w:val="185"/>
              <w:rPr>
                <w:rFonts w:hint="default" w:ascii="Times New Roman" w:hAnsi="Times New Roman" w:cs="Times New Roman"/>
                <w:color w:val="000000"/>
              </w:rPr>
            </w:pPr>
            <w:r>
              <w:rPr>
                <w:rFonts w:hint="default" w:ascii="Times New Roman" w:hAnsi="Times New Roman" w:cs="Times New Roman"/>
                <w:color w:val="000000"/>
              </w:rPr>
              <w:t>石油类</w:t>
            </w:r>
          </w:p>
        </w:tc>
        <w:tc>
          <w:tcPr>
            <w:tcW w:w="440" w:type="pct"/>
            <w:shd w:val="clear" w:color="auto" w:fill="auto"/>
            <w:vAlign w:val="center"/>
          </w:tcPr>
          <w:p w14:paraId="115B1F30">
            <w:pPr>
              <w:pStyle w:val="185"/>
              <w:rPr>
                <w:rFonts w:hint="default" w:ascii="Times New Roman" w:hAnsi="Times New Roman" w:cs="Times New Roman"/>
                <w:color w:val="000000"/>
              </w:rPr>
            </w:pPr>
            <w:r>
              <w:rPr>
                <w:rFonts w:hint="default" w:ascii="Times New Roman" w:hAnsi="Times New Roman" w:cs="Times New Roman"/>
                <w:color w:val="000000"/>
              </w:rPr>
              <w:t>mg/kg</w:t>
            </w:r>
          </w:p>
        </w:tc>
        <w:tc>
          <w:tcPr>
            <w:tcW w:w="575" w:type="pct"/>
            <w:shd w:val="clear" w:color="auto" w:fill="auto"/>
            <w:vAlign w:val="center"/>
          </w:tcPr>
          <w:p w14:paraId="6FC835B3">
            <w:pPr>
              <w:pStyle w:val="185"/>
              <w:rPr>
                <w:rFonts w:hint="default" w:ascii="Times New Roman" w:hAnsi="Times New Roman" w:cs="Times New Roman"/>
                <w:color w:val="000000"/>
              </w:rPr>
            </w:pPr>
            <w:r>
              <w:rPr>
                <w:rFonts w:hint="default" w:ascii="Times New Roman" w:hAnsi="Times New Roman" w:cs="Times New Roman"/>
                <w:color w:val="000000"/>
              </w:rPr>
              <w:t>—</w:t>
            </w:r>
          </w:p>
        </w:tc>
      </w:tr>
      <w:tr w14:paraId="5D96A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BA5C1A1">
            <w:pPr>
              <w:pStyle w:val="185"/>
              <w:rPr>
                <w:rFonts w:hint="default" w:ascii="Times New Roman" w:hAnsi="Times New Roman" w:cs="Times New Roman"/>
                <w:color w:val="000000"/>
              </w:rPr>
            </w:pPr>
            <w:r>
              <w:rPr>
                <w:rFonts w:hint="default" w:ascii="Times New Roman" w:hAnsi="Times New Roman" w:cs="Times New Roman"/>
                <w:color w:val="000000"/>
              </w:rPr>
              <w:t>24</w:t>
            </w:r>
          </w:p>
        </w:tc>
        <w:tc>
          <w:tcPr>
            <w:tcW w:w="1113" w:type="pct"/>
            <w:shd w:val="clear" w:color="auto" w:fill="auto"/>
            <w:noWrap/>
            <w:vAlign w:val="center"/>
          </w:tcPr>
          <w:p w14:paraId="2102384C">
            <w:pPr>
              <w:pStyle w:val="185"/>
              <w:rPr>
                <w:rFonts w:hint="default" w:ascii="Times New Roman" w:hAnsi="Times New Roman" w:cs="Times New Roman"/>
                <w:color w:val="000000"/>
              </w:rPr>
            </w:pPr>
            <w:r>
              <w:rPr>
                <w:rFonts w:hint="default" w:ascii="Times New Roman" w:hAnsi="Times New Roman" w:cs="Times New Roman"/>
                <w:color w:val="000000"/>
              </w:rPr>
              <w:t>1,1,2-三氯乙烷</w:t>
            </w:r>
          </w:p>
        </w:tc>
        <w:tc>
          <w:tcPr>
            <w:tcW w:w="440" w:type="pct"/>
            <w:shd w:val="clear" w:color="auto" w:fill="auto"/>
            <w:noWrap/>
            <w:vAlign w:val="center"/>
          </w:tcPr>
          <w:p w14:paraId="6D368A5B">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6066C196">
            <w:pPr>
              <w:pStyle w:val="185"/>
              <w:rPr>
                <w:rFonts w:hint="default" w:ascii="Times New Roman" w:hAnsi="Times New Roman" w:cs="Times New Roman"/>
                <w:color w:val="000000"/>
              </w:rPr>
            </w:pPr>
            <w:r>
              <w:rPr>
                <w:rFonts w:hint="default" w:ascii="Times New Roman" w:hAnsi="Times New Roman" w:cs="Times New Roman"/>
                <w:color w:val="000000"/>
              </w:rPr>
              <w:t>≤2800</w:t>
            </w:r>
          </w:p>
        </w:tc>
        <w:tc>
          <w:tcPr>
            <w:tcW w:w="305" w:type="pct"/>
            <w:shd w:val="clear" w:color="auto" w:fill="auto"/>
            <w:vAlign w:val="center"/>
          </w:tcPr>
          <w:p w14:paraId="611D937F">
            <w:pPr>
              <w:pStyle w:val="185"/>
              <w:rPr>
                <w:rFonts w:hint="default" w:ascii="Times New Roman" w:hAnsi="Times New Roman" w:cs="Times New Roman"/>
                <w:color w:val="000000"/>
              </w:rPr>
            </w:pPr>
          </w:p>
        </w:tc>
        <w:tc>
          <w:tcPr>
            <w:tcW w:w="1180" w:type="pct"/>
            <w:shd w:val="clear" w:color="auto" w:fill="auto"/>
            <w:vAlign w:val="center"/>
          </w:tcPr>
          <w:p w14:paraId="46B06094">
            <w:pPr>
              <w:pStyle w:val="185"/>
              <w:rPr>
                <w:rFonts w:hint="default" w:ascii="Times New Roman" w:hAnsi="Times New Roman" w:cs="Times New Roman"/>
                <w:color w:val="000000"/>
              </w:rPr>
            </w:pPr>
          </w:p>
        </w:tc>
        <w:tc>
          <w:tcPr>
            <w:tcW w:w="440" w:type="pct"/>
            <w:shd w:val="clear" w:color="auto" w:fill="auto"/>
            <w:vAlign w:val="center"/>
          </w:tcPr>
          <w:p w14:paraId="7775E7C0">
            <w:pPr>
              <w:pStyle w:val="185"/>
              <w:rPr>
                <w:rFonts w:hint="default" w:ascii="Times New Roman" w:hAnsi="Times New Roman" w:cs="Times New Roman"/>
                <w:color w:val="000000"/>
              </w:rPr>
            </w:pPr>
          </w:p>
        </w:tc>
        <w:tc>
          <w:tcPr>
            <w:tcW w:w="575" w:type="pct"/>
            <w:shd w:val="clear" w:color="auto" w:fill="auto"/>
            <w:vAlign w:val="center"/>
          </w:tcPr>
          <w:p w14:paraId="0148B6BA">
            <w:pPr>
              <w:pStyle w:val="185"/>
              <w:rPr>
                <w:rFonts w:hint="default" w:ascii="Times New Roman" w:hAnsi="Times New Roman" w:cs="Times New Roman"/>
                <w:color w:val="000000"/>
              </w:rPr>
            </w:pPr>
          </w:p>
        </w:tc>
      </w:tr>
      <w:tr w14:paraId="45AB5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trPr>
        <w:tc>
          <w:tcPr>
            <w:tcW w:w="305" w:type="pct"/>
            <w:shd w:val="clear" w:color="auto" w:fill="auto"/>
            <w:noWrap/>
            <w:vAlign w:val="center"/>
          </w:tcPr>
          <w:p w14:paraId="77C57A08">
            <w:pPr>
              <w:pStyle w:val="185"/>
              <w:rPr>
                <w:rFonts w:hint="default" w:ascii="Times New Roman" w:hAnsi="Times New Roman" w:cs="Times New Roman"/>
                <w:color w:val="000000"/>
              </w:rPr>
            </w:pPr>
            <w:r>
              <w:rPr>
                <w:rFonts w:hint="default" w:ascii="Times New Roman" w:hAnsi="Times New Roman" w:cs="Times New Roman"/>
                <w:color w:val="000000"/>
              </w:rPr>
              <w:t>25</w:t>
            </w:r>
          </w:p>
        </w:tc>
        <w:tc>
          <w:tcPr>
            <w:tcW w:w="1113" w:type="pct"/>
            <w:shd w:val="clear" w:color="auto" w:fill="auto"/>
            <w:noWrap/>
            <w:vAlign w:val="center"/>
          </w:tcPr>
          <w:p w14:paraId="6DE77B71">
            <w:pPr>
              <w:pStyle w:val="185"/>
              <w:rPr>
                <w:rFonts w:hint="default" w:ascii="Times New Roman" w:hAnsi="Times New Roman" w:cs="Times New Roman"/>
                <w:color w:val="000000"/>
              </w:rPr>
            </w:pPr>
            <w:r>
              <w:rPr>
                <w:rFonts w:hint="default" w:ascii="Times New Roman" w:hAnsi="Times New Roman" w:cs="Times New Roman"/>
                <w:color w:val="000000"/>
              </w:rPr>
              <w:t>甲苯</w:t>
            </w:r>
          </w:p>
        </w:tc>
        <w:tc>
          <w:tcPr>
            <w:tcW w:w="440" w:type="pct"/>
            <w:shd w:val="clear" w:color="auto" w:fill="auto"/>
            <w:noWrap/>
            <w:vAlign w:val="center"/>
          </w:tcPr>
          <w:p w14:paraId="647785AD">
            <w:pPr>
              <w:pStyle w:val="185"/>
              <w:rPr>
                <w:rFonts w:hint="default" w:ascii="Times New Roman" w:hAnsi="Times New Roman" w:cs="Times New Roman"/>
                <w:color w:val="000000"/>
              </w:rPr>
            </w:pPr>
            <w:r>
              <w:rPr>
                <w:rFonts w:hint="default" w:ascii="Times New Roman" w:hAnsi="Times New Roman" w:cs="Times New Roman"/>
                <w:color w:val="000000"/>
              </w:rPr>
              <w:t>μg/kg</w:t>
            </w:r>
          </w:p>
        </w:tc>
        <w:tc>
          <w:tcPr>
            <w:tcW w:w="642" w:type="pct"/>
            <w:shd w:val="clear" w:color="auto" w:fill="auto"/>
            <w:vAlign w:val="center"/>
          </w:tcPr>
          <w:p w14:paraId="58501FC7">
            <w:pPr>
              <w:pStyle w:val="185"/>
              <w:rPr>
                <w:rFonts w:hint="default" w:ascii="Times New Roman" w:hAnsi="Times New Roman" w:cs="Times New Roman"/>
                <w:color w:val="000000"/>
              </w:rPr>
            </w:pPr>
            <w:r>
              <w:rPr>
                <w:rFonts w:hint="default" w:ascii="Times New Roman" w:hAnsi="Times New Roman" w:cs="Times New Roman"/>
                <w:color w:val="000000"/>
              </w:rPr>
              <w:t>≤1200000</w:t>
            </w:r>
          </w:p>
        </w:tc>
        <w:tc>
          <w:tcPr>
            <w:tcW w:w="305" w:type="pct"/>
            <w:shd w:val="clear" w:color="auto" w:fill="auto"/>
            <w:vAlign w:val="center"/>
          </w:tcPr>
          <w:p w14:paraId="14DFFEA5">
            <w:pPr>
              <w:pStyle w:val="185"/>
              <w:rPr>
                <w:rFonts w:hint="default" w:ascii="Times New Roman" w:hAnsi="Times New Roman" w:cs="Times New Roman"/>
                <w:color w:val="000000"/>
              </w:rPr>
            </w:pPr>
          </w:p>
        </w:tc>
        <w:tc>
          <w:tcPr>
            <w:tcW w:w="1180" w:type="pct"/>
            <w:shd w:val="clear" w:color="auto" w:fill="auto"/>
            <w:vAlign w:val="center"/>
          </w:tcPr>
          <w:p w14:paraId="7038C240">
            <w:pPr>
              <w:pStyle w:val="185"/>
              <w:rPr>
                <w:rFonts w:hint="default" w:ascii="Times New Roman" w:hAnsi="Times New Roman" w:cs="Times New Roman"/>
                <w:color w:val="000000"/>
              </w:rPr>
            </w:pPr>
          </w:p>
        </w:tc>
        <w:tc>
          <w:tcPr>
            <w:tcW w:w="440" w:type="pct"/>
            <w:shd w:val="clear" w:color="auto" w:fill="auto"/>
            <w:vAlign w:val="center"/>
          </w:tcPr>
          <w:p w14:paraId="4C8107F0">
            <w:pPr>
              <w:pStyle w:val="185"/>
              <w:rPr>
                <w:rFonts w:hint="default" w:ascii="Times New Roman" w:hAnsi="Times New Roman" w:cs="Times New Roman"/>
                <w:color w:val="000000"/>
              </w:rPr>
            </w:pPr>
          </w:p>
        </w:tc>
        <w:tc>
          <w:tcPr>
            <w:tcW w:w="575" w:type="pct"/>
            <w:shd w:val="clear" w:color="auto" w:fill="auto"/>
            <w:vAlign w:val="center"/>
          </w:tcPr>
          <w:p w14:paraId="0D1A513E">
            <w:pPr>
              <w:pStyle w:val="185"/>
              <w:rPr>
                <w:rFonts w:hint="default" w:ascii="Times New Roman" w:hAnsi="Times New Roman" w:cs="Times New Roman"/>
                <w:color w:val="000000"/>
              </w:rPr>
            </w:pPr>
          </w:p>
        </w:tc>
      </w:tr>
    </w:tbl>
    <w:p w14:paraId="5A15691D">
      <w:pPr>
        <w:ind w:firstLine="480"/>
        <w:rPr>
          <w:rFonts w:hint="default" w:ascii="Times New Roman" w:hAnsi="Times New Roman" w:cs="Times New Roman"/>
          <w:color w:val="000000"/>
        </w:rPr>
      </w:pPr>
    </w:p>
    <w:p w14:paraId="026E628B">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17</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地下水污染物及浓度限值</w:t>
      </w:r>
    </w:p>
    <w:tbl>
      <w:tblPr>
        <w:tblStyle w:val="37"/>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4"/>
        <w:gridCol w:w="3240"/>
        <w:gridCol w:w="1425"/>
        <w:gridCol w:w="1733"/>
        <w:gridCol w:w="1179"/>
        <w:gridCol w:w="2332"/>
        <w:gridCol w:w="1555"/>
        <w:gridCol w:w="1626"/>
      </w:tblGrid>
      <w:tr w14:paraId="7A5D4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5FC71C47">
            <w:pPr>
              <w:pStyle w:val="185"/>
              <w:rPr>
                <w:rFonts w:hint="default" w:ascii="Times New Roman" w:hAnsi="Times New Roman" w:cs="Times New Roman"/>
                <w:color w:val="000000"/>
              </w:rPr>
            </w:pPr>
            <w:r>
              <w:rPr>
                <w:rFonts w:hint="default" w:ascii="Times New Roman" w:hAnsi="Times New Roman" w:cs="Times New Roman"/>
                <w:color w:val="000000"/>
              </w:rPr>
              <w:t>序号</w:t>
            </w:r>
          </w:p>
        </w:tc>
        <w:tc>
          <w:tcPr>
            <w:tcW w:w="3240" w:type="dxa"/>
            <w:shd w:val="clear" w:color="auto" w:fill="auto"/>
            <w:noWrap/>
            <w:vAlign w:val="center"/>
          </w:tcPr>
          <w:p w14:paraId="7494A8F5">
            <w:pPr>
              <w:pStyle w:val="185"/>
              <w:rPr>
                <w:rFonts w:hint="default" w:ascii="Times New Roman" w:hAnsi="Times New Roman" w:cs="Times New Roman"/>
                <w:color w:val="000000"/>
              </w:rPr>
            </w:pPr>
            <w:r>
              <w:rPr>
                <w:rFonts w:hint="default" w:ascii="Times New Roman" w:hAnsi="Times New Roman" w:cs="Times New Roman"/>
                <w:color w:val="000000"/>
              </w:rPr>
              <w:t>污染物名称</w:t>
            </w:r>
          </w:p>
        </w:tc>
        <w:tc>
          <w:tcPr>
            <w:tcW w:w="1425" w:type="dxa"/>
            <w:shd w:val="clear" w:color="auto" w:fill="auto"/>
            <w:noWrap/>
            <w:vAlign w:val="center"/>
          </w:tcPr>
          <w:p w14:paraId="0622B5B2">
            <w:pPr>
              <w:pStyle w:val="185"/>
              <w:rPr>
                <w:rFonts w:hint="default" w:ascii="Times New Roman" w:hAnsi="Times New Roman" w:cs="Times New Roman"/>
                <w:color w:val="000000"/>
              </w:rPr>
            </w:pPr>
            <w:r>
              <w:rPr>
                <w:rFonts w:hint="default" w:ascii="Times New Roman" w:hAnsi="Times New Roman" w:cs="Times New Roman"/>
                <w:color w:val="000000"/>
              </w:rPr>
              <w:t>单位</w:t>
            </w:r>
          </w:p>
        </w:tc>
        <w:tc>
          <w:tcPr>
            <w:tcW w:w="1733" w:type="dxa"/>
            <w:shd w:val="clear" w:color="auto" w:fill="auto"/>
            <w:vAlign w:val="center"/>
          </w:tcPr>
          <w:p w14:paraId="64E4F269">
            <w:pPr>
              <w:pStyle w:val="185"/>
              <w:rPr>
                <w:rFonts w:hint="default" w:ascii="Times New Roman" w:hAnsi="Times New Roman" w:cs="Times New Roman"/>
                <w:color w:val="000000"/>
              </w:rPr>
            </w:pPr>
            <w:r>
              <w:rPr>
                <w:rFonts w:hint="default" w:ascii="Times New Roman" w:hAnsi="Times New Roman" w:cs="Times New Roman"/>
                <w:color w:val="000000"/>
              </w:rPr>
              <w:t>浓度</w:t>
            </w:r>
          </w:p>
          <w:p w14:paraId="6A3DB6C8">
            <w:pPr>
              <w:pStyle w:val="185"/>
              <w:rPr>
                <w:rFonts w:hint="default" w:ascii="Times New Roman" w:hAnsi="Times New Roman" w:cs="Times New Roman"/>
                <w:color w:val="000000"/>
              </w:rPr>
            </w:pPr>
            <w:r>
              <w:rPr>
                <w:rFonts w:hint="default" w:ascii="Times New Roman" w:hAnsi="Times New Roman" w:cs="Times New Roman"/>
                <w:color w:val="000000"/>
              </w:rPr>
              <w:t>限值</w:t>
            </w:r>
          </w:p>
        </w:tc>
        <w:tc>
          <w:tcPr>
            <w:tcW w:w="1179" w:type="dxa"/>
            <w:shd w:val="clear" w:color="auto" w:fill="auto"/>
            <w:vAlign w:val="center"/>
          </w:tcPr>
          <w:p w14:paraId="0C0F960A">
            <w:pPr>
              <w:pStyle w:val="185"/>
              <w:rPr>
                <w:rFonts w:hint="default" w:ascii="Times New Roman" w:hAnsi="Times New Roman" w:cs="Times New Roman"/>
                <w:color w:val="000000"/>
              </w:rPr>
            </w:pPr>
            <w:r>
              <w:rPr>
                <w:rFonts w:hint="default" w:ascii="Times New Roman" w:hAnsi="Times New Roman" w:cs="Times New Roman"/>
                <w:color w:val="000000"/>
              </w:rPr>
              <w:t>序号</w:t>
            </w:r>
          </w:p>
        </w:tc>
        <w:tc>
          <w:tcPr>
            <w:tcW w:w="2332" w:type="dxa"/>
            <w:shd w:val="clear" w:color="auto" w:fill="auto"/>
            <w:vAlign w:val="center"/>
          </w:tcPr>
          <w:p w14:paraId="4CFBA3D9">
            <w:pPr>
              <w:pStyle w:val="185"/>
              <w:rPr>
                <w:rFonts w:hint="default" w:ascii="Times New Roman" w:hAnsi="Times New Roman" w:cs="Times New Roman"/>
                <w:color w:val="000000"/>
              </w:rPr>
            </w:pPr>
            <w:r>
              <w:rPr>
                <w:rFonts w:hint="default" w:ascii="Times New Roman" w:hAnsi="Times New Roman" w:cs="Times New Roman"/>
                <w:color w:val="000000"/>
              </w:rPr>
              <w:t>污染物名称</w:t>
            </w:r>
          </w:p>
        </w:tc>
        <w:tc>
          <w:tcPr>
            <w:tcW w:w="1555" w:type="dxa"/>
            <w:shd w:val="clear" w:color="auto" w:fill="auto"/>
            <w:vAlign w:val="center"/>
          </w:tcPr>
          <w:p w14:paraId="6CC987BB">
            <w:pPr>
              <w:pStyle w:val="185"/>
              <w:rPr>
                <w:rFonts w:hint="default" w:ascii="Times New Roman" w:hAnsi="Times New Roman" w:cs="Times New Roman"/>
                <w:color w:val="000000"/>
              </w:rPr>
            </w:pPr>
            <w:r>
              <w:rPr>
                <w:rFonts w:hint="default" w:ascii="Times New Roman" w:hAnsi="Times New Roman" w:cs="Times New Roman"/>
                <w:color w:val="000000"/>
              </w:rPr>
              <w:t>单位</w:t>
            </w:r>
          </w:p>
        </w:tc>
        <w:tc>
          <w:tcPr>
            <w:tcW w:w="1626" w:type="dxa"/>
            <w:shd w:val="clear" w:color="auto" w:fill="auto"/>
            <w:vAlign w:val="center"/>
          </w:tcPr>
          <w:p w14:paraId="67E52855">
            <w:pPr>
              <w:pStyle w:val="185"/>
              <w:rPr>
                <w:rFonts w:hint="default" w:ascii="Times New Roman" w:hAnsi="Times New Roman" w:cs="Times New Roman"/>
                <w:color w:val="000000"/>
              </w:rPr>
            </w:pPr>
            <w:r>
              <w:rPr>
                <w:rFonts w:hint="default" w:ascii="Times New Roman" w:hAnsi="Times New Roman" w:cs="Times New Roman"/>
                <w:color w:val="000000"/>
              </w:rPr>
              <w:t>浓度</w:t>
            </w:r>
          </w:p>
          <w:p w14:paraId="0D4C9EC1">
            <w:pPr>
              <w:pStyle w:val="185"/>
              <w:rPr>
                <w:rFonts w:hint="default" w:ascii="Times New Roman" w:hAnsi="Times New Roman" w:cs="Times New Roman"/>
                <w:color w:val="000000"/>
              </w:rPr>
            </w:pPr>
            <w:r>
              <w:rPr>
                <w:rFonts w:hint="default" w:ascii="Times New Roman" w:hAnsi="Times New Roman" w:cs="Times New Roman"/>
                <w:color w:val="000000"/>
              </w:rPr>
              <w:t>限值</w:t>
            </w:r>
          </w:p>
        </w:tc>
      </w:tr>
      <w:tr w14:paraId="70DAD7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66C339A2">
            <w:pPr>
              <w:pStyle w:val="185"/>
              <w:rPr>
                <w:rFonts w:hint="default" w:ascii="Times New Roman" w:hAnsi="Times New Roman" w:cs="Times New Roman"/>
                <w:color w:val="000000"/>
              </w:rPr>
            </w:pPr>
            <w:r>
              <w:rPr>
                <w:rFonts w:hint="default" w:ascii="Times New Roman" w:hAnsi="Times New Roman" w:cs="Times New Roman"/>
                <w:color w:val="000000"/>
              </w:rPr>
              <w:t>1</w:t>
            </w:r>
          </w:p>
        </w:tc>
        <w:tc>
          <w:tcPr>
            <w:tcW w:w="3240" w:type="dxa"/>
            <w:shd w:val="clear" w:color="auto" w:fill="auto"/>
            <w:noWrap/>
            <w:vAlign w:val="center"/>
          </w:tcPr>
          <w:p w14:paraId="6A86F874">
            <w:pPr>
              <w:pStyle w:val="185"/>
              <w:rPr>
                <w:rFonts w:hint="default" w:ascii="Times New Roman" w:hAnsi="Times New Roman" w:cs="Times New Roman"/>
                <w:color w:val="000000"/>
              </w:rPr>
            </w:pPr>
            <w:r>
              <w:rPr>
                <w:rFonts w:hint="default" w:ascii="Times New Roman" w:hAnsi="Times New Roman" w:cs="Times New Roman"/>
                <w:color w:val="000000"/>
              </w:rPr>
              <w:t>溶解性总固体</w:t>
            </w:r>
          </w:p>
        </w:tc>
        <w:tc>
          <w:tcPr>
            <w:tcW w:w="1425" w:type="dxa"/>
            <w:shd w:val="clear" w:color="auto" w:fill="auto"/>
            <w:noWrap/>
            <w:vAlign w:val="center"/>
          </w:tcPr>
          <w:p w14:paraId="56F67CF7">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4924EF1D">
            <w:pPr>
              <w:pStyle w:val="185"/>
              <w:rPr>
                <w:rFonts w:hint="default" w:ascii="Times New Roman" w:hAnsi="Times New Roman" w:cs="Times New Roman"/>
                <w:color w:val="000000"/>
              </w:rPr>
            </w:pPr>
            <w:r>
              <w:rPr>
                <w:rFonts w:hint="default" w:ascii="Times New Roman" w:hAnsi="Times New Roman" w:cs="Times New Roman"/>
                <w:color w:val="000000"/>
              </w:rPr>
              <w:t>≤1000</w:t>
            </w:r>
          </w:p>
        </w:tc>
        <w:tc>
          <w:tcPr>
            <w:tcW w:w="1179" w:type="dxa"/>
            <w:shd w:val="clear" w:color="auto" w:fill="auto"/>
            <w:vAlign w:val="center"/>
          </w:tcPr>
          <w:p w14:paraId="28F60E24">
            <w:pPr>
              <w:pStyle w:val="185"/>
              <w:rPr>
                <w:rFonts w:hint="default" w:ascii="Times New Roman" w:hAnsi="Times New Roman" w:cs="Times New Roman"/>
                <w:color w:val="000000"/>
              </w:rPr>
            </w:pPr>
            <w:r>
              <w:rPr>
                <w:rFonts w:hint="default" w:ascii="Times New Roman" w:hAnsi="Times New Roman" w:cs="Times New Roman"/>
                <w:color w:val="000000"/>
              </w:rPr>
              <w:t>21</w:t>
            </w:r>
          </w:p>
        </w:tc>
        <w:tc>
          <w:tcPr>
            <w:tcW w:w="2332" w:type="dxa"/>
            <w:shd w:val="clear" w:color="auto" w:fill="auto"/>
            <w:vAlign w:val="center"/>
          </w:tcPr>
          <w:p w14:paraId="0289566B">
            <w:pPr>
              <w:pStyle w:val="185"/>
              <w:rPr>
                <w:rFonts w:hint="default" w:ascii="Times New Roman" w:hAnsi="Times New Roman" w:cs="Times New Roman"/>
                <w:color w:val="000000"/>
              </w:rPr>
            </w:pPr>
            <w:r>
              <w:rPr>
                <w:rFonts w:hint="default" w:ascii="Times New Roman" w:hAnsi="Times New Roman" w:cs="Times New Roman"/>
                <w:color w:val="000000"/>
              </w:rPr>
              <w:t>氰化物</w:t>
            </w:r>
          </w:p>
        </w:tc>
        <w:tc>
          <w:tcPr>
            <w:tcW w:w="1555" w:type="dxa"/>
            <w:shd w:val="clear" w:color="auto" w:fill="auto"/>
            <w:vAlign w:val="center"/>
          </w:tcPr>
          <w:p w14:paraId="69C50A74">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472EFE33">
            <w:pPr>
              <w:pStyle w:val="185"/>
              <w:rPr>
                <w:rFonts w:hint="default" w:ascii="Times New Roman" w:hAnsi="Times New Roman" w:cs="Times New Roman"/>
                <w:color w:val="000000"/>
              </w:rPr>
            </w:pPr>
            <w:r>
              <w:rPr>
                <w:rFonts w:hint="default" w:ascii="Times New Roman" w:hAnsi="Times New Roman" w:cs="Times New Roman"/>
                <w:color w:val="000000"/>
              </w:rPr>
              <w:t>≤0.05</w:t>
            </w:r>
          </w:p>
        </w:tc>
      </w:tr>
      <w:tr w14:paraId="3B2F7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16807B3C">
            <w:pPr>
              <w:pStyle w:val="185"/>
              <w:rPr>
                <w:rFonts w:hint="default" w:ascii="Times New Roman" w:hAnsi="Times New Roman" w:cs="Times New Roman"/>
                <w:color w:val="000000"/>
              </w:rPr>
            </w:pPr>
            <w:r>
              <w:rPr>
                <w:rFonts w:hint="default" w:ascii="Times New Roman" w:hAnsi="Times New Roman" w:cs="Times New Roman"/>
                <w:color w:val="000000"/>
              </w:rPr>
              <w:t>2</w:t>
            </w:r>
          </w:p>
        </w:tc>
        <w:tc>
          <w:tcPr>
            <w:tcW w:w="3240" w:type="dxa"/>
            <w:shd w:val="clear" w:color="auto" w:fill="auto"/>
            <w:noWrap/>
            <w:vAlign w:val="center"/>
          </w:tcPr>
          <w:p w14:paraId="5A045D46">
            <w:pPr>
              <w:pStyle w:val="185"/>
              <w:rPr>
                <w:rFonts w:hint="default" w:ascii="Times New Roman" w:hAnsi="Times New Roman" w:cs="Times New Roman"/>
                <w:color w:val="000000"/>
              </w:rPr>
            </w:pPr>
            <w:r>
              <w:rPr>
                <w:rFonts w:hint="default" w:ascii="Times New Roman" w:hAnsi="Times New Roman" w:cs="Times New Roman"/>
                <w:color w:val="000000"/>
              </w:rPr>
              <w:t>甲苯</w:t>
            </w:r>
          </w:p>
        </w:tc>
        <w:tc>
          <w:tcPr>
            <w:tcW w:w="1425" w:type="dxa"/>
            <w:shd w:val="clear" w:color="auto" w:fill="auto"/>
            <w:noWrap/>
            <w:vAlign w:val="center"/>
          </w:tcPr>
          <w:p w14:paraId="747B3446">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35914636">
            <w:pPr>
              <w:pStyle w:val="185"/>
              <w:rPr>
                <w:rFonts w:hint="default" w:ascii="Times New Roman" w:hAnsi="Times New Roman" w:cs="Times New Roman"/>
                <w:color w:val="000000"/>
              </w:rPr>
            </w:pPr>
            <w:r>
              <w:rPr>
                <w:rFonts w:hint="default" w:ascii="Times New Roman" w:hAnsi="Times New Roman" w:cs="Times New Roman"/>
                <w:color w:val="000000"/>
              </w:rPr>
              <w:t>≤700</w:t>
            </w:r>
          </w:p>
        </w:tc>
        <w:tc>
          <w:tcPr>
            <w:tcW w:w="1179" w:type="dxa"/>
            <w:shd w:val="clear" w:color="auto" w:fill="auto"/>
            <w:vAlign w:val="center"/>
          </w:tcPr>
          <w:p w14:paraId="213F44EF">
            <w:pPr>
              <w:pStyle w:val="185"/>
              <w:rPr>
                <w:rFonts w:hint="default" w:ascii="Times New Roman" w:hAnsi="Times New Roman" w:cs="Times New Roman"/>
                <w:color w:val="000000"/>
              </w:rPr>
            </w:pPr>
            <w:r>
              <w:rPr>
                <w:rFonts w:hint="default" w:ascii="Times New Roman" w:hAnsi="Times New Roman" w:cs="Times New Roman"/>
                <w:color w:val="000000"/>
              </w:rPr>
              <w:t>22</w:t>
            </w:r>
          </w:p>
        </w:tc>
        <w:tc>
          <w:tcPr>
            <w:tcW w:w="2332" w:type="dxa"/>
            <w:shd w:val="clear" w:color="auto" w:fill="auto"/>
            <w:vAlign w:val="center"/>
          </w:tcPr>
          <w:p w14:paraId="13444AF6">
            <w:pPr>
              <w:pStyle w:val="185"/>
              <w:rPr>
                <w:rFonts w:hint="default" w:ascii="Times New Roman" w:hAnsi="Times New Roman" w:cs="Times New Roman"/>
                <w:color w:val="000000"/>
              </w:rPr>
            </w:pPr>
            <w:r>
              <w:rPr>
                <w:rFonts w:hint="default" w:ascii="Times New Roman" w:hAnsi="Times New Roman" w:cs="Times New Roman"/>
                <w:color w:val="000000"/>
              </w:rPr>
              <w:t>氟化物</w:t>
            </w:r>
          </w:p>
        </w:tc>
        <w:tc>
          <w:tcPr>
            <w:tcW w:w="1555" w:type="dxa"/>
            <w:shd w:val="clear" w:color="auto" w:fill="auto"/>
            <w:vAlign w:val="center"/>
          </w:tcPr>
          <w:p w14:paraId="3DFC7371">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18E5991C">
            <w:pPr>
              <w:pStyle w:val="185"/>
              <w:rPr>
                <w:rFonts w:hint="default" w:ascii="Times New Roman" w:hAnsi="Times New Roman" w:cs="Times New Roman"/>
                <w:color w:val="000000"/>
              </w:rPr>
            </w:pPr>
            <w:r>
              <w:rPr>
                <w:rFonts w:hint="default" w:ascii="Times New Roman" w:hAnsi="Times New Roman" w:cs="Times New Roman"/>
                <w:color w:val="000000"/>
              </w:rPr>
              <w:t>≤1.0</w:t>
            </w:r>
          </w:p>
        </w:tc>
      </w:tr>
      <w:tr w14:paraId="3B6C7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283EBB71">
            <w:pPr>
              <w:pStyle w:val="185"/>
              <w:rPr>
                <w:rFonts w:hint="default" w:ascii="Times New Roman" w:hAnsi="Times New Roman" w:cs="Times New Roman"/>
                <w:color w:val="000000"/>
              </w:rPr>
            </w:pPr>
            <w:r>
              <w:rPr>
                <w:rFonts w:hint="default" w:ascii="Times New Roman" w:hAnsi="Times New Roman" w:cs="Times New Roman"/>
                <w:color w:val="000000"/>
              </w:rPr>
              <w:t>3</w:t>
            </w:r>
          </w:p>
        </w:tc>
        <w:tc>
          <w:tcPr>
            <w:tcW w:w="3240" w:type="dxa"/>
            <w:shd w:val="clear" w:color="auto" w:fill="auto"/>
            <w:noWrap/>
            <w:vAlign w:val="center"/>
          </w:tcPr>
          <w:p w14:paraId="09A9B3FF">
            <w:pPr>
              <w:pStyle w:val="185"/>
              <w:rPr>
                <w:rFonts w:hint="default" w:ascii="Times New Roman" w:hAnsi="Times New Roman" w:cs="Times New Roman"/>
                <w:color w:val="000000"/>
              </w:rPr>
            </w:pPr>
            <w:r>
              <w:rPr>
                <w:rFonts w:hint="default" w:ascii="Times New Roman" w:hAnsi="Times New Roman" w:cs="Times New Roman"/>
                <w:color w:val="000000"/>
              </w:rPr>
              <w:t>苯</w:t>
            </w:r>
          </w:p>
        </w:tc>
        <w:tc>
          <w:tcPr>
            <w:tcW w:w="1425" w:type="dxa"/>
            <w:shd w:val="clear" w:color="auto" w:fill="auto"/>
            <w:noWrap/>
            <w:vAlign w:val="center"/>
          </w:tcPr>
          <w:p w14:paraId="4E6AFE39">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79A7C092">
            <w:pPr>
              <w:pStyle w:val="185"/>
              <w:rPr>
                <w:rFonts w:hint="default" w:ascii="Times New Roman" w:hAnsi="Times New Roman" w:cs="Times New Roman"/>
                <w:color w:val="000000"/>
              </w:rPr>
            </w:pPr>
            <w:r>
              <w:rPr>
                <w:rFonts w:hint="default" w:ascii="Times New Roman" w:hAnsi="Times New Roman" w:cs="Times New Roman"/>
                <w:color w:val="000000"/>
              </w:rPr>
              <w:t>≤10.0</w:t>
            </w:r>
          </w:p>
        </w:tc>
        <w:tc>
          <w:tcPr>
            <w:tcW w:w="1179" w:type="dxa"/>
            <w:shd w:val="clear" w:color="auto" w:fill="auto"/>
            <w:vAlign w:val="center"/>
          </w:tcPr>
          <w:p w14:paraId="3393A883">
            <w:pPr>
              <w:pStyle w:val="185"/>
              <w:rPr>
                <w:rFonts w:hint="default" w:ascii="Times New Roman" w:hAnsi="Times New Roman" w:cs="Times New Roman"/>
                <w:color w:val="000000"/>
              </w:rPr>
            </w:pPr>
            <w:r>
              <w:rPr>
                <w:rFonts w:hint="default" w:ascii="Times New Roman" w:hAnsi="Times New Roman" w:cs="Times New Roman"/>
                <w:color w:val="000000"/>
              </w:rPr>
              <w:t>23</w:t>
            </w:r>
          </w:p>
        </w:tc>
        <w:tc>
          <w:tcPr>
            <w:tcW w:w="2332" w:type="dxa"/>
            <w:shd w:val="clear" w:color="auto" w:fill="auto"/>
            <w:vAlign w:val="center"/>
          </w:tcPr>
          <w:p w14:paraId="42B46CA7">
            <w:pPr>
              <w:pStyle w:val="185"/>
              <w:rPr>
                <w:rFonts w:hint="default" w:ascii="Times New Roman" w:hAnsi="Times New Roman" w:cs="Times New Roman"/>
                <w:color w:val="000000"/>
              </w:rPr>
            </w:pPr>
            <w:r>
              <w:rPr>
                <w:rFonts w:hint="default" w:ascii="Times New Roman" w:hAnsi="Times New Roman" w:cs="Times New Roman"/>
                <w:color w:val="000000"/>
              </w:rPr>
              <w:t>亚硝酸盐氮</w:t>
            </w:r>
          </w:p>
        </w:tc>
        <w:tc>
          <w:tcPr>
            <w:tcW w:w="1555" w:type="dxa"/>
            <w:shd w:val="clear" w:color="auto" w:fill="auto"/>
            <w:vAlign w:val="center"/>
          </w:tcPr>
          <w:p w14:paraId="1EB90BF3">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3C0C357B">
            <w:pPr>
              <w:pStyle w:val="185"/>
              <w:rPr>
                <w:rFonts w:hint="default" w:ascii="Times New Roman" w:hAnsi="Times New Roman" w:cs="Times New Roman"/>
                <w:color w:val="000000"/>
              </w:rPr>
            </w:pPr>
            <w:r>
              <w:rPr>
                <w:rFonts w:hint="default" w:ascii="Times New Roman" w:hAnsi="Times New Roman" w:cs="Times New Roman"/>
                <w:color w:val="000000"/>
              </w:rPr>
              <w:t>≤1.00</w:t>
            </w:r>
          </w:p>
        </w:tc>
      </w:tr>
      <w:tr w14:paraId="571B0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4C551D54">
            <w:pPr>
              <w:pStyle w:val="185"/>
              <w:rPr>
                <w:rFonts w:hint="default" w:ascii="Times New Roman" w:hAnsi="Times New Roman" w:cs="Times New Roman"/>
                <w:color w:val="000000"/>
              </w:rPr>
            </w:pPr>
            <w:r>
              <w:rPr>
                <w:rFonts w:hint="default" w:ascii="Times New Roman" w:hAnsi="Times New Roman" w:cs="Times New Roman"/>
                <w:color w:val="000000"/>
              </w:rPr>
              <w:t>4</w:t>
            </w:r>
          </w:p>
        </w:tc>
        <w:tc>
          <w:tcPr>
            <w:tcW w:w="3240" w:type="dxa"/>
            <w:shd w:val="clear" w:color="auto" w:fill="auto"/>
            <w:noWrap/>
            <w:vAlign w:val="center"/>
          </w:tcPr>
          <w:p w14:paraId="7852F648">
            <w:pPr>
              <w:pStyle w:val="185"/>
              <w:rPr>
                <w:rFonts w:hint="default" w:ascii="Times New Roman" w:hAnsi="Times New Roman" w:cs="Times New Roman"/>
                <w:color w:val="000000"/>
              </w:rPr>
            </w:pPr>
            <w:r>
              <w:rPr>
                <w:rFonts w:hint="default" w:ascii="Times New Roman" w:hAnsi="Times New Roman" w:cs="Times New Roman"/>
                <w:color w:val="000000"/>
              </w:rPr>
              <w:t>四氯化碳</w:t>
            </w:r>
          </w:p>
        </w:tc>
        <w:tc>
          <w:tcPr>
            <w:tcW w:w="1425" w:type="dxa"/>
            <w:shd w:val="clear" w:color="auto" w:fill="auto"/>
            <w:noWrap/>
            <w:vAlign w:val="center"/>
          </w:tcPr>
          <w:p w14:paraId="21BF0F09">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39B08EE2">
            <w:pPr>
              <w:pStyle w:val="185"/>
              <w:rPr>
                <w:rFonts w:hint="default" w:ascii="Times New Roman" w:hAnsi="Times New Roman" w:cs="Times New Roman"/>
                <w:color w:val="000000"/>
              </w:rPr>
            </w:pPr>
            <w:r>
              <w:rPr>
                <w:rFonts w:hint="default" w:ascii="Times New Roman" w:hAnsi="Times New Roman" w:cs="Times New Roman"/>
                <w:color w:val="000000"/>
              </w:rPr>
              <w:t>≤2.0</w:t>
            </w:r>
          </w:p>
        </w:tc>
        <w:tc>
          <w:tcPr>
            <w:tcW w:w="1179" w:type="dxa"/>
            <w:shd w:val="clear" w:color="auto" w:fill="auto"/>
            <w:vAlign w:val="center"/>
          </w:tcPr>
          <w:p w14:paraId="456639EF">
            <w:pPr>
              <w:pStyle w:val="185"/>
              <w:rPr>
                <w:rFonts w:hint="default" w:ascii="Times New Roman" w:hAnsi="Times New Roman" w:cs="Times New Roman"/>
                <w:color w:val="000000"/>
              </w:rPr>
            </w:pPr>
            <w:r>
              <w:rPr>
                <w:rFonts w:hint="default" w:ascii="Times New Roman" w:hAnsi="Times New Roman" w:cs="Times New Roman"/>
                <w:color w:val="000000"/>
              </w:rPr>
              <w:t>24</w:t>
            </w:r>
          </w:p>
        </w:tc>
        <w:tc>
          <w:tcPr>
            <w:tcW w:w="2332" w:type="dxa"/>
            <w:shd w:val="clear" w:color="auto" w:fill="auto"/>
            <w:vAlign w:val="center"/>
          </w:tcPr>
          <w:p w14:paraId="7DC96AC0">
            <w:pPr>
              <w:pStyle w:val="185"/>
              <w:rPr>
                <w:rFonts w:hint="default" w:ascii="Times New Roman" w:hAnsi="Times New Roman" w:cs="Times New Roman"/>
                <w:color w:val="000000"/>
              </w:rPr>
            </w:pPr>
            <w:r>
              <w:rPr>
                <w:rFonts w:hint="default" w:ascii="Times New Roman" w:hAnsi="Times New Roman" w:cs="Times New Roman"/>
                <w:color w:val="000000"/>
              </w:rPr>
              <w:t>氨氮</w:t>
            </w:r>
          </w:p>
        </w:tc>
        <w:tc>
          <w:tcPr>
            <w:tcW w:w="1555" w:type="dxa"/>
            <w:shd w:val="clear" w:color="auto" w:fill="auto"/>
            <w:vAlign w:val="center"/>
          </w:tcPr>
          <w:p w14:paraId="33113B4A">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371C6352">
            <w:pPr>
              <w:pStyle w:val="185"/>
              <w:rPr>
                <w:rFonts w:hint="default" w:ascii="Times New Roman" w:hAnsi="Times New Roman" w:cs="Times New Roman"/>
                <w:color w:val="000000"/>
              </w:rPr>
            </w:pPr>
            <w:r>
              <w:rPr>
                <w:rFonts w:hint="default" w:ascii="Times New Roman" w:hAnsi="Times New Roman" w:cs="Times New Roman"/>
                <w:color w:val="000000"/>
              </w:rPr>
              <w:t>≤0.5</w:t>
            </w:r>
          </w:p>
        </w:tc>
      </w:tr>
      <w:tr w14:paraId="61DD8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430224E1">
            <w:pPr>
              <w:pStyle w:val="185"/>
              <w:rPr>
                <w:rFonts w:hint="default" w:ascii="Times New Roman" w:hAnsi="Times New Roman" w:cs="Times New Roman"/>
                <w:color w:val="000000"/>
              </w:rPr>
            </w:pPr>
            <w:r>
              <w:rPr>
                <w:rFonts w:hint="default" w:ascii="Times New Roman" w:hAnsi="Times New Roman" w:cs="Times New Roman"/>
                <w:color w:val="000000"/>
              </w:rPr>
              <w:t>5</w:t>
            </w:r>
          </w:p>
        </w:tc>
        <w:tc>
          <w:tcPr>
            <w:tcW w:w="3240" w:type="dxa"/>
            <w:shd w:val="clear" w:color="auto" w:fill="auto"/>
            <w:noWrap/>
            <w:vAlign w:val="center"/>
          </w:tcPr>
          <w:p w14:paraId="444DABF2">
            <w:pPr>
              <w:pStyle w:val="185"/>
              <w:rPr>
                <w:rFonts w:hint="default" w:ascii="Times New Roman" w:hAnsi="Times New Roman" w:cs="Times New Roman"/>
                <w:color w:val="000000"/>
              </w:rPr>
            </w:pPr>
            <w:r>
              <w:rPr>
                <w:rFonts w:hint="default" w:ascii="Times New Roman" w:hAnsi="Times New Roman" w:cs="Times New Roman"/>
                <w:color w:val="000000"/>
              </w:rPr>
              <w:t>三氯甲烷</w:t>
            </w:r>
          </w:p>
        </w:tc>
        <w:tc>
          <w:tcPr>
            <w:tcW w:w="1425" w:type="dxa"/>
            <w:shd w:val="clear" w:color="auto" w:fill="auto"/>
            <w:noWrap/>
            <w:vAlign w:val="center"/>
          </w:tcPr>
          <w:p w14:paraId="72CA4571">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54D6FAC8">
            <w:pPr>
              <w:pStyle w:val="185"/>
              <w:rPr>
                <w:rFonts w:hint="default" w:ascii="Times New Roman" w:hAnsi="Times New Roman" w:cs="Times New Roman"/>
                <w:color w:val="000000"/>
              </w:rPr>
            </w:pPr>
            <w:r>
              <w:rPr>
                <w:rFonts w:hint="default" w:ascii="Times New Roman" w:hAnsi="Times New Roman" w:cs="Times New Roman"/>
                <w:color w:val="000000"/>
              </w:rPr>
              <w:t>≤60</w:t>
            </w:r>
          </w:p>
        </w:tc>
        <w:tc>
          <w:tcPr>
            <w:tcW w:w="1179" w:type="dxa"/>
            <w:shd w:val="clear" w:color="auto" w:fill="auto"/>
            <w:vAlign w:val="center"/>
          </w:tcPr>
          <w:p w14:paraId="565FB8E0">
            <w:pPr>
              <w:pStyle w:val="185"/>
              <w:rPr>
                <w:rFonts w:hint="default" w:ascii="Times New Roman" w:hAnsi="Times New Roman" w:cs="Times New Roman"/>
                <w:color w:val="000000"/>
              </w:rPr>
            </w:pPr>
            <w:r>
              <w:rPr>
                <w:rFonts w:hint="default" w:ascii="Times New Roman" w:hAnsi="Times New Roman" w:cs="Times New Roman"/>
                <w:color w:val="000000"/>
              </w:rPr>
              <w:t>25</w:t>
            </w:r>
          </w:p>
        </w:tc>
        <w:tc>
          <w:tcPr>
            <w:tcW w:w="2332" w:type="dxa"/>
            <w:shd w:val="clear" w:color="auto" w:fill="auto"/>
            <w:vAlign w:val="center"/>
          </w:tcPr>
          <w:p w14:paraId="31444AA2">
            <w:pPr>
              <w:pStyle w:val="185"/>
              <w:rPr>
                <w:rFonts w:hint="default" w:ascii="Times New Roman" w:hAnsi="Times New Roman" w:cs="Times New Roman"/>
                <w:color w:val="000000"/>
              </w:rPr>
            </w:pPr>
            <w:r>
              <w:rPr>
                <w:rFonts w:hint="default" w:ascii="Times New Roman" w:hAnsi="Times New Roman" w:cs="Times New Roman"/>
                <w:color w:val="000000"/>
              </w:rPr>
              <w:t>高锰酸盐指数</w:t>
            </w:r>
          </w:p>
        </w:tc>
        <w:tc>
          <w:tcPr>
            <w:tcW w:w="1555" w:type="dxa"/>
            <w:shd w:val="clear" w:color="auto" w:fill="auto"/>
            <w:vAlign w:val="center"/>
          </w:tcPr>
          <w:p w14:paraId="23EFF9DA">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4850E13C">
            <w:pPr>
              <w:pStyle w:val="185"/>
              <w:rPr>
                <w:rFonts w:hint="default" w:ascii="Times New Roman" w:hAnsi="Times New Roman" w:cs="Times New Roman"/>
                <w:color w:val="000000"/>
              </w:rPr>
            </w:pPr>
            <w:r>
              <w:rPr>
                <w:rFonts w:hint="default" w:ascii="Times New Roman" w:hAnsi="Times New Roman" w:cs="Times New Roman"/>
                <w:color w:val="000000"/>
              </w:rPr>
              <w:t>≤3.0</w:t>
            </w:r>
          </w:p>
        </w:tc>
      </w:tr>
      <w:tr w14:paraId="066AB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0AAD9922">
            <w:pPr>
              <w:pStyle w:val="185"/>
              <w:rPr>
                <w:rFonts w:hint="default" w:ascii="Times New Roman" w:hAnsi="Times New Roman" w:cs="Times New Roman"/>
                <w:color w:val="000000"/>
              </w:rPr>
            </w:pPr>
            <w:r>
              <w:rPr>
                <w:rFonts w:hint="default" w:ascii="Times New Roman" w:hAnsi="Times New Roman" w:cs="Times New Roman"/>
                <w:color w:val="000000"/>
              </w:rPr>
              <w:t>6</w:t>
            </w:r>
          </w:p>
        </w:tc>
        <w:tc>
          <w:tcPr>
            <w:tcW w:w="3240" w:type="dxa"/>
            <w:shd w:val="clear" w:color="auto" w:fill="auto"/>
            <w:noWrap/>
            <w:vAlign w:val="center"/>
          </w:tcPr>
          <w:p w14:paraId="40D872A9">
            <w:pPr>
              <w:pStyle w:val="185"/>
              <w:rPr>
                <w:rFonts w:hint="default" w:ascii="Times New Roman" w:hAnsi="Times New Roman" w:cs="Times New Roman"/>
                <w:color w:val="000000"/>
              </w:rPr>
            </w:pPr>
            <w:r>
              <w:rPr>
                <w:rFonts w:hint="default" w:ascii="Times New Roman" w:hAnsi="Times New Roman" w:cs="Times New Roman"/>
                <w:color w:val="000000"/>
              </w:rPr>
              <w:t>铝</w:t>
            </w:r>
          </w:p>
        </w:tc>
        <w:tc>
          <w:tcPr>
            <w:tcW w:w="1425" w:type="dxa"/>
            <w:shd w:val="clear" w:color="auto" w:fill="auto"/>
            <w:noWrap/>
            <w:vAlign w:val="center"/>
          </w:tcPr>
          <w:p w14:paraId="4AB397E8">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66D7894E">
            <w:pPr>
              <w:pStyle w:val="185"/>
              <w:rPr>
                <w:rFonts w:hint="default" w:ascii="Times New Roman" w:hAnsi="Times New Roman" w:cs="Times New Roman"/>
                <w:color w:val="000000"/>
              </w:rPr>
            </w:pPr>
            <w:r>
              <w:rPr>
                <w:rFonts w:hint="default" w:ascii="Times New Roman" w:hAnsi="Times New Roman" w:cs="Times New Roman"/>
                <w:color w:val="000000"/>
              </w:rPr>
              <w:t>≤0.20</w:t>
            </w:r>
          </w:p>
        </w:tc>
        <w:tc>
          <w:tcPr>
            <w:tcW w:w="1179" w:type="dxa"/>
            <w:shd w:val="clear" w:color="auto" w:fill="auto"/>
            <w:vAlign w:val="center"/>
          </w:tcPr>
          <w:p w14:paraId="75BB4FFF">
            <w:pPr>
              <w:pStyle w:val="185"/>
              <w:rPr>
                <w:rFonts w:hint="default" w:ascii="Times New Roman" w:hAnsi="Times New Roman" w:cs="Times New Roman"/>
                <w:color w:val="000000"/>
              </w:rPr>
            </w:pPr>
            <w:r>
              <w:rPr>
                <w:rFonts w:hint="default" w:ascii="Times New Roman" w:hAnsi="Times New Roman" w:cs="Times New Roman"/>
                <w:color w:val="000000"/>
              </w:rPr>
              <w:t>26</w:t>
            </w:r>
          </w:p>
        </w:tc>
        <w:tc>
          <w:tcPr>
            <w:tcW w:w="2332" w:type="dxa"/>
            <w:shd w:val="clear" w:color="auto" w:fill="auto"/>
            <w:vAlign w:val="center"/>
          </w:tcPr>
          <w:p w14:paraId="2DF8E199">
            <w:pPr>
              <w:pStyle w:val="185"/>
              <w:rPr>
                <w:rFonts w:hint="default" w:ascii="Times New Roman" w:hAnsi="Times New Roman" w:cs="Times New Roman"/>
                <w:color w:val="000000"/>
              </w:rPr>
            </w:pPr>
            <w:r>
              <w:rPr>
                <w:rFonts w:hint="default" w:ascii="Times New Roman" w:hAnsi="Times New Roman" w:cs="Times New Roman"/>
                <w:color w:val="000000"/>
              </w:rPr>
              <w:t>硫酸盐(SO</w:t>
            </w:r>
            <w:r>
              <w:rPr>
                <w:rFonts w:hint="default" w:ascii="Times New Roman" w:hAnsi="Times New Roman" w:cs="Times New Roman"/>
                <w:color w:val="000000"/>
                <w:vertAlign w:val="subscript"/>
              </w:rPr>
              <w:t>4</w:t>
            </w:r>
            <w:r>
              <w:rPr>
                <w:rFonts w:hint="default" w:ascii="Times New Roman" w:hAnsi="Times New Roman" w:cs="Times New Roman"/>
                <w:color w:val="000000"/>
                <w:vertAlign w:val="superscript"/>
              </w:rPr>
              <w:t>2-</w:t>
            </w:r>
            <w:r>
              <w:rPr>
                <w:rFonts w:hint="default" w:ascii="Times New Roman" w:hAnsi="Times New Roman" w:cs="Times New Roman"/>
                <w:color w:val="000000"/>
              </w:rPr>
              <w:t>)</w:t>
            </w:r>
          </w:p>
        </w:tc>
        <w:tc>
          <w:tcPr>
            <w:tcW w:w="1555" w:type="dxa"/>
            <w:shd w:val="clear" w:color="auto" w:fill="auto"/>
            <w:vAlign w:val="center"/>
          </w:tcPr>
          <w:p w14:paraId="3FF37D14">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7B124194">
            <w:pPr>
              <w:pStyle w:val="185"/>
              <w:rPr>
                <w:rFonts w:hint="default" w:ascii="Times New Roman" w:hAnsi="Times New Roman" w:cs="Times New Roman"/>
                <w:color w:val="000000"/>
              </w:rPr>
            </w:pPr>
            <w:r>
              <w:rPr>
                <w:rFonts w:hint="default" w:ascii="Times New Roman" w:hAnsi="Times New Roman" w:cs="Times New Roman"/>
                <w:color w:val="000000"/>
              </w:rPr>
              <w:t>≤250</w:t>
            </w:r>
          </w:p>
        </w:tc>
      </w:tr>
      <w:tr w14:paraId="3EDD7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47307DEA">
            <w:pPr>
              <w:pStyle w:val="185"/>
              <w:rPr>
                <w:rFonts w:hint="default" w:ascii="Times New Roman" w:hAnsi="Times New Roman" w:cs="Times New Roman"/>
                <w:color w:val="000000"/>
              </w:rPr>
            </w:pPr>
            <w:r>
              <w:rPr>
                <w:rFonts w:hint="default" w:ascii="Times New Roman" w:hAnsi="Times New Roman" w:cs="Times New Roman"/>
                <w:color w:val="000000"/>
              </w:rPr>
              <w:t>7</w:t>
            </w:r>
          </w:p>
        </w:tc>
        <w:tc>
          <w:tcPr>
            <w:tcW w:w="3240" w:type="dxa"/>
            <w:shd w:val="clear" w:color="auto" w:fill="auto"/>
            <w:noWrap/>
            <w:vAlign w:val="center"/>
          </w:tcPr>
          <w:p w14:paraId="2A5B4C95">
            <w:pPr>
              <w:pStyle w:val="185"/>
              <w:rPr>
                <w:rFonts w:hint="default" w:ascii="Times New Roman" w:hAnsi="Times New Roman" w:cs="Times New Roman"/>
                <w:color w:val="000000"/>
              </w:rPr>
            </w:pPr>
            <w:r>
              <w:rPr>
                <w:rFonts w:hint="default" w:ascii="Times New Roman" w:hAnsi="Times New Roman" w:cs="Times New Roman"/>
                <w:color w:val="000000"/>
              </w:rPr>
              <w:t>锰</w:t>
            </w:r>
          </w:p>
        </w:tc>
        <w:tc>
          <w:tcPr>
            <w:tcW w:w="1425" w:type="dxa"/>
            <w:shd w:val="clear" w:color="auto" w:fill="auto"/>
            <w:noWrap/>
            <w:vAlign w:val="center"/>
          </w:tcPr>
          <w:p w14:paraId="0B95AA0D">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07A977DD">
            <w:pPr>
              <w:pStyle w:val="185"/>
              <w:rPr>
                <w:rFonts w:hint="default" w:ascii="Times New Roman" w:hAnsi="Times New Roman" w:cs="Times New Roman"/>
                <w:color w:val="000000"/>
              </w:rPr>
            </w:pPr>
            <w:r>
              <w:rPr>
                <w:rFonts w:hint="default" w:ascii="Times New Roman" w:hAnsi="Times New Roman" w:cs="Times New Roman"/>
                <w:color w:val="000000"/>
              </w:rPr>
              <w:t>≤0.10</w:t>
            </w:r>
          </w:p>
        </w:tc>
        <w:tc>
          <w:tcPr>
            <w:tcW w:w="1179" w:type="dxa"/>
            <w:shd w:val="clear" w:color="auto" w:fill="auto"/>
            <w:vAlign w:val="center"/>
          </w:tcPr>
          <w:p w14:paraId="0B68032C">
            <w:pPr>
              <w:pStyle w:val="185"/>
              <w:rPr>
                <w:rFonts w:hint="default" w:ascii="Times New Roman" w:hAnsi="Times New Roman" w:cs="Times New Roman"/>
                <w:color w:val="000000"/>
              </w:rPr>
            </w:pPr>
            <w:r>
              <w:rPr>
                <w:rFonts w:hint="default" w:ascii="Times New Roman" w:hAnsi="Times New Roman" w:cs="Times New Roman"/>
                <w:color w:val="000000"/>
              </w:rPr>
              <w:t>27</w:t>
            </w:r>
          </w:p>
        </w:tc>
        <w:tc>
          <w:tcPr>
            <w:tcW w:w="2332" w:type="dxa"/>
            <w:shd w:val="clear" w:color="auto" w:fill="auto"/>
            <w:vAlign w:val="center"/>
          </w:tcPr>
          <w:p w14:paraId="304E7711">
            <w:pPr>
              <w:pStyle w:val="185"/>
              <w:rPr>
                <w:rFonts w:hint="default" w:ascii="Times New Roman" w:hAnsi="Times New Roman" w:cs="Times New Roman"/>
                <w:color w:val="000000"/>
              </w:rPr>
            </w:pPr>
            <w:r>
              <w:rPr>
                <w:rFonts w:hint="default" w:ascii="Times New Roman" w:hAnsi="Times New Roman" w:cs="Times New Roman"/>
                <w:color w:val="000000"/>
              </w:rPr>
              <w:t>总硬度</w:t>
            </w:r>
          </w:p>
        </w:tc>
        <w:tc>
          <w:tcPr>
            <w:tcW w:w="1555" w:type="dxa"/>
            <w:shd w:val="clear" w:color="auto" w:fill="auto"/>
            <w:vAlign w:val="center"/>
          </w:tcPr>
          <w:p w14:paraId="4D3A96F9">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5BBEB974">
            <w:pPr>
              <w:pStyle w:val="185"/>
              <w:rPr>
                <w:rFonts w:hint="default" w:ascii="Times New Roman" w:hAnsi="Times New Roman" w:cs="Times New Roman"/>
                <w:color w:val="000000"/>
              </w:rPr>
            </w:pPr>
            <w:r>
              <w:rPr>
                <w:rFonts w:hint="default" w:ascii="Times New Roman" w:hAnsi="Times New Roman" w:cs="Times New Roman"/>
                <w:color w:val="000000"/>
              </w:rPr>
              <w:t>≤450</w:t>
            </w:r>
          </w:p>
        </w:tc>
      </w:tr>
      <w:tr w14:paraId="5045E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52778582">
            <w:pPr>
              <w:pStyle w:val="185"/>
              <w:rPr>
                <w:rFonts w:hint="default" w:ascii="Times New Roman" w:hAnsi="Times New Roman" w:cs="Times New Roman"/>
                <w:color w:val="000000"/>
              </w:rPr>
            </w:pPr>
            <w:r>
              <w:rPr>
                <w:rFonts w:hint="default" w:ascii="Times New Roman" w:hAnsi="Times New Roman" w:cs="Times New Roman"/>
                <w:color w:val="000000"/>
              </w:rPr>
              <w:t>8</w:t>
            </w:r>
          </w:p>
        </w:tc>
        <w:tc>
          <w:tcPr>
            <w:tcW w:w="3240" w:type="dxa"/>
            <w:shd w:val="clear" w:color="auto" w:fill="auto"/>
            <w:noWrap/>
            <w:vAlign w:val="center"/>
          </w:tcPr>
          <w:p w14:paraId="4E49A384">
            <w:pPr>
              <w:pStyle w:val="185"/>
              <w:rPr>
                <w:rFonts w:hint="default" w:ascii="Times New Roman" w:hAnsi="Times New Roman" w:cs="Times New Roman"/>
                <w:color w:val="000000"/>
              </w:rPr>
            </w:pPr>
            <w:r>
              <w:rPr>
                <w:rFonts w:hint="default" w:ascii="Times New Roman" w:hAnsi="Times New Roman" w:cs="Times New Roman"/>
                <w:color w:val="000000"/>
              </w:rPr>
              <w:t>铁</w:t>
            </w:r>
          </w:p>
        </w:tc>
        <w:tc>
          <w:tcPr>
            <w:tcW w:w="1425" w:type="dxa"/>
            <w:shd w:val="clear" w:color="auto" w:fill="auto"/>
            <w:noWrap/>
            <w:vAlign w:val="center"/>
          </w:tcPr>
          <w:p w14:paraId="7A12F03E">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43976CF0">
            <w:pPr>
              <w:pStyle w:val="185"/>
              <w:rPr>
                <w:rFonts w:hint="default" w:ascii="Times New Roman" w:hAnsi="Times New Roman" w:cs="Times New Roman"/>
                <w:color w:val="000000"/>
              </w:rPr>
            </w:pPr>
            <w:r>
              <w:rPr>
                <w:rFonts w:hint="default" w:ascii="Times New Roman" w:hAnsi="Times New Roman" w:cs="Times New Roman"/>
                <w:color w:val="000000"/>
              </w:rPr>
              <w:t>≤0.3</w:t>
            </w:r>
          </w:p>
        </w:tc>
        <w:tc>
          <w:tcPr>
            <w:tcW w:w="1179" w:type="dxa"/>
            <w:shd w:val="clear" w:color="auto" w:fill="auto"/>
            <w:vAlign w:val="center"/>
          </w:tcPr>
          <w:p w14:paraId="233B1B1D">
            <w:pPr>
              <w:pStyle w:val="185"/>
              <w:rPr>
                <w:rFonts w:hint="default" w:ascii="Times New Roman" w:hAnsi="Times New Roman" w:cs="Times New Roman"/>
                <w:color w:val="000000"/>
              </w:rPr>
            </w:pPr>
            <w:r>
              <w:rPr>
                <w:rFonts w:hint="default" w:ascii="Times New Roman" w:hAnsi="Times New Roman" w:cs="Times New Roman"/>
                <w:color w:val="000000"/>
              </w:rPr>
              <w:t>28</w:t>
            </w:r>
          </w:p>
        </w:tc>
        <w:tc>
          <w:tcPr>
            <w:tcW w:w="2332" w:type="dxa"/>
            <w:shd w:val="clear" w:color="auto" w:fill="auto"/>
            <w:vAlign w:val="center"/>
          </w:tcPr>
          <w:p w14:paraId="2D8BFEE7">
            <w:pPr>
              <w:pStyle w:val="185"/>
              <w:rPr>
                <w:rFonts w:hint="default" w:ascii="Times New Roman" w:hAnsi="Times New Roman" w:cs="Times New Roman"/>
                <w:color w:val="000000"/>
              </w:rPr>
            </w:pPr>
            <w:r>
              <w:rPr>
                <w:rFonts w:hint="default" w:ascii="Times New Roman" w:hAnsi="Times New Roman" w:cs="Times New Roman"/>
                <w:color w:val="000000"/>
              </w:rPr>
              <w:t>氯化物</w:t>
            </w:r>
          </w:p>
        </w:tc>
        <w:tc>
          <w:tcPr>
            <w:tcW w:w="1555" w:type="dxa"/>
            <w:shd w:val="clear" w:color="auto" w:fill="auto"/>
            <w:vAlign w:val="center"/>
          </w:tcPr>
          <w:p w14:paraId="6EBEB5D0">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2551DADC">
            <w:pPr>
              <w:pStyle w:val="185"/>
              <w:rPr>
                <w:rFonts w:hint="default" w:ascii="Times New Roman" w:hAnsi="Times New Roman" w:cs="Times New Roman"/>
                <w:color w:val="000000"/>
              </w:rPr>
            </w:pPr>
            <w:r>
              <w:rPr>
                <w:rFonts w:hint="default" w:ascii="Times New Roman" w:hAnsi="Times New Roman" w:cs="Times New Roman"/>
                <w:color w:val="000000"/>
              </w:rPr>
              <w:t>≤250</w:t>
            </w:r>
          </w:p>
        </w:tc>
      </w:tr>
      <w:tr w14:paraId="066B5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25734AE6">
            <w:pPr>
              <w:pStyle w:val="185"/>
              <w:rPr>
                <w:rFonts w:hint="default" w:ascii="Times New Roman" w:hAnsi="Times New Roman" w:cs="Times New Roman"/>
                <w:color w:val="000000"/>
              </w:rPr>
            </w:pPr>
            <w:r>
              <w:rPr>
                <w:rFonts w:hint="default" w:ascii="Times New Roman" w:hAnsi="Times New Roman" w:cs="Times New Roman"/>
                <w:color w:val="000000"/>
              </w:rPr>
              <w:t>9</w:t>
            </w:r>
          </w:p>
        </w:tc>
        <w:tc>
          <w:tcPr>
            <w:tcW w:w="3240" w:type="dxa"/>
            <w:shd w:val="clear" w:color="auto" w:fill="auto"/>
            <w:noWrap/>
            <w:vAlign w:val="center"/>
          </w:tcPr>
          <w:p w14:paraId="530D1AF7">
            <w:pPr>
              <w:pStyle w:val="185"/>
              <w:rPr>
                <w:rFonts w:hint="default" w:ascii="Times New Roman" w:hAnsi="Times New Roman" w:cs="Times New Roman"/>
                <w:color w:val="000000"/>
              </w:rPr>
            </w:pPr>
            <w:r>
              <w:rPr>
                <w:rFonts w:hint="default" w:ascii="Times New Roman" w:hAnsi="Times New Roman" w:cs="Times New Roman"/>
                <w:color w:val="000000"/>
              </w:rPr>
              <w:t>镉</w:t>
            </w:r>
          </w:p>
        </w:tc>
        <w:tc>
          <w:tcPr>
            <w:tcW w:w="1425" w:type="dxa"/>
            <w:shd w:val="clear" w:color="auto" w:fill="auto"/>
            <w:noWrap/>
            <w:vAlign w:val="center"/>
          </w:tcPr>
          <w:p w14:paraId="38D06586">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2DD39FD2">
            <w:pPr>
              <w:pStyle w:val="185"/>
              <w:rPr>
                <w:rFonts w:hint="default" w:ascii="Times New Roman" w:hAnsi="Times New Roman" w:cs="Times New Roman"/>
                <w:color w:val="000000"/>
              </w:rPr>
            </w:pPr>
            <w:r>
              <w:rPr>
                <w:rFonts w:hint="default" w:ascii="Times New Roman" w:hAnsi="Times New Roman" w:cs="Times New Roman"/>
                <w:color w:val="000000"/>
              </w:rPr>
              <w:t>≤5.0</w:t>
            </w:r>
          </w:p>
        </w:tc>
        <w:tc>
          <w:tcPr>
            <w:tcW w:w="1179" w:type="dxa"/>
            <w:shd w:val="clear" w:color="auto" w:fill="auto"/>
            <w:vAlign w:val="center"/>
          </w:tcPr>
          <w:p w14:paraId="2AA70279">
            <w:pPr>
              <w:pStyle w:val="185"/>
              <w:rPr>
                <w:rFonts w:hint="default" w:ascii="Times New Roman" w:hAnsi="Times New Roman" w:cs="Times New Roman"/>
                <w:color w:val="000000"/>
              </w:rPr>
            </w:pPr>
            <w:r>
              <w:rPr>
                <w:rFonts w:hint="default" w:ascii="Times New Roman" w:hAnsi="Times New Roman" w:cs="Times New Roman"/>
                <w:color w:val="000000"/>
              </w:rPr>
              <w:t>29</w:t>
            </w:r>
          </w:p>
        </w:tc>
        <w:tc>
          <w:tcPr>
            <w:tcW w:w="2332" w:type="dxa"/>
            <w:shd w:val="clear" w:color="auto" w:fill="auto"/>
            <w:vAlign w:val="center"/>
          </w:tcPr>
          <w:p w14:paraId="6416A4DC">
            <w:pPr>
              <w:pStyle w:val="185"/>
              <w:rPr>
                <w:rFonts w:hint="default" w:ascii="Times New Roman" w:hAnsi="Times New Roman" w:cs="Times New Roman"/>
                <w:color w:val="000000"/>
              </w:rPr>
            </w:pPr>
            <w:r>
              <w:rPr>
                <w:rFonts w:hint="default" w:ascii="Times New Roman" w:hAnsi="Times New Roman" w:cs="Times New Roman"/>
                <w:color w:val="000000"/>
              </w:rPr>
              <w:t>pH</w:t>
            </w:r>
          </w:p>
        </w:tc>
        <w:tc>
          <w:tcPr>
            <w:tcW w:w="1555" w:type="dxa"/>
            <w:shd w:val="clear" w:color="auto" w:fill="auto"/>
            <w:vAlign w:val="center"/>
          </w:tcPr>
          <w:p w14:paraId="53BF8202">
            <w:pPr>
              <w:pStyle w:val="185"/>
              <w:rPr>
                <w:rFonts w:hint="default" w:ascii="Times New Roman" w:hAnsi="Times New Roman" w:cs="Times New Roman"/>
                <w:color w:val="000000"/>
              </w:rPr>
            </w:pPr>
            <w:r>
              <w:rPr>
                <w:rFonts w:hint="default" w:ascii="Times New Roman" w:hAnsi="Times New Roman" w:cs="Times New Roman"/>
                <w:color w:val="000000"/>
              </w:rPr>
              <w:t>无量纲</w:t>
            </w:r>
          </w:p>
        </w:tc>
        <w:tc>
          <w:tcPr>
            <w:tcW w:w="1626" w:type="dxa"/>
            <w:shd w:val="clear" w:color="auto" w:fill="auto"/>
            <w:vAlign w:val="center"/>
          </w:tcPr>
          <w:p w14:paraId="74EB6AC1">
            <w:pPr>
              <w:pStyle w:val="185"/>
              <w:rPr>
                <w:rFonts w:hint="default" w:ascii="Times New Roman" w:hAnsi="Times New Roman" w:cs="Times New Roman"/>
                <w:color w:val="000000"/>
              </w:rPr>
            </w:pPr>
            <w:r>
              <w:rPr>
                <w:rFonts w:hint="default" w:ascii="Times New Roman" w:hAnsi="Times New Roman" w:cs="Times New Roman"/>
                <w:color w:val="000000"/>
              </w:rPr>
              <w:t>6.5~8.5</w:t>
            </w:r>
          </w:p>
        </w:tc>
      </w:tr>
      <w:tr w14:paraId="1B7D71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5F85AD00">
            <w:pPr>
              <w:pStyle w:val="185"/>
              <w:rPr>
                <w:rFonts w:hint="default" w:ascii="Times New Roman" w:hAnsi="Times New Roman" w:cs="Times New Roman"/>
                <w:color w:val="000000"/>
              </w:rPr>
            </w:pPr>
            <w:r>
              <w:rPr>
                <w:rFonts w:hint="default" w:ascii="Times New Roman" w:hAnsi="Times New Roman" w:cs="Times New Roman"/>
                <w:color w:val="000000"/>
              </w:rPr>
              <w:t>10</w:t>
            </w:r>
          </w:p>
        </w:tc>
        <w:tc>
          <w:tcPr>
            <w:tcW w:w="3240" w:type="dxa"/>
            <w:shd w:val="clear" w:color="auto" w:fill="auto"/>
            <w:noWrap/>
            <w:vAlign w:val="center"/>
          </w:tcPr>
          <w:p w14:paraId="264AC1C0">
            <w:pPr>
              <w:pStyle w:val="185"/>
              <w:rPr>
                <w:rFonts w:hint="default" w:ascii="Times New Roman" w:hAnsi="Times New Roman" w:cs="Times New Roman"/>
                <w:color w:val="000000"/>
              </w:rPr>
            </w:pPr>
            <w:r>
              <w:rPr>
                <w:rFonts w:hint="default" w:ascii="Times New Roman" w:hAnsi="Times New Roman" w:cs="Times New Roman"/>
                <w:color w:val="000000"/>
              </w:rPr>
              <w:t>锌</w:t>
            </w:r>
          </w:p>
        </w:tc>
        <w:tc>
          <w:tcPr>
            <w:tcW w:w="1425" w:type="dxa"/>
            <w:shd w:val="clear" w:color="auto" w:fill="auto"/>
            <w:noWrap/>
            <w:vAlign w:val="center"/>
          </w:tcPr>
          <w:p w14:paraId="1CF7BA0B">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66A902EC">
            <w:pPr>
              <w:pStyle w:val="185"/>
              <w:rPr>
                <w:rFonts w:hint="default" w:ascii="Times New Roman" w:hAnsi="Times New Roman" w:cs="Times New Roman"/>
                <w:color w:val="000000"/>
              </w:rPr>
            </w:pPr>
            <w:r>
              <w:rPr>
                <w:rFonts w:hint="default" w:ascii="Times New Roman" w:hAnsi="Times New Roman" w:cs="Times New Roman"/>
                <w:color w:val="000000"/>
              </w:rPr>
              <w:t>≤1.00</w:t>
            </w:r>
          </w:p>
        </w:tc>
        <w:tc>
          <w:tcPr>
            <w:tcW w:w="1179" w:type="dxa"/>
            <w:shd w:val="clear" w:color="auto" w:fill="auto"/>
            <w:vAlign w:val="center"/>
          </w:tcPr>
          <w:p w14:paraId="7CE20A25">
            <w:pPr>
              <w:pStyle w:val="185"/>
              <w:rPr>
                <w:rFonts w:hint="default" w:ascii="Times New Roman" w:hAnsi="Times New Roman" w:cs="Times New Roman"/>
                <w:color w:val="000000"/>
              </w:rPr>
            </w:pPr>
            <w:r>
              <w:rPr>
                <w:rFonts w:hint="default" w:ascii="Times New Roman" w:hAnsi="Times New Roman" w:cs="Times New Roman"/>
                <w:color w:val="000000"/>
              </w:rPr>
              <w:t>30</w:t>
            </w:r>
          </w:p>
        </w:tc>
        <w:tc>
          <w:tcPr>
            <w:tcW w:w="2332" w:type="dxa"/>
            <w:shd w:val="clear" w:color="auto" w:fill="auto"/>
            <w:vAlign w:val="center"/>
          </w:tcPr>
          <w:p w14:paraId="06AC3BA9">
            <w:pPr>
              <w:pStyle w:val="185"/>
              <w:rPr>
                <w:rFonts w:hint="default" w:ascii="Times New Roman" w:hAnsi="Times New Roman" w:cs="Times New Roman"/>
                <w:color w:val="000000"/>
              </w:rPr>
            </w:pPr>
            <w:r>
              <w:rPr>
                <w:rFonts w:hint="default" w:ascii="Times New Roman" w:hAnsi="Times New Roman" w:cs="Times New Roman"/>
                <w:color w:val="000000"/>
              </w:rPr>
              <w:t>浊度</w:t>
            </w:r>
          </w:p>
        </w:tc>
        <w:tc>
          <w:tcPr>
            <w:tcW w:w="1555" w:type="dxa"/>
            <w:shd w:val="clear" w:color="auto" w:fill="auto"/>
            <w:vAlign w:val="center"/>
          </w:tcPr>
          <w:p w14:paraId="18796C95">
            <w:pPr>
              <w:pStyle w:val="185"/>
              <w:rPr>
                <w:rFonts w:hint="default" w:ascii="Times New Roman" w:hAnsi="Times New Roman" w:cs="Times New Roman"/>
                <w:color w:val="000000"/>
              </w:rPr>
            </w:pPr>
            <w:r>
              <w:rPr>
                <w:rFonts w:hint="default" w:ascii="Times New Roman" w:hAnsi="Times New Roman" w:cs="Times New Roman"/>
                <w:color w:val="000000"/>
              </w:rPr>
              <w:t>度</w:t>
            </w:r>
          </w:p>
        </w:tc>
        <w:tc>
          <w:tcPr>
            <w:tcW w:w="1626" w:type="dxa"/>
            <w:shd w:val="clear" w:color="auto" w:fill="auto"/>
            <w:vAlign w:val="center"/>
          </w:tcPr>
          <w:p w14:paraId="05474DB9">
            <w:pPr>
              <w:pStyle w:val="185"/>
              <w:rPr>
                <w:rFonts w:hint="default" w:ascii="Times New Roman" w:hAnsi="Times New Roman" w:cs="Times New Roman"/>
                <w:color w:val="000000"/>
              </w:rPr>
            </w:pPr>
            <w:r>
              <w:rPr>
                <w:rFonts w:hint="default" w:ascii="Times New Roman" w:hAnsi="Times New Roman" w:cs="Times New Roman"/>
                <w:color w:val="000000"/>
              </w:rPr>
              <w:t>≤3</w:t>
            </w:r>
          </w:p>
        </w:tc>
      </w:tr>
      <w:tr w14:paraId="492BD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3678E7D0">
            <w:pPr>
              <w:pStyle w:val="185"/>
              <w:rPr>
                <w:rFonts w:hint="default" w:ascii="Times New Roman" w:hAnsi="Times New Roman" w:cs="Times New Roman"/>
                <w:color w:val="000000"/>
              </w:rPr>
            </w:pPr>
            <w:r>
              <w:rPr>
                <w:rFonts w:hint="default" w:ascii="Times New Roman" w:hAnsi="Times New Roman" w:cs="Times New Roman"/>
                <w:color w:val="000000"/>
              </w:rPr>
              <w:t>11</w:t>
            </w:r>
          </w:p>
        </w:tc>
        <w:tc>
          <w:tcPr>
            <w:tcW w:w="3240" w:type="dxa"/>
            <w:shd w:val="clear" w:color="auto" w:fill="auto"/>
            <w:noWrap/>
            <w:vAlign w:val="center"/>
          </w:tcPr>
          <w:p w14:paraId="5761F100">
            <w:pPr>
              <w:pStyle w:val="185"/>
              <w:rPr>
                <w:rFonts w:hint="default" w:ascii="Times New Roman" w:hAnsi="Times New Roman" w:cs="Times New Roman"/>
                <w:color w:val="000000"/>
              </w:rPr>
            </w:pPr>
            <w:r>
              <w:rPr>
                <w:rFonts w:hint="default" w:ascii="Times New Roman" w:hAnsi="Times New Roman" w:cs="Times New Roman"/>
                <w:color w:val="000000"/>
              </w:rPr>
              <w:t>铅</w:t>
            </w:r>
          </w:p>
        </w:tc>
        <w:tc>
          <w:tcPr>
            <w:tcW w:w="1425" w:type="dxa"/>
            <w:shd w:val="clear" w:color="auto" w:fill="auto"/>
            <w:noWrap/>
            <w:vAlign w:val="center"/>
          </w:tcPr>
          <w:p w14:paraId="6367700E">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1242A7E0">
            <w:pPr>
              <w:pStyle w:val="185"/>
              <w:rPr>
                <w:rFonts w:hint="default" w:ascii="Times New Roman" w:hAnsi="Times New Roman" w:cs="Times New Roman"/>
                <w:color w:val="000000"/>
              </w:rPr>
            </w:pPr>
            <w:r>
              <w:rPr>
                <w:rFonts w:hint="default" w:ascii="Times New Roman" w:hAnsi="Times New Roman" w:cs="Times New Roman"/>
                <w:color w:val="000000"/>
              </w:rPr>
              <w:t>≤10.0</w:t>
            </w:r>
          </w:p>
        </w:tc>
        <w:tc>
          <w:tcPr>
            <w:tcW w:w="1179" w:type="dxa"/>
            <w:shd w:val="clear" w:color="auto" w:fill="auto"/>
            <w:vAlign w:val="center"/>
          </w:tcPr>
          <w:p w14:paraId="222EE73C">
            <w:pPr>
              <w:pStyle w:val="185"/>
              <w:rPr>
                <w:rFonts w:hint="default" w:ascii="Times New Roman" w:hAnsi="Times New Roman" w:cs="Times New Roman"/>
                <w:color w:val="000000"/>
              </w:rPr>
            </w:pPr>
            <w:r>
              <w:rPr>
                <w:rFonts w:hint="default" w:ascii="Times New Roman" w:hAnsi="Times New Roman" w:cs="Times New Roman"/>
                <w:color w:val="000000"/>
              </w:rPr>
              <w:t>31</w:t>
            </w:r>
          </w:p>
        </w:tc>
        <w:tc>
          <w:tcPr>
            <w:tcW w:w="2332" w:type="dxa"/>
            <w:shd w:val="clear" w:color="auto" w:fill="auto"/>
            <w:vAlign w:val="center"/>
          </w:tcPr>
          <w:p w14:paraId="7C69BEBC">
            <w:pPr>
              <w:pStyle w:val="185"/>
              <w:rPr>
                <w:rFonts w:hint="default" w:ascii="Times New Roman" w:hAnsi="Times New Roman" w:cs="Times New Roman"/>
                <w:color w:val="000000"/>
              </w:rPr>
            </w:pPr>
            <w:r>
              <w:rPr>
                <w:rFonts w:hint="default" w:ascii="Times New Roman" w:hAnsi="Times New Roman" w:cs="Times New Roman"/>
                <w:color w:val="000000"/>
              </w:rPr>
              <w:t>色度</w:t>
            </w:r>
          </w:p>
        </w:tc>
        <w:tc>
          <w:tcPr>
            <w:tcW w:w="1555" w:type="dxa"/>
            <w:shd w:val="clear" w:color="auto" w:fill="auto"/>
            <w:vAlign w:val="center"/>
          </w:tcPr>
          <w:p w14:paraId="7FC73F9C">
            <w:pPr>
              <w:pStyle w:val="185"/>
              <w:rPr>
                <w:rFonts w:hint="default" w:ascii="Times New Roman" w:hAnsi="Times New Roman" w:cs="Times New Roman"/>
                <w:color w:val="000000"/>
              </w:rPr>
            </w:pPr>
            <w:r>
              <w:rPr>
                <w:rFonts w:hint="default" w:ascii="Times New Roman" w:hAnsi="Times New Roman" w:cs="Times New Roman"/>
                <w:color w:val="000000"/>
              </w:rPr>
              <w:t>度</w:t>
            </w:r>
          </w:p>
        </w:tc>
        <w:tc>
          <w:tcPr>
            <w:tcW w:w="1626" w:type="dxa"/>
            <w:shd w:val="clear" w:color="auto" w:fill="auto"/>
            <w:vAlign w:val="center"/>
          </w:tcPr>
          <w:p w14:paraId="19E033B1">
            <w:pPr>
              <w:pStyle w:val="185"/>
              <w:rPr>
                <w:rFonts w:hint="default" w:ascii="Times New Roman" w:hAnsi="Times New Roman" w:cs="Times New Roman"/>
                <w:color w:val="000000"/>
              </w:rPr>
            </w:pPr>
            <w:r>
              <w:rPr>
                <w:rFonts w:hint="default" w:ascii="Times New Roman" w:hAnsi="Times New Roman" w:cs="Times New Roman"/>
                <w:color w:val="000000"/>
              </w:rPr>
              <w:t>≤15</w:t>
            </w:r>
          </w:p>
        </w:tc>
      </w:tr>
      <w:tr w14:paraId="5E2E1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31BFBF3D">
            <w:pPr>
              <w:pStyle w:val="185"/>
              <w:rPr>
                <w:rFonts w:hint="default" w:ascii="Times New Roman" w:hAnsi="Times New Roman" w:cs="Times New Roman"/>
                <w:color w:val="000000"/>
              </w:rPr>
            </w:pPr>
            <w:r>
              <w:rPr>
                <w:rFonts w:hint="default" w:ascii="Times New Roman" w:hAnsi="Times New Roman" w:cs="Times New Roman"/>
                <w:color w:val="000000"/>
              </w:rPr>
              <w:t>12</w:t>
            </w:r>
          </w:p>
        </w:tc>
        <w:tc>
          <w:tcPr>
            <w:tcW w:w="3240" w:type="dxa"/>
            <w:shd w:val="clear" w:color="auto" w:fill="auto"/>
            <w:noWrap/>
            <w:vAlign w:val="center"/>
          </w:tcPr>
          <w:p w14:paraId="24184D12">
            <w:pPr>
              <w:pStyle w:val="185"/>
              <w:rPr>
                <w:rFonts w:hint="default" w:ascii="Times New Roman" w:hAnsi="Times New Roman" w:cs="Times New Roman"/>
                <w:color w:val="000000"/>
              </w:rPr>
            </w:pPr>
            <w:r>
              <w:rPr>
                <w:rFonts w:hint="default" w:ascii="Times New Roman" w:hAnsi="Times New Roman" w:cs="Times New Roman"/>
                <w:color w:val="000000"/>
              </w:rPr>
              <w:t>铜</w:t>
            </w:r>
          </w:p>
        </w:tc>
        <w:tc>
          <w:tcPr>
            <w:tcW w:w="1425" w:type="dxa"/>
            <w:shd w:val="clear" w:color="auto" w:fill="auto"/>
            <w:noWrap/>
            <w:vAlign w:val="center"/>
          </w:tcPr>
          <w:p w14:paraId="53517112">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766BAEF4">
            <w:pPr>
              <w:pStyle w:val="185"/>
              <w:rPr>
                <w:rFonts w:hint="default" w:ascii="Times New Roman" w:hAnsi="Times New Roman" w:cs="Times New Roman"/>
                <w:color w:val="000000"/>
              </w:rPr>
            </w:pPr>
            <w:r>
              <w:rPr>
                <w:rFonts w:hint="default" w:ascii="Times New Roman" w:hAnsi="Times New Roman" w:cs="Times New Roman"/>
                <w:color w:val="000000"/>
              </w:rPr>
              <w:t>≤1.00</w:t>
            </w:r>
          </w:p>
        </w:tc>
        <w:tc>
          <w:tcPr>
            <w:tcW w:w="1179" w:type="dxa"/>
            <w:shd w:val="clear" w:color="auto" w:fill="auto"/>
            <w:vAlign w:val="center"/>
          </w:tcPr>
          <w:p w14:paraId="1C23CAAB">
            <w:pPr>
              <w:pStyle w:val="185"/>
              <w:rPr>
                <w:rFonts w:hint="default" w:ascii="Times New Roman" w:hAnsi="Times New Roman" w:cs="Times New Roman"/>
                <w:color w:val="000000"/>
              </w:rPr>
            </w:pPr>
            <w:r>
              <w:rPr>
                <w:rFonts w:hint="default" w:ascii="Times New Roman" w:hAnsi="Times New Roman" w:cs="Times New Roman"/>
                <w:color w:val="000000"/>
              </w:rPr>
              <w:t>32</w:t>
            </w:r>
          </w:p>
        </w:tc>
        <w:tc>
          <w:tcPr>
            <w:tcW w:w="2332" w:type="dxa"/>
            <w:shd w:val="clear" w:color="auto" w:fill="auto"/>
            <w:vAlign w:val="center"/>
          </w:tcPr>
          <w:p w14:paraId="2422B7B2">
            <w:pPr>
              <w:pStyle w:val="185"/>
              <w:rPr>
                <w:rFonts w:hint="default" w:ascii="Times New Roman" w:hAnsi="Times New Roman" w:cs="Times New Roman"/>
                <w:color w:val="000000"/>
              </w:rPr>
            </w:pPr>
            <w:r>
              <w:rPr>
                <w:rFonts w:hint="default" w:ascii="Times New Roman" w:hAnsi="Times New Roman" w:cs="Times New Roman"/>
                <w:color w:val="000000"/>
              </w:rPr>
              <w:t>硝酸盐氮</w:t>
            </w:r>
          </w:p>
        </w:tc>
        <w:tc>
          <w:tcPr>
            <w:tcW w:w="1555" w:type="dxa"/>
            <w:shd w:val="clear" w:color="auto" w:fill="auto"/>
            <w:vAlign w:val="center"/>
          </w:tcPr>
          <w:p w14:paraId="62EDFCA2">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626" w:type="dxa"/>
            <w:shd w:val="clear" w:color="auto" w:fill="auto"/>
            <w:vAlign w:val="center"/>
          </w:tcPr>
          <w:p w14:paraId="5F01ABF1">
            <w:pPr>
              <w:pStyle w:val="185"/>
              <w:rPr>
                <w:rFonts w:hint="default" w:ascii="Times New Roman" w:hAnsi="Times New Roman" w:cs="Times New Roman"/>
                <w:color w:val="000000"/>
              </w:rPr>
            </w:pPr>
            <w:r>
              <w:rPr>
                <w:rFonts w:hint="default" w:ascii="Times New Roman" w:hAnsi="Times New Roman" w:cs="Times New Roman"/>
                <w:color w:val="000000"/>
              </w:rPr>
              <w:t>≤20.0</w:t>
            </w:r>
          </w:p>
        </w:tc>
      </w:tr>
      <w:tr w14:paraId="35A95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28F2ADF1">
            <w:pPr>
              <w:pStyle w:val="185"/>
              <w:rPr>
                <w:rFonts w:hint="default" w:ascii="Times New Roman" w:hAnsi="Times New Roman" w:cs="Times New Roman"/>
                <w:color w:val="000000"/>
              </w:rPr>
            </w:pPr>
            <w:r>
              <w:rPr>
                <w:rFonts w:hint="default" w:ascii="Times New Roman" w:hAnsi="Times New Roman" w:cs="Times New Roman"/>
                <w:color w:val="000000"/>
              </w:rPr>
              <w:t>13</w:t>
            </w:r>
          </w:p>
        </w:tc>
        <w:tc>
          <w:tcPr>
            <w:tcW w:w="3240" w:type="dxa"/>
            <w:shd w:val="clear" w:color="auto" w:fill="auto"/>
            <w:noWrap/>
            <w:vAlign w:val="center"/>
          </w:tcPr>
          <w:p w14:paraId="0107C109">
            <w:pPr>
              <w:pStyle w:val="185"/>
              <w:rPr>
                <w:rFonts w:hint="default" w:ascii="Times New Roman" w:hAnsi="Times New Roman" w:cs="Times New Roman"/>
                <w:color w:val="000000"/>
              </w:rPr>
            </w:pPr>
            <w:r>
              <w:rPr>
                <w:rFonts w:hint="default" w:ascii="Times New Roman" w:hAnsi="Times New Roman" w:cs="Times New Roman"/>
                <w:color w:val="000000"/>
              </w:rPr>
              <w:t>钠</w:t>
            </w:r>
          </w:p>
        </w:tc>
        <w:tc>
          <w:tcPr>
            <w:tcW w:w="1425" w:type="dxa"/>
            <w:shd w:val="clear" w:color="auto" w:fill="auto"/>
            <w:noWrap/>
            <w:vAlign w:val="center"/>
          </w:tcPr>
          <w:p w14:paraId="21851884">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0A0A33CF">
            <w:pPr>
              <w:pStyle w:val="185"/>
              <w:rPr>
                <w:rFonts w:hint="default" w:ascii="Times New Roman" w:hAnsi="Times New Roman" w:cs="Times New Roman"/>
                <w:color w:val="000000"/>
              </w:rPr>
            </w:pPr>
            <w:r>
              <w:rPr>
                <w:rFonts w:hint="default" w:ascii="Times New Roman" w:hAnsi="Times New Roman" w:cs="Times New Roman"/>
                <w:color w:val="000000"/>
              </w:rPr>
              <w:t>≤200</w:t>
            </w:r>
          </w:p>
        </w:tc>
        <w:tc>
          <w:tcPr>
            <w:tcW w:w="1179" w:type="dxa"/>
            <w:shd w:val="clear" w:color="auto" w:fill="auto"/>
            <w:vAlign w:val="center"/>
          </w:tcPr>
          <w:p w14:paraId="44723F7D">
            <w:pPr>
              <w:pStyle w:val="185"/>
              <w:rPr>
                <w:rFonts w:hint="default" w:ascii="Times New Roman" w:hAnsi="Times New Roman" w:cs="Times New Roman"/>
                <w:color w:val="000000"/>
              </w:rPr>
            </w:pPr>
            <w:r>
              <w:rPr>
                <w:rFonts w:hint="default" w:ascii="Times New Roman" w:hAnsi="Times New Roman" w:cs="Times New Roman"/>
                <w:color w:val="000000"/>
              </w:rPr>
              <w:t>33</w:t>
            </w:r>
          </w:p>
        </w:tc>
        <w:tc>
          <w:tcPr>
            <w:tcW w:w="2332" w:type="dxa"/>
            <w:shd w:val="clear" w:color="auto" w:fill="auto"/>
            <w:vAlign w:val="center"/>
          </w:tcPr>
          <w:p w14:paraId="6DFA71D7">
            <w:pPr>
              <w:pStyle w:val="185"/>
              <w:rPr>
                <w:rFonts w:hint="default" w:ascii="Times New Roman" w:hAnsi="Times New Roman" w:cs="Times New Roman"/>
                <w:color w:val="000000"/>
              </w:rPr>
            </w:pPr>
            <w:r>
              <w:rPr>
                <w:rFonts w:hint="default" w:ascii="Times New Roman" w:hAnsi="Times New Roman" w:cs="Times New Roman"/>
                <w:color w:val="000000"/>
              </w:rPr>
              <w:t>臭和味</w:t>
            </w:r>
          </w:p>
        </w:tc>
        <w:tc>
          <w:tcPr>
            <w:tcW w:w="1555" w:type="dxa"/>
            <w:shd w:val="clear" w:color="auto" w:fill="auto"/>
            <w:vAlign w:val="center"/>
          </w:tcPr>
          <w:p w14:paraId="3BEE3BF1">
            <w:pPr>
              <w:pStyle w:val="185"/>
              <w:rPr>
                <w:rFonts w:hint="default" w:ascii="Times New Roman" w:hAnsi="Times New Roman" w:cs="Times New Roman"/>
                <w:color w:val="000000"/>
              </w:rPr>
            </w:pPr>
            <w:r>
              <w:rPr>
                <w:rFonts w:hint="default" w:ascii="Times New Roman" w:hAnsi="Times New Roman" w:cs="Times New Roman"/>
                <w:color w:val="000000"/>
              </w:rPr>
              <w:t>—</w:t>
            </w:r>
          </w:p>
        </w:tc>
        <w:tc>
          <w:tcPr>
            <w:tcW w:w="1626" w:type="dxa"/>
            <w:shd w:val="clear" w:color="auto" w:fill="auto"/>
            <w:vAlign w:val="center"/>
          </w:tcPr>
          <w:p w14:paraId="3D7E69B0">
            <w:pPr>
              <w:pStyle w:val="185"/>
              <w:rPr>
                <w:rFonts w:hint="default" w:ascii="Times New Roman" w:hAnsi="Times New Roman" w:cs="Times New Roman"/>
                <w:color w:val="000000"/>
              </w:rPr>
            </w:pPr>
            <w:r>
              <w:rPr>
                <w:rFonts w:hint="default" w:ascii="Times New Roman" w:hAnsi="Times New Roman" w:cs="Times New Roman"/>
                <w:color w:val="000000"/>
              </w:rPr>
              <w:t>无</w:t>
            </w:r>
          </w:p>
        </w:tc>
      </w:tr>
      <w:tr w14:paraId="5D45C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3C60F894">
            <w:pPr>
              <w:pStyle w:val="185"/>
              <w:rPr>
                <w:rFonts w:hint="default" w:ascii="Times New Roman" w:hAnsi="Times New Roman" w:cs="Times New Roman"/>
                <w:color w:val="000000"/>
              </w:rPr>
            </w:pPr>
            <w:r>
              <w:rPr>
                <w:rFonts w:hint="default" w:ascii="Times New Roman" w:hAnsi="Times New Roman" w:cs="Times New Roman"/>
                <w:color w:val="000000"/>
              </w:rPr>
              <w:t>14</w:t>
            </w:r>
          </w:p>
        </w:tc>
        <w:tc>
          <w:tcPr>
            <w:tcW w:w="3240" w:type="dxa"/>
            <w:shd w:val="clear" w:color="auto" w:fill="auto"/>
            <w:noWrap/>
            <w:vAlign w:val="center"/>
          </w:tcPr>
          <w:p w14:paraId="6F2D2479">
            <w:pPr>
              <w:pStyle w:val="185"/>
              <w:rPr>
                <w:rFonts w:hint="default" w:ascii="Times New Roman" w:hAnsi="Times New Roman" w:cs="Times New Roman"/>
                <w:color w:val="000000"/>
              </w:rPr>
            </w:pPr>
            <w:r>
              <w:rPr>
                <w:rFonts w:hint="default" w:ascii="Times New Roman" w:hAnsi="Times New Roman" w:cs="Times New Roman"/>
                <w:color w:val="000000"/>
              </w:rPr>
              <w:t>汞</w:t>
            </w:r>
          </w:p>
        </w:tc>
        <w:tc>
          <w:tcPr>
            <w:tcW w:w="1425" w:type="dxa"/>
            <w:shd w:val="clear" w:color="auto" w:fill="auto"/>
            <w:noWrap/>
            <w:vAlign w:val="center"/>
          </w:tcPr>
          <w:p w14:paraId="31DD2693">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0C1DAF8B">
            <w:pPr>
              <w:pStyle w:val="185"/>
              <w:rPr>
                <w:rFonts w:hint="default" w:ascii="Times New Roman" w:hAnsi="Times New Roman" w:cs="Times New Roman"/>
                <w:color w:val="000000"/>
              </w:rPr>
            </w:pPr>
            <w:r>
              <w:rPr>
                <w:rFonts w:hint="default" w:ascii="Times New Roman" w:hAnsi="Times New Roman" w:cs="Times New Roman"/>
                <w:color w:val="000000"/>
              </w:rPr>
              <w:t>≤1.0</w:t>
            </w:r>
          </w:p>
        </w:tc>
        <w:tc>
          <w:tcPr>
            <w:tcW w:w="1179" w:type="dxa"/>
            <w:shd w:val="clear" w:color="auto" w:fill="auto"/>
            <w:vAlign w:val="center"/>
          </w:tcPr>
          <w:p w14:paraId="69E42EAD">
            <w:pPr>
              <w:pStyle w:val="185"/>
              <w:rPr>
                <w:rFonts w:hint="default" w:ascii="Times New Roman" w:hAnsi="Times New Roman" w:cs="Times New Roman"/>
                <w:color w:val="000000"/>
              </w:rPr>
            </w:pPr>
            <w:r>
              <w:rPr>
                <w:rFonts w:hint="default" w:ascii="Times New Roman" w:hAnsi="Times New Roman" w:cs="Times New Roman"/>
                <w:color w:val="000000"/>
              </w:rPr>
              <w:t>34</w:t>
            </w:r>
          </w:p>
        </w:tc>
        <w:tc>
          <w:tcPr>
            <w:tcW w:w="2332" w:type="dxa"/>
            <w:shd w:val="clear" w:color="auto" w:fill="auto"/>
            <w:vAlign w:val="center"/>
          </w:tcPr>
          <w:p w14:paraId="71DF921D">
            <w:pPr>
              <w:pStyle w:val="185"/>
              <w:rPr>
                <w:rFonts w:hint="default" w:ascii="Times New Roman" w:hAnsi="Times New Roman" w:cs="Times New Roman"/>
                <w:color w:val="000000"/>
              </w:rPr>
            </w:pPr>
            <w:r>
              <w:rPr>
                <w:rFonts w:hint="default" w:ascii="Times New Roman" w:hAnsi="Times New Roman" w:cs="Times New Roman"/>
                <w:color w:val="000000"/>
              </w:rPr>
              <w:t>肉眼可见物</w:t>
            </w:r>
          </w:p>
        </w:tc>
        <w:tc>
          <w:tcPr>
            <w:tcW w:w="1555" w:type="dxa"/>
            <w:shd w:val="clear" w:color="auto" w:fill="auto"/>
            <w:vAlign w:val="center"/>
          </w:tcPr>
          <w:p w14:paraId="28F558A0">
            <w:pPr>
              <w:pStyle w:val="185"/>
              <w:rPr>
                <w:rFonts w:hint="default" w:ascii="Times New Roman" w:hAnsi="Times New Roman" w:cs="Times New Roman"/>
                <w:color w:val="000000"/>
              </w:rPr>
            </w:pPr>
            <w:r>
              <w:rPr>
                <w:rFonts w:hint="default" w:ascii="Times New Roman" w:hAnsi="Times New Roman" w:cs="Times New Roman"/>
                <w:color w:val="000000"/>
              </w:rPr>
              <w:t>—</w:t>
            </w:r>
          </w:p>
        </w:tc>
        <w:tc>
          <w:tcPr>
            <w:tcW w:w="1626" w:type="dxa"/>
            <w:shd w:val="clear" w:color="auto" w:fill="auto"/>
            <w:vAlign w:val="center"/>
          </w:tcPr>
          <w:p w14:paraId="6755AFCA">
            <w:pPr>
              <w:pStyle w:val="185"/>
              <w:rPr>
                <w:rFonts w:hint="default" w:ascii="Times New Roman" w:hAnsi="Times New Roman" w:cs="Times New Roman"/>
                <w:color w:val="000000"/>
              </w:rPr>
            </w:pPr>
            <w:r>
              <w:rPr>
                <w:rFonts w:hint="default" w:ascii="Times New Roman" w:hAnsi="Times New Roman" w:cs="Times New Roman"/>
                <w:color w:val="000000"/>
              </w:rPr>
              <w:t>无</w:t>
            </w:r>
          </w:p>
        </w:tc>
      </w:tr>
      <w:tr w14:paraId="47ACA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58A485EB">
            <w:pPr>
              <w:pStyle w:val="185"/>
              <w:rPr>
                <w:rFonts w:hint="default" w:ascii="Times New Roman" w:hAnsi="Times New Roman" w:cs="Times New Roman"/>
                <w:color w:val="000000"/>
              </w:rPr>
            </w:pPr>
            <w:r>
              <w:rPr>
                <w:rFonts w:hint="default" w:ascii="Times New Roman" w:hAnsi="Times New Roman" w:cs="Times New Roman"/>
                <w:color w:val="000000"/>
              </w:rPr>
              <w:t>15</w:t>
            </w:r>
          </w:p>
        </w:tc>
        <w:tc>
          <w:tcPr>
            <w:tcW w:w="3240" w:type="dxa"/>
            <w:shd w:val="clear" w:color="auto" w:fill="auto"/>
            <w:noWrap/>
            <w:vAlign w:val="center"/>
          </w:tcPr>
          <w:p w14:paraId="3AB2632F">
            <w:pPr>
              <w:pStyle w:val="185"/>
              <w:rPr>
                <w:rFonts w:hint="default" w:ascii="Times New Roman" w:hAnsi="Times New Roman" w:cs="Times New Roman"/>
                <w:color w:val="000000"/>
              </w:rPr>
            </w:pPr>
            <w:r>
              <w:rPr>
                <w:rFonts w:hint="default" w:ascii="Times New Roman" w:hAnsi="Times New Roman" w:cs="Times New Roman"/>
                <w:color w:val="000000"/>
              </w:rPr>
              <w:t>砷</w:t>
            </w:r>
          </w:p>
        </w:tc>
        <w:tc>
          <w:tcPr>
            <w:tcW w:w="1425" w:type="dxa"/>
            <w:shd w:val="clear" w:color="auto" w:fill="auto"/>
            <w:noWrap/>
            <w:vAlign w:val="center"/>
          </w:tcPr>
          <w:p w14:paraId="6893E19B">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733" w:type="dxa"/>
            <w:shd w:val="clear" w:color="auto" w:fill="auto"/>
            <w:vAlign w:val="center"/>
          </w:tcPr>
          <w:p w14:paraId="0C42E7DB">
            <w:pPr>
              <w:pStyle w:val="185"/>
              <w:rPr>
                <w:rFonts w:hint="default" w:ascii="Times New Roman" w:hAnsi="Times New Roman" w:cs="Times New Roman"/>
                <w:color w:val="000000"/>
              </w:rPr>
            </w:pPr>
            <w:r>
              <w:rPr>
                <w:rFonts w:hint="default" w:ascii="Times New Roman" w:hAnsi="Times New Roman" w:cs="Times New Roman"/>
                <w:color w:val="000000"/>
              </w:rPr>
              <w:t>≤10.0</w:t>
            </w:r>
          </w:p>
        </w:tc>
        <w:tc>
          <w:tcPr>
            <w:tcW w:w="1179" w:type="dxa"/>
            <w:shd w:val="clear" w:color="auto" w:fill="auto"/>
            <w:vAlign w:val="center"/>
          </w:tcPr>
          <w:p w14:paraId="7DC5694A">
            <w:pPr>
              <w:pStyle w:val="185"/>
              <w:rPr>
                <w:rFonts w:hint="default" w:ascii="Times New Roman" w:hAnsi="Times New Roman" w:cs="Times New Roman"/>
                <w:color w:val="000000"/>
              </w:rPr>
            </w:pPr>
            <w:r>
              <w:rPr>
                <w:rFonts w:hint="default" w:ascii="Times New Roman" w:hAnsi="Times New Roman" w:cs="Times New Roman"/>
                <w:color w:val="000000"/>
              </w:rPr>
              <w:t>35</w:t>
            </w:r>
          </w:p>
        </w:tc>
        <w:tc>
          <w:tcPr>
            <w:tcW w:w="2332" w:type="dxa"/>
            <w:shd w:val="clear" w:color="auto" w:fill="auto"/>
            <w:vAlign w:val="center"/>
          </w:tcPr>
          <w:p w14:paraId="19652695">
            <w:pPr>
              <w:pStyle w:val="185"/>
              <w:rPr>
                <w:rFonts w:hint="default" w:ascii="Times New Roman" w:hAnsi="Times New Roman" w:cs="Times New Roman"/>
                <w:color w:val="000000"/>
              </w:rPr>
            </w:pPr>
            <w:r>
              <w:rPr>
                <w:rFonts w:hint="default" w:ascii="Times New Roman" w:hAnsi="Times New Roman" w:cs="Times New Roman"/>
                <w:color w:val="000000"/>
              </w:rPr>
              <w:t>硒</w:t>
            </w:r>
          </w:p>
        </w:tc>
        <w:tc>
          <w:tcPr>
            <w:tcW w:w="1555" w:type="dxa"/>
            <w:shd w:val="clear" w:color="auto" w:fill="auto"/>
            <w:vAlign w:val="center"/>
          </w:tcPr>
          <w:p w14:paraId="5885EEC8">
            <w:pPr>
              <w:pStyle w:val="185"/>
              <w:rPr>
                <w:rFonts w:hint="default" w:ascii="Times New Roman" w:hAnsi="Times New Roman" w:cs="Times New Roman"/>
                <w:color w:val="000000"/>
              </w:rPr>
            </w:pPr>
            <w:r>
              <w:rPr>
                <w:rFonts w:hint="default" w:ascii="Times New Roman" w:hAnsi="Times New Roman" w:cs="Times New Roman"/>
                <w:color w:val="000000"/>
              </w:rPr>
              <w:t>μg/L</w:t>
            </w:r>
          </w:p>
        </w:tc>
        <w:tc>
          <w:tcPr>
            <w:tcW w:w="1626" w:type="dxa"/>
            <w:shd w:val="clear" w:color="auto" w:fill="auto"/>
            <w:vAlign w:val="center"/>
          </w:tcPr>
          <w:p w14:paraId="25264187">
            <w:pPr>
              <w:pStyle w:val="185"/>
              <w:rPr>
                <w:rFonts w:hint="default" w:ascii="Times New Roman" w:hAnsi="Times New Roman" w:cs="Times New Roman"/>
                <w:color w:val="000000"/>
              </w:rPr>
            </w:pPr>
            <w:r>
              <w:rPr>
                <w:rFonts w:hint="default" w:ascii="Times New Roman" w:hAnsi="Times New Roman" w:cs="Times New Roman"/>
                <w:color w:val="000000"/>
              </w:rPr>
              <w:t>≤10</w:t>
            </w:r>
          </w:p>
        </w:tc>
      </w:tr>
      <w:tr w14:paraId="17B4C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4695C3C2">
            <w:pPr>
              <w:pStyle w:val="185"/>
              <w:rPr>
                <w:rFonts w:hint="default" w:ascii="Times New Roman" w:hAnsi="Times New Roman" w:cs="Times New Roman"/>
                <w:color w:val="000000"/>
              </w:rPr>
            </w:pPr>
            <w:r>
              <w:rPr>
                <w:rFonts w:hint="default" w:ascii="Times New Roman" w:hAnsi="Times New Roman" w:cs="Times New Roman"/>
                <w:color w:val="000000"/>
              </w:rPr>
              <w:t>16</w:t>
            </w:r>
          </w:p>
        </w:tc>
        <w:tc>
          <w:tcPr>
            <w:tcW w:w="3240" w:type="dxa"/>
            <w:shd w:val="clear" w:color="auto" w:fill="auto"/>
            <w:noWrap/>
            <w:vAlign w:val="center"/>
          </w:tcPr>
          <w:p w14:paraId="7A83BB38">
            <w:pPr>
              <w:pStyle w:val="185"/>
              <w:rPr>
                <w:rFonts w:hint="default" w:ascii="Times New Roman" w:hAnsi="Times New Roman" w:cs="Times New Roman"/>
                <w:color w:val="000000"/>
              </w:rPr>
            </w:pPr>
            <w:r>
              <w:rPr>
                <w:rFonts w:hint="default" w:ascii="Times New Roman" w:hAnsi="Times New Roman" w:cs="Times New Roman"/>
                <w:color w:val="000000"/>
              </w:rPr>
              <w:t>六价铬</w:t>
            </w:r>
          </w:p>
        </w:tc>
        <w:tc>
          <w:tcPr>
            <w:tcW w:w="1425" w:type="dxa"/>
            <w:shd w:val="clear" w:color="auto" w:fill="auto"/>
            <w:noWrap/>
            <w:vAlign w:val="center"/>
          </w:tcPr>
          <w:p w14:paraId="2AB25A11">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1736086F">
            <w:pPr>
              <w:pStyle w:val="185"/>
              <w:rPr>
                <w:rFonts w:hint="default" w:ascii="Times New Roman" w:hAnsi="Times New Roman" w:cs="Times New Roman"/>
                <w:color w:val="000000"/>
              </w:rPr>
            </w:pPr>
            <w:r>
              <w:rPr>
                <w:rFonts w:hint="default" w:ascii="Times New Roman" w:hAnsi="Times New Roman" w:cs="Times New Roman"/>
                <w:color w:val="000000"/>
              </w:rPr>
              <w:t>≤0.05</w:t>
            </w:r>
          </w:p>
        </w:tc>
        <w:tc>
          <w:tcPr>
            <w:tcW w:w="1179" w:type="dxa"/>
            <w:shd w:val="clear" w:color="auto" w:fill="auto"/>
            <w:vAlign w:val="center"/>
          </w:tcPr>
          <w:p w14:paraId="0EEE3E07">
            <w:pPr>
              <w:pStyle w:val="185"/>
              <w:rPr>
                <w:rFonts w:hint="default" w:ascii="Times New Roman" w:hAnsi="Times New Roman" w:cs="Times New Roman"/>
                <w:color w:val="000000"/>
              </w:rPr>
            </w:pPr>
            <w:r>
              <w:rPr>
                <w:rFonts w:hint="default" w:ascii="Times New Roman" w:hAnsi="Times New Roman" w:cs="Times New Roman"/>
                <w:color w:val="000000"/>
              </w:rPr>
              <w:t>36</w:t>
            </w:r>
          </w:p>
        </w:tc>
        <w:tc>
          <w:tcPr>
            <w:tcW w:w="2332" w:type="dxa"/>
            <w:shd w:val="clear" w:color="auto" w:fill="auto"/>
            <w:vAlign w:val="center"/>
          </w:tcPr>
          <w:p w14:paraId="64CE52C1">
            <w:pPr>
              <w:pStyle w:val="185"/>
              <w:rPr>
                <w:rFonts w:hint="default" w:ascii="Times New Roman" w:hAnsi="Times New Roman" w:cs="Times New Roman"/>
                <w:color w:val="000000"/>
              </w:rPr>
            </w:pPr>
            <w:r>
              <w:rPr>
                <w:rFonts w:hint="default" w:ascii="Times New Roman" w:hAnsi="Times New Roman" w:cs="Times New Roman"/>
                <w:b w:val="0"/>
                <w:bCs w:val="0"/>
                <w:strike w:val="0"/>
                <w:dstrike w:val="0"/>
                <w:color w:val="auto"/>
              </w:rPr>
              <w:t>石油类</w:t>
            </w:r>
          </w:p>
        </w:tc>
        <w:tc>
          <w:tcPr>
            <w:tcW w:w="1555" w:type="dxa"/>
            <w:shd w:val="clear" w:color="auto" w:fill="auto"/>
            <w:vAlign w:val="center"/>
          </w:tcPr>
          <w:p w14:paraId="5A49A980">
            <w:pPr>
              <w:pStyle w:val="185"/>
              <w:rPr>
                <w:rFonts w:hint="default" w:ascii="Times New Roman" w:hAnsi="Times New Roman" w:cs="Times New Roman"/>
                <w:color w:val="000000"/>
              </w:rPr>
            </w:pPr>
            <w:r>
              <w:rPr>
                <w:rFonts w:hint="default" w:ascii="Times New Roman" w:hAnsi="Times New Roman" w:cs="Times New Roman"/>
                <w:b w:val="0"/>
                <w:bCs w:val="0"/>
                <w:strike w:val="0"/>
                <w:dstrike w:val="0"/>
                <w:color w:val="auto"/>
              </w:rPr>
              <w:t>mg/L</w:t>
            </w:r>
          </w:p>
        </w:tc>
        <w:tc>
          <w:tcPr>
            <w:tcW w:w="1626" w:type="dxa"/>
            <w:shd w:val="clear" w:color="auto" w:fill="auto"/>
            <w:vAlign w:val="center"/>
          </w:tcPr>
          <w:p w14:paraId="56F88936">
            <w:pPr>
              <w:pStyle w:val="185"/>
              <w:rPr>
                <w:rFonts w:hint="default" w:ascii="Times New Roman" w:hAnsi="Times New Roman" w:eastAsia="宋体" w:cs="Times New Roman"/>
                <w:color w:val="000000"/>
                <w:lang w:val="en-US" w:eastAsia="zh-CN"/>
              </w:rPr>
            </w:pPr>
            <w:r>
              <w:rPr>
                <w:rFonts w:hint="eastAsia" w:ascii="Times New Roman" w:cs="Times New Roman"/>
                <w:color w:val="000000"/>
                <w:lang w:val="en-US" w:eastAsia="zh-CN"/>
              </w:rPr>
              <w:t>0.05</w:t>
            </w:r>
          </w:p>
        </w:tc>
      </w:tr>
      <w:tr w14:paraId="5D29C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0CD68083">
            <w:pPr>
              <w:pStyle w:val="185"/>
              <w:rPr>
                <w:rFonts w:hint="default" w:ascii="Times New Roman" w:hAnsi="Times New Roman" w:cs="Times New Roman"/>
                <w:color w:val="000000"/>
              </w:rPr>
            </w:pPr>
            <w:r>
              <w:rPr>
                <w:rFonts w:hint="default" w:ascii="Times New Roman" w:hAnsi="Times New Roman" w:cs="Times New Roman"/>
                <w:b w:val="0"/>
                <w:bCs w:val="0"/>
                <w:strike w:val="0"/>
                <w:dstrike w:val="0"/>
                <w:color w:val="auto"/>
              </w:rPr>
              <w:t>17</w:t>
            </w:r>
          </w:p>
        </w:tc>
        <w:tc>
          <w:tcPr>
            <w:tcW w:w="3240" w:type="dxa"/>
            <w:shd w:val="clear" w:color="auto" w:fill="auto"/>
            <w:noWrap/>
            <w:vAlign w:val="center"/>
          </w:tcPr>
          <w:p w14:paraId="1C0CE1BB">
            <w:pPr>
              <w:pStyle w:val="185"/>
              <w:rPr>
                <w:rFonts w:hint="default" w:ascii="Times New Roman" w:hAnsi="Times New Roman" w:cs="Times New Roman"/>
                <w:color w:val="000000"/>
              </w:rPr>
            </w:pPr>
            <w:r>
              <w:rPr>
                <w:rFonts w:hint="default" w:ascii="Times New Roman" w:hAnsi="Times New Roman" w:cs="Times New Roman"/>
                <w:color w:val="000000"/>
              </w:rPr>
              <w:t>碘化物</w:t>
            </w:r>
          </w:p>
        </w:tc>
        <w:tc>
          <w:tcPr>
            <w:tcW w:w="1425" w:type="dxa"/>
            <w:shd w:val="clear" w:color="auto" w:fill="auto"/>
            <w:noWrap/>
            <w:vAlign w:val="center"/>
          </w:tcPr>
          <w:p w14:paraId="353C88FE">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6E604BBE">
            <w:pPr>
              <w:pStyle w:val="185"/>
              <w:rPr>
                <w:rFonts w:hint="default" w:ascii="Times New Roman" w:hAnsi="Times New Roman" w:cs="Times New Roman"/>
                <w:color w:val="000000"/>
              </w:rPr>
            </w:pPr>
            <w:r>
              <w:rPr>
                <w:rFonts w:hint="default" w:ascii="Times New Roman" w:hAnsi="Times New Roman" w:cs="Times New Roman"/>
                <w:color w:val="000000"/>
              </w:rPr>
              <w:t>≤0.08</w:t>
            </w:r>
          </w:p>
        </w:tc>
        <w:tc>
          <w:tcPr>
            <w:tcW w:w="1179" w:type="dxa"/>
            <w:shd w:val="clear" w:color="auto" w:fill="auto"/>
            <w:vAlign w:val="center"/>
          </w:tcPr>
          <w:p w14:paraId="7F469F32">
            <w:pPr>
              <w:pStyle w:val="185"/>
              <w:rPr>
                <w:rFonts w:hint="default" w:ascii="Times New Roman" w:hAnsi="Times New Roman" w:cs="Times New Roman"/>
                <w:color w:val="000000"/>
              </w:rPr>
            </w:pPr>
            <w:r>
              <w:rPr>
                <w:rFonts w:hint="default" w:ascii="Times New Roman" w:hAnsi="Times New Roman" w:cs="Times New Roman"/>
                <w:color w:val="000000"/>
              </w:rPr>
              <w:t>37</w:t>
            </w:r>
          </w:p>
        </w:tc>
        <w:tc>
          <w:tcPr>
            <w:tcW w:w="2332" w:type="dxa"/>
            <w:shd w:val="clear" w:color="auto" w:fill="auto"/>
            <w:vAlign w:val="center"/>
          </w:tcPr>
          <w:p w14:paraId="53564603">
            <w:pPr>
              <w:pStyle w:val="185"/>
              <w:rPr>
                <w:rFonts w:hint="default" w:ascii="Times New Roman" w:hAnsi="Times New Roman" w:cs="Times New Roman"/>
                <w:color w:val="000000"/>
              </w:rPr>
            </w:pPr>
          </w:p>
        </w:tc>
        <w:tc>
          <w:tcPr>
            <w:tcW w:w="1555" w:type="dxa"/>
            <w:shd w:val="clear" w:color="auto" w:fill="auto"/>
            <w:vAlign w:val="center"/>
          </w:tcPr>
          <w:p w14:paraId="2FC8BCE1">
            <w:pPr>
              <w:pStyle w:val="185"/>
              <w:rPr>
                <w:rFonts w:hint="default" w:ascii="Times New Roman" w:hAnsi="Times New Roman" w:cs="Times New Roman"/>
                <w:color w:val="000000"/>
              </w:rPr>
            </w:pPr>
          </w:p>
        </w:tc>
        <w:tc>
          <w:tcPr>
            <w:tcW w:w="1626" w:type="dxa"/>
            <w:shd w:val="clear" w:color="auto" w:fill="auto"/>
            <w:vAlign w:val="center"/>
          </w:tcPr>
          <w:p w14:paraId="4302CAC5">
            <w:pPr>
              <w:pStyle w:val="185"/>
              <w:rPr>
                <w:rFonts w:hint="default" w:ascii="Times New Roman" w:hAnsi="Times New Roman" w:cs="Times New Roman"/>
                <w:color w:val="000000"/>
              </w:rPr>
            </w:pPr>
          </w:p>
        </w:tc>
      </w:tr>
      <w:tr w14:paraId="6BF1C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270CF786">
            <w:pPr>
              <w:pStyle w:val="185"/>
              <w:rPr>
                <w:rFonts w:hint="default" w:ascii="Times New Roman" w:hAnsi="Times New Roman" w:cs="Times New Roman"/>
                <w:color w:val="000000"/>
              </w:rPr>
            </w:pPr>
            <w:r>
              <w:rPr>
                <w:rFonts w:hint="default" w:ascii="Times New Roman" w:hAnsi="Times New Roman" w:cs="Times New Roman"/>
                <w:color w:val="000000"/>
              </w:rPr>
              <w:t>18</w:t>
            </w:r>
          </w:p>
        </w:tc>
        <w:tc>
          <w:tcPr>
            <w:tcW w:w="3240" w:type="dxa"/>
            <w:shd w:val="clear" w:color="auto" w:fill="auto"/>
            <w:noWrap/>
            <w:vAlign w:val="center"/>
          </w:tcPr>
          <w:p w14:paraId="37808C99">
            <w:pPr>
              <w:pStyle w:val="185"/>
              <w:rPr>
                <w:rFonts w:hint="default" w:ascii="Times New Roman" w:hAnsi="Times New Roman" w:cs="Times New Roman"/>
                <w:color w:val="000000"/>
              </w:rPr>
            </w:pPr>
            <w:r>
              <w:rPr>
                <w:rFonts w:hint="default" w:ascii="Times New Roman" w:hAnsi="Times New Roman" w:cs="Times New Roman"/>
                <w:color w:val="000000"/>
              </w:rPr>
              <w:t>硫化物</w:t>
            </w:r>
          </w:p>
        </w:tc>
        <w:tc>
          <w:tcPr>
            <w:tcW w:w="1425" w:type="dxa"/>
            <w:shd w:val="clear" w:color="auto" w:fill="auto"/>
            <w:noWrap/>
            <w:vAlign w:val="center"/>
          </w:tcPr>
          <w:p w14:paraId="599E96E8">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34102D81">
            <w:pPr>
              <w:pStyle w:val="185"/>
              <w:rPr>
                <w:rFonts w:hint="default" w:ascii="Times New Roman" w:hAnsi="Times New Roman" w:cs="Times New Roman"/>
                <w:color w:val="000000"/>
              </w:rPr>
            </w:pPr>
            <w:r>
              <w:rPr>
                <w:rFonts w:hint="default" w:ascii="Times New Roman" w:hAnsi="Times New Roman" w:cs="Times New Roman"/>
                <w:color w:val="000000"/>
              </w:rPr>
              <w:t>≤0.02</w:t>
            </w:r>
          </w:p>
        </w:tc>
        <w:tc>
          <w:tcPr>
            <w:tcW w:w="1179" w:type="dxa"/>
            <w:shd w:val="clear" w:color="auto" w:fill="auto"/>
            <w:vAlign w:val="center"/>
          </w:tcPr>
          <w:p w14:paraId="6BAE84ED">
            <w:pPr>
              <w:pStyle w:val="185"/>
              <w:rPr>
                <w:rFonts w:hint="default" w:ascii="Times New Roman" w:hAnsi="Times New Roman" w:cs="Times New Roman"/>
                <w:color w:val="000000"/>
              </w:rPr>
            </w:pPr>
            <w:r>
              <w:rPr>
                <w:rFonts w:hint="default" w:ascii="Times New Roman" w:hAnsi="Times New Roman" w:cs="Times New Roman"/>
                <w:color w:val="000000"/>
              </w:rPr>
              <w:t>38</w:t>
            </w:r>
          </w:p>
        </w:tc>
        <w:tc>
          <w:tcPr>
            <w:tcW w:w="2332" w:type="dxa"/>
            <w:shd w:val="clear" w:color="auto" w:fill="auto"/>
            <w:vAlign w:val="center"/>
          </w:tcPr>
          <w:p w14:paraId="212E7ADA">
            <w:pPr>
              <w:pStyle w:val="185"/>
              <w:rPr>
                <w:rFonts w:hint="default" w:ascii="Times New Roman" w:hAnsi="Times New Roman" w:cs="Times New Roman"/>
                <w:color w:val="000000"/>
              </w:rPr>
            </w:pPr>
          </w:p>
        </w:tc>
        <w:tc>
          <w:tcPr>
            <w:tcW w:w="1555" w:type="dxa"/>
            <w:shd w:val="clear" w:color="auto" w:fill="auto"/>
            <w:vAlign w:val="center"/>
          </w:tcPr>
          <w:p w14:paraId="0F2BAF53">
            <w:pPr>
              <w:pStyle w:val="185"/>
              <w:rPr>
                <w:rFonts w:hint="default" w:ascii="Times New Roman" w:hAnsi="Times New Roman" w:cs="Times New Roman"/>
                <w:color w:val="000000"/>
              </w:rPr>
            </w:pPr>
          </w:p>
        </w:tc>
        <w:tc>
          <w:tcPr>
            <w:tcW w:w="1626" w:type="dxa"/>
            <w:shd w:val="clear" w:color="auto" w:fill="auto"/>
            <w:vAlign w:val="center"/>
          </w:tcPr>
          <w:p w14:paraId="19F1CA7D">
            <w:pPr>
              <w:pStyle w:val="185"/>
              <w:rPr>
                <w:rFonts w:hint="default" w:ascii="Times New Roman" w:hAnsi="Times New Roman" w:cs="Times New Roman"/>
                <w:color w:val="000000"/>
              </w:rPr>
            </w:pPr>
          </w:p>
        </w:tc>
      </w:tr>
      <w:tr w14:paraId="22064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36746B50">
            <w:pPr>
              <w:pStyle w:val="185"/>
              <w:rPr>
                <w:rFonts w:hint="default" w:ascii="Times New Roman" w:hAnsi="Times New Roman" w:cs="Times New Roman"/>
                <w:color w:val="000000"/>
              </w:rPr>
            </w:pPr>
            <w:r>
              <w:rPr>
                <w:rFonts w:hint="default" w:ascii="Times New Roman" w:hAnsi="Times New Roman" w:cs="Times New Roman"/>
                <w:color w:val="000000"/>
              </w:rPr>
              <w:t>19</w:t>
            </w:r>
          </w:p>
        </w:tc>
        <w:tc>
          <w:tcPr>
            <w:tcW w:w="3240" w:type="dxa"/>
            <w:shd w:val="clear" w:color="auto" w:fill="auto"/>
            <w:noWrap/>
            <w:vAlign w:val="center"/>
          </w:tcPr>
          <w:p w14:paraId="2B459AA1">
            <w:pPr>
              <w:pStyle w:val="185"/>
              <w:rPr>
                <w:rFonts w:hint="default" w:ascii="Times New Roman" w:hAnsi="Times New Roman" w:cs="Times New Roman"/>
                <w:color w:val="000000"/>
              </w:rPr>
            </w:pPr>
            <w:r>
              <w:rPr>
                <w:rFonts w:hint="default" w:ascii="Times New Roman" w:hAnsi="Times New Roman" w:cs="Times New Roman"/>
                <w:color w:val="000000"/>
              </w:rPr>
              <w:t>阴离子表面活性剂</w:t>
            </w:r>
          </w:p>
        </w:tc>
        <w:tc>
          <w:tcPr>
            <w:tcW w:w="1425" w:type="dxa"/>
            <w:shd w:val="clear" w:color="auto" w:fill="auto"/>
            <w:noWrap/>
            <w:vAlign w:val="center"/>
          </w:tcPr>
          <w:p w14:paraId="2849DFAB">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35165A0B">
            <w:pPr>
              <w:pStyle w:val="185"/>
              <w:rPr>
                <w:rFonts w:hint="default" w:ascii="Times New Roman" w:hAnsi="Times New Roman" w:cs="Times New Roman"/>
                <w:color w:val="000000"/>
              </w:rPr>
            </w:pPr>
            <w:r>
              <w:rPr>
                <w:rFonts w:hint="default" w:ascii="Times New Roman" w:hAnsi="Times New Roman" w:cs="Times New Roman"/>
                <w:color w:val="000000"/>
              </w:rPr>
              <w:t>≤0.3</w:t>
            </w:r>
          </w:p>
        </w:tc>
        <w:tc>
          <w:tcPr>
            <w:tcW w:w="1179" w:type="dxa"/>
            <w:shd w:val="clear" w:color="auto" w:fill="auto"/>
            <w:vAlign w:val="center"/>
          </w:tcPr>
          <w:p w14:paraId="3589374E">
            <w:pPr>
              <w:pStyle w:val="185"/>
              <w:rPr>
                <w:rFonts w:hint="default" w:ascii="Times New Roman" w:hAnsi="Times New Roman" w:cs="Times New Roman"/>
                <w:color w:val="000000"/>
              </w:rPr>
            </w:pPr>
          </w:p>
        </w:tc>
        <w:tc>
          <w:tcPr>
            <w:tcW w:w="2332" w:type="dxa"/>
            <w:shd w:val="clear" w:color="auto" w:fill="auto"/>
            <w:vAlign w:val="center"/>
          </w:tcPr>
          <w:p w14:paraId="6C1B86F9">
            <w:pPr>
              <w:pStyle w:val="185"/>
              <w:rPr>
                <w:rFonts w:hint="default" w:ascii="Times New Roman" w:hAnsi="Times New Roman" w:cs="Times New Roman"/>
                <w:color w:val="000000"/>
              </w:rPr>
            </w:pPr>
          </w:p>
        </w:tc>
        <w:tc>
          <w:tcPr>
            <w:tcW w:w="1555" w:type="dxa"/>
            <w:shd w:val="clear" w:color="auto" w:fill="auto"/>
            <w:vAlign w:val="center"/>
          </w:tcPr>
          <w:p w14:paraId="7715DDEA">
            <w:pPr>
              <w:pStyle w:val="185"/>
              <w:rPr>
                <w:rFonts w:hint="default" w:ascii="Times New Roman" w:hAnsi="Times New Roman" w:cs="Times New Roman"/>
                <w:color w:val="000000"/>
              </w:rPr>
            </w:pPr>
          </w:p>
        </w:tc>
        <w:tc>
          <w:tcPr>
            <w:tcW w:w="1626" w:type="dxa"/>
            <w:shd w:val="clear" w:color="auto" w:fill="auto"/>
            <w:vAlign w:val="center"/>
          </w:tcPr>
          <w:p w14:paraId="1CEF43BC">
            <w:pPr>
              <w:pStyle w:val="185"/>
              <w:rPr>
                <w:rFonts w:hint="default" w:ascii="Times New Roman" w:hAnsi="Times New Roman" w:cs="Times New Roman"/>
                <w:color w:val="000000"/>
              </w:rPr>
            </w:pPr>
          </w:p>
        </w:tc>
      </w:tr>
      <w:tr w14:paraId="4B300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084" w:type="dxa"/>
            <w:shd w:val="clear" w:color="auto" w:fill="auto"/>
            <w:noWrap/>
            <w:vAlign w:val="center"/>
          </w:tcPr>
          <w:p w14:paraId="652507F1">
            <w:pPr>
              <w:pStyle w:val="185"/>
              <w:rPr>
                <w:rFonts w:hint="default" w:ascii="Times New Roman" w:hAnsi="Times New Roman" w:cs="Times New Roman"/>
                <w:color w:val="000000"/>
              </w:rPr>
            </w:pPr>
            <w:r>
              <w:rPr>
                <w:rFonts w:hint="default" w:ascii="Times New Roman" w:hAnsi="Times New Roman" w:cs="Times New Roman"/>
                <w:color w:val="000000"/>
              </w:rPr>
              <w:t>20</w:t>
            </w:r>
          </w:p>
        </w:tc>
        <w:tc>
          <w:tcPr>
            <w:tcW w:w="3240" w:type="dxa"/>
            <w:shd w:val="clear" w:color="auto" w:fill="auto"/>
            <w:noWrap/>
            <w:vAlign w:val="center"/>
          </w:tcPr>
          <w:p w14:paraId="58AE9BB7">
            <w:pPr>
              <w:pStyle w:val="185"/>
              <w:rPr>
                <w:rFonts w:hint="default" w:ascii="Times New Roman" w:hAnsi="Times New Roman" w:cs="Times New Roman"/>
                <w:color w:val="000000"/>
              </w:rPr>
            </w:pPr>
            <w:r>
              <w:rPr>
                <w:rFonts w:hint="default" w:ascii="Times New Roman" w:hAnsi="Times New Roman" w:cs="Times New Roman"/>
                <w:color w:val="000000"/>
              </w:rPr>
              <w:t>挥发酚</w:t>
            </w:r>
          </w:p>
        </w:tc>
        <w:tc>
          <w:tcPr>
            <w:tcW w:w="1425" w:type="dxa"/>
            <w:shd w:val="clear" w:color="auto" w:fill="auto"/>
            <w:noWrap/>
            <w:vAlign w:val="center"/>
          </w:tcPr>
          <w:p w14:paraId="3D989C4A">
            <w:pPr>
              <w:pStyle w:val="185"/>
              <w:rPr>
                <w:rFonts w:hint="default" w:ascii="Times New Roman" w:hAnsi="Times New Roman" w:cs="Times New Roman"/>
                <w:color w:val="000000"/>
              </w:rPr>
            </w:pPr>
            <w:r>
              <w:rPr>
                <w:rFonts w:hint="default" w:ascii="Times New Roman" w:hAnsi="Times New Roman" w:cs="Times New Roman"/>
                <w:color w:val="000000"/>
              </w:rPr>
              <w:t>mg/L</w:t>
            </w:r>
          </w:p>
        </w:tc>
        <w:tc>
          <w:tcPr>
            <w:tcW w:w="1733" w:type="dxa"/>
            <w:shd w:val="clear" w:color="auto" w:fill="auto"/>
            <w:vAlign w:val="center"/>
          </w:tcPr>
          <w:p w14:paraId="22B09070">
            <w:pPr>
              <w:pStyle w:val="185"/>
              <w:rPr>
                <w:rFonts w:hint="default" w:ascii="Times New Roman" w:hAnsi="Times New Roman" w:cs="Times New Roman"/>
                <w:color w:val="000000"/>
              </w:rPr>
            </w:pPr>
            <w:r>
              <w:rPr>
                <w:rFonts w:hint="default" w:ascii="Times New Roman" w:hAnsi="Times New Roman" w:cs="Times New Roman"/>
                <w:color w:val="000000"/>
              </w:rPr>
              <w:t>≤0.002</w:t>
            </w:r>
          </w:p>
        </w:tc>
        <w:tc>
          <w:tcPr>
            <w:tcW w:w="1179" w:type="dxa"/>
            <w:shd w:val="clear" w:color="auto" w:fill="auto"/>
            <w:vAlign w:val="center"/>
          </w:tcPr>
          <w:p w14:paraId="6AA1CC16">
            <w:pPr>
              <w:pStyle w:val="185"/>
              <w:rPr>
                <w:rFonts w:hint="default" w:ascii="Times New Roman" w:hAnsi="Times New Roman" w:cs="Times New Roman"/>
                <w:color w:val="000000"/>
              </w:rPr>
            </w:pPr>
          </w:p>
        </w:tc>
        <w:tc>
          <w:tcPr>
            <w:tcW w:w="2332" w:type="dxa"/>
            <w:shd w:val="clear" w:color="auto" w:fill="auto"/>
            <w:vAlign w:val="center"/>
          </w:tcPr>
          <w:p w14:paraId="5C1F590F">
            <w:pPr>
              <w:pStyle w:val="185"/>
              <w:rPr>
                <w:rFonts w:hint="default" w:ascii="Times New Roman" w:hAnsi="Times New Roman" w:cs="Times New Roman"/>
                <w:color w:val="000000"/>
              </w:rPr>
            </w:pPr>
          </w:p>
        </w:tc>
        <w:tc>
          <w:tcPr>
            <w:tcW w:w="1555" w:type="dxa"/>
            <w:shd w:val="clear" w:color="auto" w:fill="auto"/>
            <w:vAlign w:val="center"/>
          </w:tcPr>
          <w:p w14:paraId="39A871F6">
            <w:pPr>
              <w:pStyle w:val="185"/>
              <w:rPr>
                <w:rFonts w:hint="default" w:ascii="Times New Roman" w:hAnsi="Times New Roman" w:cs="Times New Roman"/>
                <w:color w:val="000000"/>
              </w:rPr>
            </w:pPr>
          </w:p>
        </w:tc>
        <w:tc>
          <w:tcPr>
            <w:tcW w:w="1626" w:type="dxa"/>
            <w:shd w:val="clear" w:color="auto" w:fill="auto"/>
            <w:vAlign w:val="center"/>
          </w:tcPr>
          <w:p w14:paraId="0E28B839">
            <w:pPr>
              <w:pStyle w:val="185"/>
              <w:rPr>
                <w:rFonts w:hint="default" w:ascii="Times New Roman" w:hAnsi="Times New Roman" w:cs="Times New Roman"/>
                <w:color w:val="000000"/>
              </w:rPr>
            </w:pPr>
          </w:p>
        </w:tc>
      </w:tr>
    </w:tbl>
    <w:p w14:paraId="0D3A8CFC">
      <w:pPr>
        <w:pStyle w:val="3"/>
        <w:rPr>
          <w:rFonts w:hint="default" w:ascii="Times New Roman" w:hAnsi="Times New Roman" w:cs="Times New Roman"/>
          <w:color w:val="000000"/>
          <w:highlight w:val="none"/>
        </w:rPr>
      </w:pPr>
      <w:r>
        <w:rPr>
          <w:rFonts w:hint="default" w:ascii="Times New Roman" w:hAnsi="Times New Roman" w:cs="Times New Roman"/>
          <w:color w:val="000000"/>
        </w:rPr>
        <w:t>重点监测</w:t>
      </w:r>
      <w:r>
        <w:rPr>
          <w:rFonts w:hint="default" w:ascii="Times New Roman" w:hAnsi="Times New Roman" w:cs="Times New Roman"/>
          <w:color w:val="000000"/>
          <w:highlight w:val="none"/>
        </w:rPr>
        <w:t>单元的识别与分类</w:t>
      </w:r>
    </w:p>
    <w:p w14:paraId="1A3F5832">
      <w:pPr>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依据《重点监管单位土壤污染隐患排查指南（试行）》确定重点场所和重点设施设备，并结合《工业企业土壤和地下水自行监测技术指南（试行）》（HJ1209—2021）要求将其中可能通过渗漏、流失、扬散等途径导致土壤或地下水污染的场所或设施设备识别为重点监测单元。将</w:t>
      </w:r>
      <w:r>
        <w:rPr>
          <w:rFonts w:hint="default" w:ascii="Times New Roman" w:hAnsi="Times New Roman" w:cs="Times New Roman"/>
          <w:color w:val="000000"/>
          <w:highlight w:val="none"/>
          <w:lang w:val="en-US" w:eastAsia="zh-CN"/>
        </w:rPr>
        <w:t>采油一厂</w:t>
      </w:r>
      <w:r>
        <w:rPr>
          <w:rFonts w:hint="default" w:ascii="Times New Roman" w:hAnsi="Times New Roman" w:cs="Times New Roman"/>
          <w:color w:val="000000"/>
          <w:highlight w:val="none"/>
        </w:rPr>
        <w:t>各站库进行识别分类，详见下表。</w:t>
      </w:r>
    </w:p>
    <w:p w14:paraId="0B2735EE">
      <w:pPr>
        <w:pStyle w:val="96"/>
        <w:spacing w:before="156"/>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表 </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SEQ 表 \* ARABIC</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18</w:t>
      </w:r>
      <w:r>
        <w:rPr>
          <w:rFonts w:hint="default" w:ascii="Times New Roman" w:hAnsi="Times New Roman" w:cs="Times New Roman"/>
          <w:color w:val="000000"/>
          <w:highlight w:val="none"/>
        </w:rPr>
        <w:fldChar w:fldCharType="end"/>
      </w:r>
      <w:r>
        <w:rPr>
          <w:rFonts w:hint="default" w:ascii="Times New Roman" w:hAnsi="Times New Roman" w:cs="Times New Roman"/>
          <w:color w:val="000000"/>
          <w:highlight w:val="none"/>
        </w:rPr>
        <w:t xml:space="preserve">  采油</w:t>
      </w:r>
      <w:r>
        <w:rPr>
          <w:rFonts w:hint="default" w:ascii="Times New Roman" w:hAnsi="Times New Roman" w:cs="Times New Roman"/>
          <w:color w:val="000000"/>
          <w:highlight w:val="none"/>
          <w:lang w:val="en-US" w:eastAsia="zh-CN"/>
        </w:rPr>
        <w:t>一</w:t>
      </w:r>
      <w:r>
        <w:rPr>
          <w:rFonts w:hint="default" w:ascii="Times New Roman" w:hAnsi="Times New Roman" w:cs="Times New Roman"/>
          <w:color w:val="000000"/>
          <w:highlight w:val="none"/>
        </w:rPr>
        <w:t>厂各站点重点监测单元划分</w:t>
      </w:r>
    </w:p>
    <w:tbl>
      <w:tblPr>
        <w:tblStyle w:val="37"/>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10"/>
        <w:gridCol w:w="3510"/>
        <w:gridCol w:w="2811"/>
        <w:gridCol w:w="6304"/>
      </w:tblGrid>
      <w:tr w14:paraId="2AF06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trPr>
        <w:tc>
          <w:tcPr>
            <w:tcW w:w="502" w:type="pct"/>
            <w:shd w:val="clear" w:color="auto" w:fill="auto"/>
            <w:vAlign w:val="center"/>
          </w:tcPr>
          <w:p w14:paraId="31CC2B37">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序号</w:t>
            </w:r>
          </w:p>
        </w:tc>
        <w:tc>
          <w:tcPr>
            <w:tcW w:w="1250" w:type="pct"/>
            <w:shd w:val="clear" w:color="auto" w:fill="auto"/>
            <w:vAlign w:val="center"/>
          </w:tcPr>
          <w:p w14:paraId="00A2AC2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站所</w:t>
            </w:r>
          </w:p>
        </w:tc>
        <w:tc>
          <w:tcPr>
            <w:tcW w:w="1001" w:type="pct"/>
            <w:shd w:val="clear" w:color="auto" w:fill="auto"/>
            <w:vAlign w:val="center"/>
          </w:tcPr>
          <w:p w14:paraId="7BB43A5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划分单元</w:t>
            </w:r>
          </w:p>
        </w:tc>
        <w:tc>
          <w:tcPr>
            <w:tcW w:w="2245" w:type="pct"/>
            <w:shd w:val="clear" w:color="auto" w:fill="auto"/>
            <w:vAlign w:val="center"/>
          </w:tcPr>
          <w:p w14:paraId="4C2E654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设施名称</w:t>
            </w:r>
          </w:p>
        </w:tc>
      </w:tr>
      <w:tr w14:paraId="6E05F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restart"/>
            <w:shd w:val="clear" w:color="auto" w:fill="auto"/>
            <w:vAlign w:val="center"/>
          </w:tcPr>
          <w:p w14:paraId="648023B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w:t>
            </w:r>
          </w:p>
        </w:tc>
        <w:tc>
          <w:tcPr>
            <w:tcW w:w="1250" w:type="pct"/>
            <w:vMerge w:val="restart"/>
            <w:shd w:val="clear" w:color="auto" w:fill="auto"/>
            <w:vAlign w:val="center"/>
          </w:tcPr>
          <w:p w14:paraId="22E66DC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江河</w:t>
            </w:r>
            <w:r>
              <w:rPr>
                <w:rFonts w:hint="default" w:ascii="Times New Roman" w:hAnsi="Times New Roman" w:cs="Times New Roman"/>
                <w:color w:val="000000"/>
                <w:highlight w:val="none"/>
              </w:rPr>
              <w:t>联合站</w:t>
            </w:r>
          </w:p>
        </w:tc>
        <w:tc>
          <w:tcPr>
            <w:tcW w:w="1001" w:type="pct"/>
            <w:shd w:val="clear" w:color="auto" w:fill="auto"/>
            <w:vAlign w:val="center"/>
          </w:tcPr>
          <w:p w14:paraId="7D0D7C3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一类单元</w:t>
            </w:r>
          </w:p>
        </w:tc>
        <w:tc>
          <w:tcPr>
            <w:tcW w:w="2245" w:type="pct"/>
            <w:shd w:val="clear" w:color="auto" w:fill="auto"/>
            <w:vAlign w:val="center"/>
          </w:tcPr>
          <w:p w14:paraId="096475C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800m³污水池</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晾干池</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缓冲水池</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1#1500方注水罐</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2#1500方注水罐</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收油罐</w:t>
            </w:r>
          </w:p>
        </w:tc>
      </w:tr>
      <w:tr w14:paraId="42BCB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continue"/>
            <w:shd w:val="clear" w:color="auto" w:fill="auto"/>
            <w:vAlign w:val="center"/>
          </w:tcPr>
          <w:p w14:paraId="7BC629A0">
            <w:pPr>
              <w:pStyle w:val="185"/>
              <w:rPr>
                <w:rFonts w:hint="default" w:ascii="Times New Roman" w:hAnsi="Times New Roman" w:cs="Times New Roman"/>
                <w:color w:val="000000"/>
                <w:highlight w:val="none"/>
              </w:rPr>
            </w:pPr>
          </w:p>
        </w:tc>
        <w:tc>
          <w:tcPr>
            <w:tcW w:w="1250" w:type="pct"/>
            <w:vMerge w:val="continue"/>
            <w:shd w:val="clear" w:color="auto" w:fill="auto"/>
            <w:vAlign w:val="center"/>
          </w:tcPr>
          <w:p w14:paraId="7C37D38F">
            <w:pPr>
              <w:pStyle w:val="185"/>
              <w:rPr>
                <w:rFonts w:hint="default" w:ascii="Times New Roman" w:hAnsi="Times New Roman" w:cs="Times New Roman"/>
                <w:color w:val="000000"/>
                <w:highlight w:val="none"/>
              </w:rPr>
            </w:pPr>
          </w:p>
        </w:tc>
        <w:tc>
          <w:tcPr>
            <w:tcW w:w="1001" w:type="pct"/>
            <w:shd w:val="clear" w:color="auto" w:fill="auto"/>
            <w:vAlign w:val="center"/>
          </w:tcPr>
          <w:p w14:paraId="04BC1FA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4016B8C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1#、2#、3#污水脱硫塔、污水过滤罐（1个）；三相分离器、缓冲罐（1个）3#5000方污水沉降罐、5#5000方注水罐、6#5000方污水沉降罐（1个）；4#5000方污油罐（1个）；1#、2#10000原油储罐、7#、8#20000方原油储罐（1个）</w:t>
            </w:r>
          </w:p>
        </w:tc>
      </w:tr>
      <w:tr w14:paraId="220C4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restart"/>
            <w:shd w:val="clear" w:color="auto" w:fill="auto"/>
            <w:vAlign w:val="center"/>
          </w:tcPr>
          <w:p w14:paraId="5D8763A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2</w:t>
            </w:r>
          </w:p>
        </w:tc>
        <w:tc>
          <w:tcPr>
            <w:tcW w:w="1250" w:type="pct"/>
            <w:vMerge w:val="restart"/>
            <w:shd w:val="clear" w:color="auto" w:fill="auto"/>
            <w:vAlign w:val="center"/>
          </w:tcPr>
          <w:p w14:paraId="2E065C67">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双河联合站</w:t>
            </w:r>
          </w:p>
        </w:tc>
        <w:tc>
          <w:tcPr>
            <w:tcW w:w="1001" w:type="pct"/>
            <w:shd w:val="clear" w:color="auto" w:fill="auto"/>
            <w:vAlign w:val="center"/>
          </w:tcPr>
          <w:p w14:paraId="45139C6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一类单元</w:t>
            </w:r>
          </w:p>
        </w:tc>
        <w:tc>
          <w:tcPr>
            <w:tcW w:w="2245" w:type="pct"/>
            <w:shd w:val="clear" w:color="auto" w:fill="auto"/>
            <w:vAlign w:val="center"/>
          </w:tcPr>
          <w:p w14:paraId="1C6321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500m3三级隔油池</w:t>
            </w:r>
            <w:r>
              <w:rPr>
                <w:rFonts w:hint="default" w:ascii="Times New Roman" w:hAnsi="Times New Roman" w:cs="Times New Roman"/>
                <w:color w:val="000000"/>
                <w:highlight w:val="none"/>
                <w:lang w:eastAsia="zh-CN"/>
              </w:rPr>
              <w:t>、</w:t>
            </w:r>
            <w:r>
              <w:rPr>
                <w:rFonts w:hint="default" w:ascii="Times New Roman" w:hAnsi="Times New Roman" w:cs="Times New Roman"/>
                <w:color w:val="000000"/>
                <w:highlight w:val="none"/>
              </w:rPr>
              <w:t>2000方污水池</w:t>
            </w:r>
          </w:p>
        </w:tc>
      </w:tr>
      <w:tr w14:paraId="74292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continue"/>
            <w:shd w:val="clear" w:color="auto" w:fill="auto"/>
            <w:vAlign w:val="center"/>
          </w:tcPr>
          <w:p w14:paraId="4B995292">
            <w:pPr>
              <w:pStyle w:val="185"/>
              <w:rPr>
                <w:rFonts w:hint="default" w:ascii="Times New Roman" w:hAnsi="Times New Roman" w:cs="Times New Roman"/>
                <w:color w:val="000000"/>
                <w:highlight w:val="none"/>
              </w:rPr>
            </w:pPr>
          </w:p>
        </w:tc>
        <w:tc>
          <w:tcPr>
            <w:tcW w:w="1250" w:type="pct"/>
            <w:vMerge w:val="continue"/>
            <w:shd w:val="clear" w:color="auto" w:fill="auto"/>
            <w:vAlign w:val="center"/>
          </w:tcPr>
          <w:p w14:paraId="54018913">
            <w:pPr>
              <w:pStyle w:val="185"/>
              <w:rPr>
                <w:rFonts w:hint="default" w:ascii="Times New Roman" w:hAnsi="Times New Roman" w:cs="Times New Roman"/>
                <w:color w:val="000000"/>
                <w:highlight w:val="none"/>
              </w:rPr>
            </w:pPr>
          </w:p>
        </w:tc>
        <w:tc>
          <w:tcPr>
            <w:tcW w:w="1001" w:type="pct"/>
            <w:shd w:val="clear" w:color="auto" w:fill="auto"/>
            <w:vAlign w:val="center"/>
          </w:tcPr>
          <w:p w14:paraId="59F4762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1266286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污水脱硫塔（1个）、污水过滤罐（1个）、20000方污水沉降罐（1个）、9000方注水罐（1个）、12000方原油罐区（1个）；</w:t>
            </w:r>
          </w:p>
        </w:tc>
      </w:tr>
      <w:tr w14:paraId="53F4C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restart"/>
            <w:shd w:val="clear" w:color="auto" w:fill="auto"/>
            <w:vAlign w:val="center"/>
          </w:tcPr>
          <w:p w14:paraId="69D76E0D">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3</w:t>
            </w:r>
          </w:p>
        </w:tc>
        <w:tc>
          <w:tcPr>
            <w:tcW w:w="1250" w:type="pct"/>
            <w:vMerge w:val="restart"/>
            <w:shd w:val="clear" w:color="auto" w:fill="auto"/>
            <w:vAlign w:val="center"/>
          </w:tcPr>
          <w:p w14:paraId="08A5D82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魏岗联合站</w:t>
            </w:r>
          </w:p>
        </w:tc>
        <w:tc>
          <w:tcPr>
            <w:tcW w:w="1001" w:type="pct"/>
            <w:shd w:val="clear" w:color="auto" w:fill="auto"/>
            <w:vAlign w:val="center"/>
          </w:tcPr>
          <w:p w14:paraId="5D61BABD">
            <w:pPr>
              <w:pStyle w:val="185"/>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highlight w:val="none"/>
              </w:rPr>
              <w:t>一类单元</w:t>
            </w:r>
          </w:p>
        </w:tc>
        <w:tc>
          <w:tcPr>
            <w:tcW w:w="2245" w:type="pct"/>
            <w:shd w:val="clear" w:color="auto" w:fill="auto"/>
            <w:vAlign w:val="center"/>
          </w:tcPr>
          <w:p w14:paraId="0945C07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魏联污水池</w:t>
            </w:r>
          </w:p>
        </w:tc>
      </w:tr>
      <w:tr w14:paraId="79AD4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continue"/>
            <w:shd w:val="clear" w:color="auto" w:fill="auto"/>
            <w:vAlign w:val="center"/>
          </w:tcPr>
          <w:p w14:paraId="24B53538">
            <w:pPr>
              <w:pStyle w:val="185"/>
              <w:rPr>
                <w:rFonts w:hint="default" w:ascii="Times New Roman" w:hAnsi="Times New Roman" w:cs="Times New Roman"/>
                <w:color w:val="000000"/>
                <w:highlight w:val="none"/>
              </w:rPr>
            </w:pPr>
          </w:p>
        </w:tc>
        <w:tc>
          <w:tcPr>
            <w:tcW w:w="1250" w:type="pct"/>
            <w:vMerge w:val="continue"/>
            <w:shd w:val="clear" w:color="auto" w:fill="auto"/>
            <w:vAlign w:val="center"/>
          </w:tcPr>
          <w:p w14:paraId="3617DC72">
            <w:pPr>
              <w:pStyle w:val="185"/>
              <w:rPr>
                <w:rFonts w:hint="default" w:ascii="Times New Roman" w:hAnsi="Times New Roman" w:cs="Times New Roman"/>
                <w:color w:val="000000"/>
                <w:highlight w:val="none"/>
              </w:rPr>
            </w:pPr>
          </w:p>
        </w:tc>
        <w:tc>
          <w:tcPr>
            <w:tcW w:w="1001" w:type="pct"/>
            <w:shd w:val="clear" w:color="auto" w:fill="auto"/>
            <w:vAlign w:val="center"/>
          </w:tcPr>
          <w:p w14:paraId="41C6E46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59F5792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1#、2#、3#、4#原油罐区（1个）；污水罐区（1个）；5#、6#原油罐区（1个）；</w:t>
            </w:r>
          </w:p>
        </w:tc>
      </w:tr>
      <w:tr w14:paraId="1392F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restart"/>
            <w:shd w:val="clear" w:color="auto" w:fill="auto"/>
            <w:vAlign w:val="center"/>
          </w:tcPr>
          <w:p w14:paraId="32864489">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4</w:t>
            </w:r>
          </w:p>
        </w:tc>
        <w:tc>
          <w:tcPr>
            <w:tcW w:w="1250" w:type="pct"/>
            <w:vMerge w:val="restart"/>
            <w:shd w:val="clear" w:color="auto" w:fill="auto"/>
            <w:vAlign w:val="center"/>
          </w:tcPr>
          <w:p w14:paraId="5A9E195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w:t>
            </w:r>
          </w:p>
        </w:tc>
        <w:tc>
          <w:tcPr>
            <w:tcW w:w="1001" w:type="pct"/>
            <w:shd w:val="clear" w:color="auto" w:fill="auto"/>
            <w:vAlign w:val="center"/>
          </w:tcPr>
          <w:p w14:paraId="7E4034F0">
            <w:pPr>
              <w:pStyle w:val="185"/>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highlight w:val="none"/>
              </w:rPr>
              <w:t>一类单元</w:t>
            </w:r>
          </w:p>
        </w:tc>
        <w:tc>
          <w:tcPr>
            <w:tcW w:w="2245" w:type="pct"/>
            <w:shd w:val="clear" w:color="auto" w:fill="auto"/>
            <w:vAlign w:val="center"/>
          </w:tcPr>
          <w:p w14:paraId="003BDCD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污油池</w:t>
            </w:r>
          </w:p>
        </w:tc>
      </w:tr>
      <w:tr w14:paraId="0AA148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continue"/>
            <w:shd w:val="clear" w:color="auto" w:fill="auto"/>
            <w:vAlign w:val="center"/>
          </w:tcPr>
          <w:p w14:paraId="08A83E0F">
            <w:pPr>
              <w:pStyle w:val="185"/>
              <w:rPr>
                <w:rFonts w:hint="default" w:ascii="Times New Roman" w:hAnsi="Times New Roman" w:cs="Times New Roman"/>
                <w:color w:val="000000"/>
                <w:highlight w:val="none"/>
              </w:rPr>
            </w:pPr>
          </w:p>
        </w:tc>
        <w:tc>
          <w:tcPr>
            <w:tcW w:w="1250" w:type="pct"/>
            <w:vMerge w:val="continue"/>
            <w:shd w:val="clear" w:color="auto" w:fill="auto"/>
            <w:vAlign w:val="center"/>
          </w:tcPr>
          <w:p w14:paraId="39617A8E">
            <w:pPr>
              <w:pStyle w:val="185"/>
              <w:rPr>
                <w:rFonts w:hint="default" w:ascii="Times New Roman" w:hAnsi="Times New Roman" w:cs="Times New Roman"/>
                <w:color w:val="000000"/>
                <w:highlight w:val="none"/>
              </w:rPr>
            </w:pPr>
          </w:p>
        </w:tc>
        <w:tc>
          <w:tcPr>
            <w:tcW w:w="1001" w:type="pct"/>
            <w:shd w:val="clear" w:color="auto" w:fill="auto"/>
            <w:vAlign w:val="center"/>
          </w:tcPr>
          <w:p w14:paraId="6BA772F4">
            <w:pPr>
              <w:pStyle w:val="185"/>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highlight w:val="none"/>
              </w:rPr>
              <w:t>二类单元</w:t>
            </w:r>
          </w:p>
        </w:tc>
        <w:tc>
          <w:tcPr>
            <w:tcW w:w="2245" w:type="pct"/>
            <w:shd w:val="clear" w:color="auto" w:fill="auto"/>
            <w:vAlign w:val="center"/>
          </w:tcPr>
          <w:p w14:paraId="11F1F71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2000m³污水沉降罐储罐、1000m³反洗水回收罐、500m³注水罐（1个）；事故罐、原油缓冲罐、掺水罐（1个）；</w:t>
            </w:r>
          </w:p>
        </w:tc>
      </w:tr>
      <w:tr w14:paraId="38D4C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restart"/>
            <w:shd w:val="clear" w:color="auto" w:fill="auto"/>
            <w:vAlign w:val="center"/>
          </w:tcPr>
          <w:p w14:paraId="686E29CE">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5</w:t>
            </w:r>
          </w:p>
        </w:tc>
        <w:tc>
          <w:tcPr>
            <w:tcW w:w="1250" w:type="pct"/>
            <w:vMerge w:val="restart"/>
            <w:shd w:val="clear" w:color="auto" w:fill="auto"/>
            <w:vAlign w:val="center"/>
          </w:tcPr>
          <w:p w14:paraId="6546A19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赵凹转油站</w:t>
            </w:r>
          </w:p>
        </w:tc>
        <w:tc>
          <w:tcPr>
            <w:tcW w:w="1001" w:type="pct"/>
            <w:shd w:val="clear" w:color="auto" w:fill="auto"/>
            <w:vAlign w:val="center"/>
          </w:tcPr>
          <w:p w14:paraId="61B140CB">
            <w:pPr>
              <w:pStyle w:val="185"/>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highlight w:val="none"/>
              </w:rPr>
              <w:t>一类单元</w:t>
            </w:r>
          </w:p>
        </w:tc>
        <w:tc>
          <w:tcPr>
            <w:tcW w:w="2245" w:type="pct"/>
            <w:shd w:val="clear" w:color="auto" w:fill="auto"/>
            <w:vAlign w:val="center"/>
          </w:tcPr>
          <w:p w14:paraId="680F950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污油池</w:t>
            </w:r>
          </w:p>
        </w:tc>
      </w:tr>
      <w:tr w14:paraId="6B819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vMerge w:val="continue"/>
            <w:shd w:val="clear" w:color="auto" w:fill="auto"/>
            <w:vAlign w:val="center"/>
          </w:tcPr>
          <w:p w14:paraId="5537631F">
            <w:pPr>
              <w:pStyle w:val="185"/>
              <w:rPr>
                <w:rFonts w:hint="default" w:ascii="Times New Roman" w:hAnsi="Times New Roman" w:cs="Times New Roman"/>
                <w:color w:val="000000"/>
                <w:highlight w:val="none"/>
              </w:rPr>
            </w:pPr>
          </w:p>
        </w:tc>
        <w:tc>
          <w:tcPr>
            <w:tcW w:w="1250" w:type="pct"/>
            <w:vMerge w:val="continue"/>
            <w:shd w:val="clear" w:color="auto" w:fill="auto"/>
            <w:vAlign w:val="center"/>
          </w:tcPr>
          <w:p w14:paraId="48E2914D">
            <w:pPr>
              <w:pStyle w:val="185"/>
              <w:rPr>
                <w:rFonts w:hint="default" w:ascii="Times New Roman" w:hAnsi="Times New Roman" w:cs="Times New Roman"/>
                <w:color w:val="000000"/>
                <w:highlight w:val="none"/>
              </w:rPr>
            </w:pPr>
          </w:p>
        </w:tc>
        <w:tc>
          <w:tcPr>
            <w:tcW w:w="1001" w:type="pct"/>
            <w:shd w:val="clear" w:color="auto" w:fill="auto"/>
            <w:vAlign w:val="center"/>
          </w:tcPr>
          <w:p w14:paraId="36ED062C">
            <w:pPr>
              <w:pStyle w:val="185"/>
              <w:rPr>
                <w:rFonts w:hint="default" w:ascii="Times New Roman" w:hAnsi="Times New Roman" w:eastAsia="宋体" w:cs="Times New Roman"/>
                <w:color w:val="000000"/>
                <w:kern w:val="2"/>
                <w:sz w:val="21"/>
                <w:szCs w:val="21"/>
                <w:highlight w:val="none"/>
                <w:lang w:val="en-US" w:eastAsia="zh-CN" w:bidi="ar-SA"/>
              </w:rPr>
            </w:pPr>
            <w:r>
              <w:rPr>
                <w:rFonts w:hint="default" w:ascii="Times New Roman" w:hAnsi="Times New Roman" w:cs="Times New Roman"/>
                <w:color w:val="000000"/>
                <w:highlight w:val="none"/>
              </w:rPr>
              <w:t>二类单元</w:t>
            </w:r>
          </w:p>
        </w:tc>
        <w:tc>
          <w:tcPr>
            <w:tcW w:w="2245" w:type="pct"/>
            <w:shd w:val="clear" w:color="auto" w:fill="auto"/>
            <w:vAlign w:val="center"/>
          </w:tcPr>
          <w:p w14:paraId="3E129F9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事故罐、掺水罐、原油缓冲罐（1个）</w:t>
            </w:r>
          </w:p>
        </w:tc>
      </w:tr>
      <w:tr w14:paraId="1F797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shd w:val="clear" w:color="auto" w:fill="auto"/>
            <w:vAlign w:val="center"/>
          </w:tcPr>
          <w:p w14:paraId="650C92DE">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6</w:t>
            </w:r>
          </w:p>
        </w:tc>
        <w:tc>
          <w:tcPr>
            <w:tcW w:w="1250" w:type="pct"/>
            <w:shd w:val="clear" w:color="auto" w:fill="auto"/>
            <w:vAlign w:val="center"/>
          </w:tcPr>
          <w:p w14:paraId="2E6B424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w:t>
            </w:r>
          </w:p>
        </w:tc>
        <w:tc>
          <w:tcPr>
            <w:tcW w:w="1001" w:type="pct"/>
            <w:shd w:val="clear" w:color="auto" w:fill="auto"/>
            <w:vAlign w:val="center"/>
          </w:tcPr>
          <w:p w14:paraId="63D9E89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39BCEA6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气浮选池、1#、2#700 m³污水沉降罐、1#、2#、3#污水脱硫塔（1个）；1#、2#1500 m³注水罐、一级、二级污水过滤罐 （1个）；1#、2#5000 m³原油储罐、3#、4#5000 m³污水沉降罐（1个）;</w:t>
            </w:r>
          </w:p>
        </w:tc>
      </w:tr>
      <w:tr w14:paraId="7CE27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shd w:val="clear" w:color="auto" w:fill="auto"/>
            <w:vAlign w:val="center"/>
          </w:tcPr>
          <w:p w14:paraId="115C0EB0">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7</w:t>
            </w:r>
          </w:p>
        </w:tc>
        <w:tc>
          <w:tcPr>
            <w:tcW w:w="1250" w:type="pct"/>
            <w:shd w:val="clear" w:color="auto" w:fill="auto"/>
            <w:vAlign w:val="center"/>
          </w:tcPr>
          <w:p w14:paraId="13AC248C">
            <w:pPr>
              <w:pStyle w:val="185"/>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双联固化厂油泥砂暂存场</w:t>
            </w:r>
            <w:r>
              <w:rPr>
                <w:rFonts w:hint="eastAsia" w:ascii="Times New Roman" w:hAnsi="Times New Roman" w:cs="Times New Roman"/>
                <w:color w:val="000000"/>
                <w:highlight w:val="none"/>
                <w:lang w:eastAsia="zh-CN"/>
              </w:rPr>
              <w:t>（</w:t>
            </w:r>
            <w:r>
              <w:rPr>
                <w:rFonts w:hint="eastAsia" w:ascii="Times New Roman" w:hAnsi="Times New Roman" w:cs="Times New Roman"/>
                <w:color w:val="000000"/>
                <w:highlight w:val="none"/>
                <w:lang w:val="en-US" w:eastAsia="zh-CN"/>
              </w:rPr>
              <w:t>年计划为4个</w:t>
            </w:r>
            <w:r>
              <w:rPr>
                <w:rFonts w:hint="eastAsia" w:ascii="Times New Roman" w:hAnsi="Times New Roman" w:cs="Times New Roman"/>
                <w:color w:val="000000"/>
                <w:highlight w:val="none"/>
                <w:lang w:eastAsia="zh-CN"/>
              </w:rPr>
              <w:t>）</w:t>
            </w:r>
          </w:p>
        </w:tc>
        <w:tc>
          <w:tcPr>
            <w:tcW w:w="1001" w:type="pct"/>
            <w:shd w:val="clear" w:color="auto" w:fill="auto"/>
            <w:vAlign w:val="center"/>
          </w:tcPr>
          <w:p w14:paraId="4E02C1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5AC97035">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1#油泥砂暂存棚、2#油泥砂暂存棚、3#油泥砂暂存棚</w:t>
            </w:r>
          </w:p>
        </w:tc>
      </w:tr>
      <w:tr w14:paraId="231E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shd w:val="clear" w:color="auto" w:fill="auto"/>
            <w:vAlign w:val="center"/>
          </w:tcPr>
          <w:p w14:paraId="17F51541">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8</w:t>
            </w:r>
          </w:p>
        </w:tc>
        <w:tc>
          <w:tcPr>
            <w:tcW w:w="1250" w:type="pct"/>
            <w:shd w:val="clear" w:color="auto" w:fill="auto"/>
            <w:vAlign w:val="center"/>
          </w:tcPr>
          <w:p w14:paraId="303D275F">
            <w:pPr>
              <w:pStyle w:val="185"/>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魏岗联合站危废暂存棚</w:t>
            </w:r>
            <w:r>
              <w:rPr>
                <w:rFonts w:hint="eastAsia" w:ascii="Times New Roman" w:hAnsi="Times New Roman" w:cs="Times New Roman"/>
                <w:color w:val="000000"/>
                <w:highlight w:val="none"/>
                <w:lang w:eastAsia="zh-CN"/>
              </w:rPr>
              <w:t>（</w:t>
            </w:r>
            <w:r>
              <w:rPr>
                <w:rFonts w:hint="eastAsia" w:ascii="Times New Roman" w:hAnsi="Times New Roman" w:cs="Times New Roman"/>
                <w:color w:val="000000"/>
                <w:highlight w:val="none"/>
                <w:lang w:val="en-US" w:eastAsia="zh-CN"/>
              </w:rPr>
              <w:t>年计划为1个</w:t>
            </w:r>
            <w:r>
              <w:rPr>
                <w:rFonts w:hint="eastAsia" w:ascii="Times New Roman" w:hAnsi="Times New Roman" w:cs="Times New Roman"/>
                <w:color w:val="000000"/>
                <w:highlight w:val="none"/>
                <w:lang w:eastAsia="zh-CN"/>
              </w:rPr>
              <w:t>）</w:t>
            </w:r>
          </w:p>
        </w:tc>
        <w:tc>
          <w:tcPr>
            <w:tcW w:w="1001" w:type="pct"/>
            <w:shd w:val="clear" w:color="auto" w:fill="auto"/>
            <w:vAlign w:val="center"/>
          </w:tcPr>
          <w:p w14:paraId="351C294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146934E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1#油泥砂暂存棚、2#油泥砂暂存棚</w:t>
            </w:r>
          </w:p>
        </w:tc>
      </w:tr>
      <w:tr w14:paraId="65C47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502" w:type="pct"/>
            <w:shd w:val="clear" w:color="auto" w:fill="auto"/>
            <w:vAlign w:val="center"/>
          </w:tcPr>
          <w:p w14:paraId="65464145">
            <w:pPr>
              <w:pStyle w:val="18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9</w:t>
            </w:r>
          </w:p>
        </w:tc>
        <w:tc>
          <w:tcPr>
            <w:tcW w:w="1250" w:type="pct"/>
            <w:shd w:val="clear" w:color="auto" w:fill="auto"/>
            <w:vAlign w:val="center"/>
          </w:tcPr>
          <w:p w14:paraId="5342D1B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下二门联合站危废暂存棚</w:t>
            </w:r>
            <w:r>
              <w:rPr>
                <w:rFonts w:hint="eastAsia" w:ascii="Times New Roman" w:hAnsi="Times New Roman" w:cs="Times New Roman"/>
                <w:color w:val="000000"/>
                <w:highlight w:val="none"/>
                <w:lang w:eastAsia="zh-CN"/>
              </w:rPr>
              <w:t>（</w:t>
            </w:r>
            <w:r>
              <w:rPr>
                <w:rFonts w:hint="eastAsia" w:ascii="Times New Roman" w:hAnsi="Times New Roman" w:cs="Times New Roman"/>
                <w:color w:val="000000"/>
                <w:highlight w:val="none"/>
                <w:lang w:val="en-US" w:eastAsia="zh-CN"/>
              </w:rPr>
              <w:t>年计划为1个</w:t>
            </w:r>
            <w:r>
              <w:rPr>
                <w:rFonts w:hint="eastAsia" w:ascii="Times New Roman" w:hAnsi="Times New Roman" w:cs="Times New Roman"/>
                <w:color w:val="000000"/>
                <w:highlight w:val="none"/>
                <w:lang w:eastAsia="zh-CN"/>
              </w:rPr>
              <w:t>）</w:t>
            </w:r>
          </w:p>
        </w:tc>
        <w:tc>
          <w:tcPr>
            <w:tcW w:w="1001" w:type="pct"/>
            <w:shd w:val="clear" w:color="auto" w:fill="auto"/>
            <w:vAlign w:val="center"/>
          </w:tcPr>
          <w:p w14:paraId="4574A85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二类单元</w:t>
            </w:r>
          </w:p>
        </w:tc>
        <w:tc>
          <w:tcPr>
            <w:tcW w:w="2245" w:type="pct"/>
            <w:shd w:val="clear" w:color="auto" w:fill="auto"/>
            <w:vAlign w:val="center"/>
          </w:tcPr>
          <w:p w14:paraId="276B987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油泥砂暂存棚、干化池</w:t>
            </w:r>
          </w:p>
        </w:tc>
      </w:tr>
    </w:tbl>
    <w:p w14:paraId="1AE6AD7E">
      <w:pPr>
        <w:pStyle w:val="96"/>
        <w:spacing w:before="156"/>
        <w:rPr>
          <w:rFonts w:hint="default" w:ascii="Times New Roman" w:hAnsi="Times New Roman" w:cs="Times New Roman"/>
          <w:color w:val="000000"/>
          <w:highlight w:val="none"/>
        </w:rPr>
      </w:pPr>
    </w:p>
    <w:p w14:paraId="415663B9">
      <w:pPr>
        <w:pStyle w:val="3"/>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监测点位及示意图 </w:t>
      </w:r>
    </w:p>
    <w:p w14:paraId="2A3C9729">
      <w:pPr>
        <w:ind w:firstLine="480"/>
        <w:rPr>
          <w:rFonts w:hint="default" w:ascii="Times New Roman" w:hAnsi="Times New Roman" w:cs="Times New Roman"/>
          <w:color w:val="000000"/>
          <w:highlight w:val="none"/>
        </w:rPr>
      </w:pPr>
      <w:r>
        <w:rPr>
          <w:rFonts w:hint="default" w:ascii="Times New Roman" w:hAnsi="Times New Roman" w:cs="Times New Roman"/>
          <w:color w:val="000000"/>
          <w:highlight w:val="none"/>
        </w:rPr>
        <w:t>根据《工业企业土壤和地下水自行监测技术指南（试行）》（HJ1209—2021）和油田环境监测管理计划要求，在场站土壤地下水重点监测单元和输油干线两侧布设土壤和地下水监测点位，详见</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 REF _Ref174696570 \h </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表 19</w:t>
      </w:r>
      <w:r>
        <w:rPr>
          <w:rFonts w:hint="default" w:ascii="Times New Roman" w:hAnsi="Times New Roman" w:cs="Times New Roman"/>
          <w:color w:val="000000"/>
          <w:highlight w:val="none"/>
        </w:rPr>
        <w:fldChar w:fldCharType="end"/>
      </w:r>
      <w:r>
        <w:rPr>
          <w:rFonts w:hint="default" w:ascii="Times New Roman" w:hAnsi="Times New Roman" w:cs="Times New Roman"/>
          <w:color w:val="000000"/>
          <w:highlight w:val="none"/>
        </w:rPr>
        <w:t>和</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 REF _Ref174696574 \h </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图 6</w:t>
      </w:r>
      <w:r>
        <w:rPr>
          <w:rFonts w:hint="default" w:ascii="Times New Roman" w:hAnsi="Times New Roman" w:cs="Times New Roman"/>
          <w:color w:val="000000"/>
          <w:highlight w:val="none"/>
        </w:rPr>
        <w:fldChar w:fldCharType="end"/>
      </w:r>
      <w:r>
        <w:rPr>
          <w:rFonts w:hint="default" w:ascii="Times New Roman" w:hAnsi="Times New Roman" w:cs="Times New Roman"/>
          <w:color w:val="000000"/>
          <w:highlight w:val="none"/>
        </w:rPr>
        <w:t>。</w:t>
      </w:r>
    </w:p>
    <w:p w14:paraId="391274E0">
      <w:pPr>
        <w:ind w:firstLine="480"/>
        <w:rPr>
          <w:rFonts w:hint="default" w:ascii="Times New Roman" w:hAnsi="Times New Roman" w:cs="Times New Roman"/>
          <w:color w:val="000000"/>
          <w:highlight w:val="none"/>
        </w:rPr>
      </w:pPr>
    </w:p>
    <w:p w14:paraId="717FC966">
      <w:pPr>
        <w:pStyle w:val="99"/>
        <w:rPr>
          <w:rFonts w:hint="default" w:ascii="Times New Roman" w:hAnsi="Times New Roman" w:cs="Times New Roman"/>
          <w:color w:val="000000"/>
          <w:highlight w:val="none"/>
        </w:rPr>
      </w:pPr>
      <w:bookmarkStart w:id="26" w:name="_Ref174696570"/>
      <w:r>
        <w:rPr>
          <w:rFonts w:hint="default" w:ascii="Times New Roman" w:hAnsi="Times New Roman" w:cs="Times New Roman"/>
          <w:color w:val="000000"/>
          <w:highlight w:val="none"/>
        </w:rPr>
        <w:t xml:space="preserve">表 </w:t>
      </w:r>
      <w:r>
        <w:rPr>
          <w:rFonts w:hint="default" w:ascii="Times New Roman" w:hAnsi="Times New Roman" w:cs="Times New Roman"/>
          <w:color w:val="000000"/>
          <w:highlight w:val="none"/>
        </w:rPr>
        <w:fldChar w:fldCharType="begin"/>
      </w:r>
      <w:r>
        <w:rPr>
          <w:rFonts w:hint="default" w:ascii="Times New Roman" w:hAnsi="Times New Roman" w:cs="Times New Roman"/>
          <w:color w:val="000000"/>
          <w:highlight w:val="none"/>
        </w:rPr>
        <w:instrText xml:space="preserve">SEQ 表 \* ARABIC</w:instrText>
      </w:r>
      <w:r>
        <w:rPr>
          <w:rFonts w:hint="default" w:ascii="Times New Roman" w:hAnsi="Times New Roman" w:cs="Times New Roman"/>
          <w:color w:val="000000"/>
          <w:highlight w:val="none"/>
        </w:rPr>
        <w:fldChar w:fldCharType="separate"/>
      </w:r>
      <w:r>
        <w:rPr>
          <w:rFonts w:hint="default" w:ascii="Times New Roman" w:hAnsi="Times New Roman" w:cs="Times New Roman"/>
          <w:color w:val="000000"/>
          <w:highlight w:val="none"/>
        </w:rPr>
        <w:t>19</w:t>
      </w:r>
      <w:r>
        <w:rPr>
          <w:rFonts w:hint="default" w:ascii="Times New Roman" w:hAnsi="Times New Roman" w:cs="Times New Roman"/>
          <w:color w:val="000000"/>
          <w:highlight w:val="none"/>
        </w:rPr>
        <w:fldChar w:fldCharType="end"/>
      </w:r>
      <w:bookmarkEnd w:id="26"/>
      <w:r>
        <w:rPr>
          <w:rFonts w:hint="default" w:ascii="Times New Roman" w:hAnsi="Times New Roman" w:cs="Times New Roman"/>
          <w:color w:val="000000"/>
          <w:highlight w:val="none"/>
        </w:rPr>
        <w:t xml:space="preserve">  土壤和地下水监测点位统计表</w:t>
      </w:r>
    </w:p>
    <w:tbl>
      <w:tblPr>
        <w:tblStyle w:val="3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7"/>
        <w:gridCol w:w="1472"/>
        <w:gridCol w:w="3682"/>
        <w:gridCol w:w="1878"/>
        <w:gridCol w:w="3608"/>
        <w:gridCol w:w="2227"/>
      </w:tblGrid>
      <w:tr w14:paraId="5729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tblHeader/>
          <w:jc w:val="center"/>
        </w:trPr>
        <w:tc>
          <w:tcPr>
            <w:tcW w:w="461" w:type="pct"/>
            <w:vAlign w:val="center"/>
          </w:tcPr>
          <w:p w14:paraId="08759F70">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站名</w:t>
            </w:r>
          </w:p>
        </w:tc>
        <w:tc>
          <w:tcPr>
            <w:tcW w:w="519" w:type="pct"/>
            <w:vAlign w:val="center"/>
          </w:tcPr>
          <w:p w14:paraId="4EF30837">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类别</w:t>
            </w:r>
          </w:p>
        </w:tc>
        <w:tc>
          <w:tcPr>
            <w:tcW w:w="1298" w:type="pct"/>
            <w:vAlign w:val="center"/>
          </w:tcPr>
          <w:p w14:paraId="51294062">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点位编号</w:t>
            </w:r>
          </w:p>
        </w:tc>
        <w:tc>
          <w:tcPr>
            <w:tcW w:w="662" w:type="pct"/>
            <w:vAlign w:val="center"/>
          </w:tcPr>
          <w:p w14:paraId="392CF531">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位置</w:t>
            </w:r>
          </w:p>
        </w:tc>
        <w:tc>
          <w:tcPr>
            <w:tcW w:w="1272" w:type="pct"/>
          </w:tcPr>
          <w:p w14:paraId="24664576">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坐标</w:t>
            </w:r>
          </w:p>
        </w:tc>
        <w:tc>
          <w:tcPr>
            <w:tcW w:w="785" w:type="pct"/>
            <w:vAlign w:val="center"/>
          </w:tcPr>
          <w:p w14:paraId="0BE5EDB5">
            <w:pPr>
              <w:pStyle w:val="99"/>
              <w:rPr>
                <w:rFonts w:hint="default" w:ascii="Times New Roman" w:hAnsi="Times New Roman" w:cs="Times New Roman"/>
                <w:color w:val="000000"/>
                <w:highlight w:val="none"/>
              </w:rPr>
            </w:pPr>
            <w:r>
              <w:rPr>
                <w:rFonts w:hint="default" w:ascii="Times New Roman" w:hAnsi="Times New Roman" w:cs="Times New Roman"/>
                <w:color w:val="000000"/>
                <w:highlight w:val="none"/>
              </w:rPr>
              <w:t>备注</w:t>
            </w:r>
          </w:p>
        </w:tc>
      </w:tr>
      <w:tr w14:paraId="15458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1" w:type="pct"/>
            <w:vMerge w:val="restart"/>
            <w:vAlign w:val="center"/>
          </w:tcPr>
          <w:p w14:paraId="2F1BB5F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双河联合站</w:t>
            </w:r>
          </w:p>
        </w:tc>
        <w:tc>
          <w:tcPr>
            <w:tcW w:w="519" w:type="pct"/>
            <w:vAlign w:val="center"/>
          </w:tcPr>
          <w:p w14:paraId="675FFA4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0176A4F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T1</w:t>
            </w:r>
          </w:p>
        </w:tc>
        <w:tc>
          <w:tcPr>
            <w:tcW w:w="662" w:type="pct"/>
            <w:vAlign w:val="center"/>
          </w:tcPr>
          <w:p w14:paraId="6FC20B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500m3三级隔油池</w:t>
            </w:r>
          </w:p>
        </w:tc>
        <w:tc>
          <w:tcPr>
            <w:tcW w:w="1272" w:type="pct"/>
            <w:vAlign w:val="center"/>
          </w:tcPr>
          <w:p w14:paraId="4E4E7D63">
            <w:pPr>
              <w:pStyle w:val="185"/>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lang w:val="en-US" w:eastAsia="zh-CN"/>
              </w:rPr>
              <w:t>113°15′37.68″  32°38′35.33″</w:t>
            </w:r>
          </w:p>
        </w:tc>
        <w:tc>
          <w:tcPr>
            <w:tcW w:w="785" w:type="pct"/>
            <w:vAlign w:val="center"/>
          </w:tcPr>
          <w:p w14:paraId="1C601E8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08180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76ED88C">
            <w:pPr>
              <w:pStyle w:val="182"/>
              <w:rPr>
                <w:rFonts w:hint="default" w:ascii="Times New Roman" w:hAnsi="Times New Roman" w:cs="Times New Roman"/>
                <w:color w:val="000000"/>
                <w:highlight w:val="none"/>
              </w:rPr>
            </w:pPr>
          </w:p>
        </w:tc>
        <w:tc>
          <w:tcPr>
            <w:tcW w:w="519" w:type="pct"/>
            <w:vAlign w:val="center"/>
          </w:tcPr>
          <w:p w14:paraId="1370499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56FDF66D">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T2</w:t>
            </w:r>
          </w:p>
        </w:tc>
        <w:tc>
          <w:tcPr>
            <w:tcW w:w="662" w:type="pct"/>
            <w:vAlign w:val="center"/>
          </w:tcPr>
          <w:p w14:paraId="41F4910E">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2000方污水池</w:t>
            </w:r>
          </w:p>
        </w:tc>
        <w:tc>
          <w:tcPr>
            <w:tcW w:w="1272" w:type="pct"/>
            <w:vAlign w:val="center"/>
          </w:tcPr>
          <w:p w14:paraId="33A91EB7">
            <w:pPr>
              <w:pStyle w:val="185"/>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val="en-US" w:eastAsia="zh-CN"/>
              </w:rPr>
              <w:t>113°15′37.68″  32°38′35.33″</w:t>
            </w:r>
          </w:p>
        </w:tc>
        <w:tc>
          <w:tcPr>
            <w:tcW w:w="785" w:type="pct"/>
            <w:vAlign w:val="center"/>
          </w:tcPr>
          <w:p w14:paraId="3F6DF30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22BDC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D95D413">
            <w:pPr>
              <w:pStyle w:val="182"/>
              <w:rPr>
                <w:rFonts w:hint="default" w:ascii="Times New Roman" w:hAnsi="Times New Roman" w:cs="Times New Roman"/>
                <w:color w:val="000000"/>
                <w:highlight w:val="none"/>
              </w:rPr>
            </w:pPr>
          </w:p>
        </w:tc>
        <w:tc>
          <w:tcPr>
            <w:tcW w:w="519" w:type="pct"/>
            <w:vAlign w:val="center"/>
          </w:tcPr>
          <w:p w14:paraId="5C361A2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7528FD4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T3</w:t>
            </w:r>
          </w:p>
        </w:tc>
        <w:tc>
          <w:tcPr>
            <w:tcW w:w="662" w:type="pct"/>
            <w:vAlign w:val="center"/>
          </w:tcPr>
          <w:p w14:paraId="2FA8C176">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污水脱硫塔</w:t>
            </w:r>
          </w:p>
        </w:tc>
        <w:tc>
          <w:tcPr>
            <w:tcW w:w="1272" w:type="pct"/>
            <w:vAlign w:val="center"/>
          </w:tcPr>
          <w:p w14:paraId="646226F8">
            <w:pPr>
              <w:pStyle w:val="185"/>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val="en-US" w:eastAsia="zh-CN"/>
              </w:rPr>
              <w:t>113°15′37.68″  32°38′35.33″</w:t>
            </w:r>
          </w:p>
        </w:tc>
        <w:tc>
          <w:tcPr>
            <w:tcW w:w="785" w:type="pct"/>
            <w:vAlign w:val="center"/>
          </w:tcPr>
          <w:p w14:paraId="3AE05A5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678DF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E70B29A">
            <w:pPr>
              <w:pStyle w:val="182"/>
              <w:rPr>
                <w:rFonts w:hint="default" w:ascii="Times New Roman" w:hAnsi="Times New Roman" w:cs="Times New Roman"/>
                <w:color w:val="000000"/>
                <w:highlight w:val="none"/>
              </w:rPr>
            </w:pPr>
          </w:p>
        </w:tc>
        <w:tc>
          <w:tcPr>
            <w:tcW w:w="519" w:type="pct"/>
            <w:vAlign w:val="center"/>
          </w:tcPr>
          <w:p w14:paraId="43905AD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7129C79C">
            <w:pPr>
              <w:pStyle w:val="182"/>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T4</w:t>
            </w:r>
          </w:p>
        </w:tc>
        <w:tc>
          <w:tcPr>
            <w:tcW w:w="662" w:type="pct"/>
            <w:vAlign w:val="center"/>
          </w:tcPr>
          <w:p w14:paraId="5328DFAB">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污水过滤罐</w:t>
            </w:r>
          </w:p>
        </w:tc>
        <w:tc>
          <w:tcPr>
            <w:tcW w:w="1272" w:type="pct"/>
            <w:vAlign w:val="center"/>
          </w:tcPr>
          <w:p w14:paraId="23B02F02">
            <w:pPr>
              <w:pStyle w:val="185"/>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val="en-US" w:eastAsia="zh-CN"/>
              </w:rPr>
              <w:t>113°15′37.68″  32°38′35.33″</w:t>
            </w:r>
          </w:p>
        </w:tc>
        <w:tc>
          <w:tcPr>
            <w:tcW w:w="785" w:type="pct"/>
            <w:vAlign w:val="center"/>
          </w:tcPr>
          <w:p w14:paraId="3203C1D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74E310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38332E1">
            <w:pPr>
              <w:pStyle w:val="182"/>
              <w:rPr>
                <w:rFonts w:hint="default" w:ascii="Times New Roman" w:hAnsi="Times New Roman" w:cs="Times New Roman"/>
                <w:color w:val="000000"/>
                <w:highlight w:val="none"/>
              </w:rPr>
            </w:pPr>
          </w:p>
        </w:tc>
        <w:tc>
          <w:tcPr>
            <w:tcW w:w="519" w:type="pct"/>
            <w:vAlign w:val="center"/>
          </w:tcPr>
          <w:p w14:paraId="15D28819">
            <w:pPr>
              <w:pStyle w:val="182"/>
              <w:rPr>
                <w:rFonts w:hint="default" w:ascii="Times New Roman" w:hAnsi="Times New Roman" w:cs="Times New Roman"/>
                <w:color w:val="ED0000"/>
                <w:highlight w:val="none"/>
              </w:rPr>
            </w:pPr>
            <w:r>
              <w:rPr>
                <w:rFonts w:hint="default" w:ascii="Times New Roman" w:hAnsi="Times New Roman" w:cs="Times New Roman"/>
                <w:color w:val="000000"/>
                <w:highlight w:val="none"/>
              </w:rPr>
              <w:t>土壤</w:t>
            </w:r>
          </w:p>
        </w:tc>
        <w:tc>
          <w:tcPr>
            <w:tcW w:w="1298" w:type="pct"/>
            <w:vAlign w:val="center"/>
          </w:tcPr>
          <w:p w14:paraId="13BC1636">
            <w:pPr>
              <w:pStyle w:val="182"/>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T5</w:t>
            </w:r>
          </w:p>
        </w:tc>
        <w:tc>
          <w:tcPr>
            <w:tcW w:w="662" w:type="pct"/>
            <w:vAlign w:val="center"/>
          </w:tcPr>
          <w:p w14:paraId="6CFD6B1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20000方污水沉降罐</w:t>
            </w:r>
          </w:p>
        </w:tc>
        <w:tc>
          <w:tcPr>
            <w:tcW w:w="1272" w:type="pct"/>
            <w:vAlign w:val="center"/>
          </w:tcPr>
          <w:p w14:paraId="017F4FA7">
            <w:pPr>
              <w:pStyle w:val="185"/>
              <w:rPr>
                <w:rFonts w:hint="default" w:ascii="Times New Roman" w:hAnsi="Times New Roman" w:eastAsia="宋体" w:cs="Times New Roman"/>
                <w:color w:val="auto"/>
                <w:highlight w:val="none"/>
                <w:lang w:eastAsia="zh-CN"/>
              </w:rPr>
            </w:pPr>
            <w:r>
              <w:rPr>
                <w:rFonts w:hint="default" w:ascii="Times New Roman" w:hAnsi="Times New Roman" w:cs="Times New Roman"/>
                <w:color w:val="auto"/>
                <w:highlight w:val="none"/>
                <w:lang w:val="en-US" w:eastAsia="zh-CN"/>
              </w:rPr>
              <w:t>113°15′37.68″  32°38′35.</w:t>
            </w:r>
            <w:r>
              <w:rPr>
                <w:rFonts w:hint="eastAsia" w:ascii="Times New Roman" w:cs="Times New Roman"/>
                <w:color w:val="auto"/>
                <w:highlight w:val="none"/>
                <w:lang w:val="en-US" w:eastAsia="zh-CN"/>
              </w:rPr>
              <w:t>34</w:t>
            </w:r>
            <w:r>
              <w:rPr>
                <w:rFonts w:hint="default" w:ascii="Times New Roman" w:hAnsi="Times New Roman" w:cs="Times New Roman"/>
                <w:color w:val="auto"/>
                <w:highlight w:val="none"/>
                <w:lang w:val="en-US" w:eastAsia="zh-CN"/>
              </w:rPr>
              <w:t>″</w:t>
            </w:r>
          </w:p>
        </w:tc>
        <w:tc>
          <w:tcPr>
            <w:tcW w:w="785" w:type="pct"/>
            <w:vAlign w:val="center"/>
          </w:tcPr>
          <w:p w14:paraId="6026E162">
            <w:pPr>
              <w:pStyle w:val="182"/>
              <w:rPr>
                <w:rFonts w:hint="default" w:ascii="Times New Roman" w:hAnsi="Times New Roman" w:cs="Times New Roman"/>
                <w:color w:val="ED0000"/>
                <w:highlight w:val="none"/>
              </w:rPr>
            </w:pPr>
            <w:r>
              <w:rPr>
                <w:rFonts w:hint="default" w:ascii="Times New Roman" w:hAnsi="Times New Roman" w:cs="Times New Roman"/>
                <w:color w:val="000000"/>
                <w:highlight w:val="none"/>
              </w:rPr>
              <w:t>浅层</w:t>
            </w:r>
          </w:p>
        </w:tc>
      </w:tr>
      <w:tr w14:paraId="51592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B469D91">
            <w:pPr>
              <w:pStyle w:val="182"/>
              <w:rPr>
                <w:rFonts w:hint="default" w:ascii="Times New Roman" w:hAnsi="Times New Roman" w:cs="Times New Roman"/>
                <w:color w:val="000000"/>
                <w:highlight w:val="none"/>
              </w:rPr>
            </w:pPr>
          </w:p>
        </w:tc>
        <w:tc>
          <w:tcPr>
            <w:tcW w:w="519" w:type="pct"/>
            <w:vAlign w:val="center"/>
          </w:tcPr>
          <w:p w14:paraId="340C0C6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6B7980AA">
            <w:pPr>
              <w:pStyle w:val="182"/>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T6</w:t>
            </w:r>
          </w:p>
        </w:tc>
        <w:tc>
          <w:tcPr>
            <w:tcW w:w="662" w:type="pct"/>
            <w:vAlign w:val="center"/>
          </w:tcPr>
          <w:p w14:paraId="1647B4A9">
            <w:pPr>
              <w:pStyle w:val="185"/>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双联固化厂油泥砂暂存场</w:t>
            </w:r>
          </w:p>
        </w:tc>
        <w:tc>
          <w:tcPr>
            <w:tcW w:w="1272" w:type="pct"/>
            <w:vAlign w:val="center"/>
          </w:tcPr>
          <w:p w14:paraId="121A0B5F">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113°15′37.</w:t>
            </w:r>
            <w:r>
              <w:rPr>
                <w:rFonts w:hint="eastAsia" w:ascii="Times New Roman" w:cs="Times New Roman"/>
                <w:color w:val="auto"/>
                <w:highlight w:val="none"/>
                <w:lang w:val="en-US" w:eastAsia="zh-CN"/>
              </w:rPr>
              <w:t>21</w:t>
            </w:r>
            <w:r>
              <w:rPr>
                <w:rFonts w:hint="default" w:ascii="Times New Roman" w:hAnsi="Times New Roman" w:cs="Times New Roman"/>
                <w:color w:val="auto"/>
                <w:highlight w:val="none"/>
                <w:lang w:val="en-US" w:eastAsia="zh-CN"/>
              </w:rPr>
              <w:t>″  32°38′35.</w:t>
            </w:r>
            <w:r>
              <w:rPr>
                <w:rFonts w:hint="eastAsia" w:ascii="Times New Roman" w:cs="Times New Roman"/>
                <w:color w:val="auto"/>
                <w:highlight w:val="none"/>
                <w:lang w:val="en-US" w:eastAsia="zh-CN"/>
              </w:rPr>
              <w:t>36</w:t>
            </w:r>
            <w:r>
              <w:rPr>
                <w:rFonts w:hint="default" w:ascii="Times New Roman" w:hAnsi="Times New Roman" w:cs="Times New Roman"/>
                <w:color w:val="auto"/>
                <w:highlight w:val="none"/>
                <w:lang w:val="en-US" w:eastAsia="zh-CN"/>
              </w:rPr>
              <w:t>″</w:t>
            </w:r>
          </w:p>
          <w:p w14:paraId="72C2B18E">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113°15′37.</w:t>
            </w:r>
            <w:r>
              <w:rPr>
                <w:rFonts w:hint="eastAsia" w:ascii="Times New Roman" w:cs="Times New Roman"/>
                <w:color w:val="auto"/>
                <w:highlight w:val="none"/>
                <w:lang w:val="en-US" w:eastAsia="zh-CN"/>
              </w:rPr>
              <w:t>35</w:t>
            </w:r>
            <w:r>
              <w:rPr>
                <w:rFonts w:hint="default" w:ascii="Times New Roman" w:hAnsi="Times New Roman" w:cs="Times New Roman"/>
                <w:color w:val="auto"/>
                <w:highlight w:val="none"/>
                <w:lang w:val="en-US" w:eastAsia="zh-CN"/>
              </w:rPr>
              <w:t>″  32°38′35</w:t>
            </w:r>
            <w:r>
              <w:rPr>
                <w:rFonts w:hint="eastAsia" w:ascii="Times New Roman" w:cs="Times New Roman"/>
                <w:color w:val="auto"/>
                <w:highlight w:val="none"/>
                <w:lang w:val="en-US" w:eastAsia="zh-CN"/>
              </w:rPr>
              <w:t>28</w:t>
            </w:r>
            <w:r>
              <w:rPr>
                <w:rFonts w:hint="default" w:ascii="Times New Roman" w:hAnsi="Times New Roman" w:cs="Times New Roman"/>
                <w:color w:val="auto"/>
                <w:highlight w:val="none"/>
                <w:lang w:val="en-US" w:eastAsia="zh-CN"/>
              </w:rPr>
              <w:t>″</w:t>
            </w:r>
          </w:p>
          <w:p w14:paraId="2306D99D">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113°15′37.</w:t>
            </w:r>
            <w:r>
              <w:rPr>
                <w:rFonts w:hint="eastAsia" w:ascii="Times New Roman" w:cs="Times New Roman"/>
                <w:color w:val="auto"/>
                <w:highlight w:val="none"/>
                <w:lang w:val="en-US" w:eastAsia="zh-CN"/>
              </w:rPr>
              <w:t>56</w:t>
            </w:r>
            <w:r>
              <w:rPr>
                <w:rFonts w:hint="default" w:ascii="Times New Roman" w:hAnsi="Times New Roman" w:cs="Times New Roman"/>
                <w:color w:val="auto"/>
                <w:highlight w:val="none"/>
                <w:lang w:val="en-US" w:eastAsia="zh-CN"/>
              </w:rPr>
              <w:t>″  32°38′35.</w:t>
            </w:r>
            <w:r>
              <w:rPr>
                <w:rFonts w:hint="eastAsia" w:ascii="Times New Roman" w:cs="Times New Roman"/>
                <w:color w:val="auto"/>
                <w:highlight w:val="none"/>
                <w:lang w:val="en-US" w:eastAsia="zh-CN"/>
              </w:rPr>
              <w:t>11</w:t>
            </w:r>
            <w:r>
              <w:rPr>
                <w:rFonts w:hint="default" w:ascii="Times New Roman" w:hAnsi="Times New Roman" w:cs="Times New Roman"/>
                <w:color w:val="auto"/>
                <w:highlight w:val="none"/>
                <w:lang w:val="en-US" w:eastAsia="zh-CN"/>
              </w:rPr>
              <w:t>″</w:t>
            </w:r>
          </w:p>
          <w:p w14:paraId="0FED8EFE">
            <w:pPr>
              <w:pStyle w:val="185"/>
              <w:rPr>
                <w:rFonts w:hint="default" w:ascii="Times New Roman" w:hAnsi="Times New Roman" w:cs="Times New Roman"/>
                <w:color w:val="auto"/>
                <w:highlight w:val="none"/>
                <w:lang w:val="en-US" w:eastAsia="zh-CN"/>
              </w:rPr>
            </w:pPr>
            <w:r>
              <w:rPr>
                <w:rFonts w:hint="default" w:ascii="Times New Roman" w:hAnsi="Times New Roman" w:cs="Times New Roman"/>
                <w:color w:val="auto"/>
                <w:highlight w:val="none"/>
                <w:lang w:val="en-US" w:eastAsia="zh-CN"/>
              </w:rPr>
              <w:t>113°15′37.</w:t>
            </w:r>
            <w:r>
              <w:rPr>
                <w:rFonts w:hint="eastAsia" w:ascii="Times New Roman" w:cs="Times New Roman"/>
                <w:color w:val="auto"/>
                <w:highlight w:val="none"/>
                <w:lang w:val="en-US" w:eastAsia="zh-CN"/>
              </w:rPr>
              <w:t>49</w:t>
            </w:r>
            <w:r>
              <w:rPr>
                <w:rFonts w:hint="default" w:ascii="Times New Roman" w:hAnsi="Times New Roman" w:cs="Times New Roman"/>
                <w:color w:val="auto"/>
                <w:highlight w:val="none"/>
                <w:lang w:val="en-US" w:eastAsia="zh-CN"/>
              </w:rPr>
              <w:t>″  32°38′35.</w:t>
            </w:r>
            <w:r>
              <w:rPr>
                <w:rFonts w:hint="eastAsia" w:ascii="Times New Roman" w:cs="Times New Roman"/>
                <w:color w:val="auto"/>
                <w:highlight w:val="none"/>
                <w:lang w:val="en-US" w:eastAsia="zh-CN"/>
              </w:rPr>
              <w:t>35</w:t>
            </w:r>
            <w:r>
              <w:rPr>
                <w:rFonts w:hint="default" w:ascii="Times New Roman" w:hAnsi="Times New Roman" w:cs="Times New Roman"/>
                <w:color w:val="auto"/>
                <w:highlight w:val="none"/>
                <w:lang w:val="en-US" w:eastAsia="zh-CN"/>
              </w:rPr>
              <w:t>″</w:t>
            </w:r>
          </w:p>
        </w:tc>
        <w:tc>
          <w:tcPr>
            <w:tcW w:w="785" w:type="pct"/>
            <w:vAlign w:val="center"/>
          </w:tcPr>
          <w:p w14:paraId="2EEA34E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35815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382B0A5">
            <w:pPr>
              <w:pStyle w:val="182"/>
              <w:rPr>
                <w:rFonts w:hint="default" w:ascii="Times New Roman" w:hAnsi="Times New Roman" w:cs="Times New Roman"/>
                <w:color w:val="000000"/>
                <w:highlight w:val="none"/>
              </w:rPr>
            </w:pPr>
          </w:p>
        </w:tc>
        <w:tc>
          <w:tcPr>
            <w:tcW w:w="519" w:type="pct"/>
            <w:vAlign w:val="center"/>
          </w:tcPr>
          <w:p w14:paraId="744F2C8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543BE745">
            <w:pPr>
              <w:pStyle w:val="182"/>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T7</w:t>
            </w:r>
          </w:p>
        </w:tc>
        <w:tc>
          <w:tcPr>
            <w:tcW w:w="662" w:type="pct"/>
            <w:vAlign w:val="center"/>
          </w:tcPr>
          <w:p w14:paraId="0D85368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9000方注水罐</w:t>
            </w:r>
          </w:p>
        </w:tc>
        <w:tc>
          <w:tcPr>
            <w:tcW w:w="1272" w:type="pct"/>
            <w:vAlign w:val="center"/>
          </w:tcPr>
          <w:p w14:paraId="7384AEE2">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113°15′37.68″  32°38′35.33″</w:t>
            </w:r>
          </w:p>
        </w:tc>
        <w:tc>
          <w:tcPr>
            <w:tcW w:w="785" w:type="pct"/>
            <w:vAlign w:val="center"/>
          </w:tcPr>
          <w:p w14:paraId="4454DEDA">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2650D9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8F1C0D6">
            <w:pPr>
              <w:pStyle w:val="182"/>
              <w:rPr>
                <w:rFonts w:hint="default" w:ascii="Times New Roman" w:hAnsi="Times New Roman" w:cs="Times New Roman"/>
                <w:color w:val="000000"/>
                <w:highlight w:val="none"/>
              </w:rPr>
            </w:pPr>
          </w:p>
        </w:tc>
        <w:tc>
          <w:tcPr>
            <w:tcW w:w="519" w:type="pct"/>
            <w:vAlign w:val="center"/>
          </w:tcPr>
          <w:p w14:paraId="633C420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06AEE673">
            <w:pPr>
              <w:pStyle w:val="182"/>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lang w:val="en-US" w:eastAsia="zh-CN"/>
              </w:rPr>
              <w:t>T8</w:t>
            </w:r>
          </w:p>
        </w:tc>
        <w:tc>
          <w:tcPr>
            <w:tcW w:w="662" w:type="pct"/>
            <w:vAlign w:val="center"/>
          </w:tcPr>
          <w:p w14:paraId="72860CE2">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12000方原油罐区</w:t>
            </w:r>
          </w:p>
        </w:tc>
        <w:tc>
          <w:tcPr>
            <w:tcW w:w="1272" w:type="pct"/>
            <w:vAlign w:val="center"/>
          </w:tcPr>
          <w:p w14:paraId="245F00A7">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113°15′37.68″  32°38′35.33″</w:t>
            </w:r>
          </w:p>
        </w:tc>
        <w:tc>
          <w:tcPr>
            <w:tcW w:w="785" w:type="pct"/>
            <w:vAlign w:val="center"/>
          </w:tcPr>
          <w:p w14:paraId="3BA9088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6B9ADD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7A397D3">
            <w:pPr>
              <w:pStyle w:val="182"/>
              <w:rPr>
                <w:rFonts w:hint="default" w:ascii="Times New Roman" w:hAnsi="Times New Roman" w:cs="Times New Roman"/>
                <w:color w:val="000000"/>
                <w:highlight w:val="none"/>
              </w:rPr>
            </w:pPr>
          </w:p>
        </w:tc>
        <w:tc>
          <w:tcPr>
            <w:tcW w:w="519" w:type="pct"/>
            <w:vAlign w:val="center"/>
          </w:tcPr>
          <w:p w14:paraId="2495A2D9">
            <w:pPr>
              <w:pStyle w:val="182"/>
              <w:jc w:val="center"/>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924B0B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068A82C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双河联合站东北围墙上游</w:t>
            </w:r>
          </w:p>
        </w:tc>
        <w:tc>
          <w:tcPr>
            <w:tcW w:w="1272" w:type="pct"/>
            <w:vAlign w:val="center"/>
          </w:tcPr>
          <w:p w14:paraId="2A462D6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5768FE87">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145E9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9024052">
            <w:pPr>
              <w:pStyle w:val="182"/>
              <w:rPr>
                <w:rFonts w:hint="default" w:ascii="Times New Roman" w:hAnsi="Times New Roman" w:cs="Times New Roman"/>
                <w:color w:val="000000"/>
                <w:highlight w:val="none"/>
              </w:rPr>
            </w:pPr>
          </w:p>
        </w:tc>
        <w:tc>
          <w:tcPr>
            <w:tcW w:w="519" w:type="pct"/>
            <w:vAlign w:val="center"/>
          </w:tcPr>
          <w:p w14:paraId="32BBA19F">
            <w:pPr>
              <w:pStyle w:val="182"/>
              <w:jc w:val="center"/>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693896AC">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3818EF2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双河联合站污水处理区下游</w:t>
            </w:r>
          </w:p>
        </w:tc>
        <w:tc>
          <w:tcPr>
            <w:tcW w:w="1272" w:type="pct"/>
            <w:vAlign w:val="center"/>
          </w:tcPr>
          <w:p w14:paraId="2505A28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4FBC6F4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6E1EB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F31C79A">
            <w:pPr>
              <w:pStyle w:val="182"/>
              <w:rPr>
                <w:rFonts w:hint="default" w:ascii="Times New Roman" w:hAnsi="Times New Roman" w:cs="Times New Roman"/>
                <w:color w:val="000000"/>
                <w:highlight w:val="none"/>
              </w:rPr>
            </w:pPr>
          </w:p>
        </w:tc>
        <w:tc>
          <w:tcPr>
            <w:tcW w:w="519" w:type="pct"/>
            <w:vAlign w:val="center"/>
          </w:tcPr>
          <w:p w14:paraId="4423B2D1">
            <w:pPr>
              <w:pStyle w:val="182"/>
              <w:jc w:val="center"/>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55F3459">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405E2AE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双河联合站西南角下游</w:t>
            </w:r>
          </w:p>
        </w:tc>
        <w:tc>
          <w:tcPr>
            <w:tcW w:w="1272" w:type="pct"/>
            <w:vAlign w:val="center"/>
          </w:tcPr>
          <w:p w14:paraId="678D680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4474FE2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415C47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96299F6">
            <w:pPr>
              <w:pStyle w:val="182"/>
              <w:rPr>
                <w:rFonts w:hint="default" w:ascii="Times New Roman" w:hAnsi="Times New Roman" w:cs="Times New Roman"/>
                <w:color w:val="000000"/>
                <w:highlight w:val="none"/>
              </w:rPr>
            </w:pPr>
          </w:p>
        </w:tc>
        <w:tc>
          <w:tcPr>
            <w:tcW w:w="519" w:type="pct"/>
            <w:vAlign w:val="center"/>
          </w:tcPr>
          <w:p w14:paraId="0F9DDF05">
            <w:pPr>
              <w:pStyle w:val="182"/>
              <w:jc w:val="center"/>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AAF46DB">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57E7B1AA">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双联污泥贮存场</w:t>
            </w:r>
          </w:p>
        </w:tc>
        <w:tc>
          <w:tcPr>
            <w:tcW w:w="1272" w:type="pct"/>
            <w:vAlign w:val="center"/>
          </w:tcPr>
          <w:p w14:paraId="6B8A8FD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13A1057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312E5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1AB2848">
            <w:pPr>
              <w:pStyle w:val="182"/>
              <w:rPr>
                <w:rFonts w:hint="default" w:ascii="Times New Roman" w:hAnsi="Times New Roman" w:cs="Times New Roman"/>
                <w:color w:val="000000"/>
                <w:highlight w:val="none"/>
              </w:rPr>
            </w:pPr>
          </w:p>
        </w:tc>
        <w:tc>
          <w:tcPr>
            <w:tcW w:w="519" w:type="pct"/>
            <w:vAlign w:val="center"/>
          </w:tcPr>
          <w:p w14:paraId="00335EB4">
            <w:pPr>
              <w:pStyle w:val="182"/>
              <w:jc w:val="center"/>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地下水</w:t>
            </w:r>
          </w:p>
        </w:tc>
        <w:tc>
          <w:tcPr>
            <w:tcW w:w="1298" w:type="pct"/>
            <w:vAlign w:val="center"/>
          </w:tcPr>
          <w:p w14:paraId="7012DBBF">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2D56865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双联污泥旁滤料场</w:t>
            </w:r>
          </w:p>
        </w:tc>
        <w:tc>
          <w:tcPr>
            <w:tcW w:w="1272" w:type="pct"/>
            <w:vAlign w:val="center"/>
          </w:tcPr>
          <w:p w14:paraId="445B305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1439613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6B752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508F4C9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江</w:t>
            </w:r>
            <w:bookmarkStart w:id="30" w:name="_GoBack"/>
            <w:bookmarkEnd w:id="30"/>
            <w:r>
              <w:rPr>
                <w:rFonts w:hint="default" w:ascii="Times New Roman" w:hAnsi="Times New Roman" w:cs="Times New Roman"/>
                <w:color w:val="000000"/>
                <w:highlight w:val="none"/>
              </w:rPr>
              <w:t>河联合站</w:t>
            </w:r>
          </w:p>
        </w:tc>
        <w:tc>
          <w:tcPr>
            <w:tcW w:w="519" w:type="pct"/>
            <w:vAlign w:val="center"/>
          </w:tcPr>
          <w:p w14:paraId="60CDF48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287DE27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T1</w:t>
            </w:r>
          </w:p>
        </w:tc>
        <w:tc>
          <w:tcPr>
            <w:tcW w:w="662" w:type="pct"/>
            <w:vAlign w:val="center"/>
          </w:tcPr>
          <w:p w14:paraId="077EEDD1">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800m³污水池</w:t>
            </w:r>
            <w:r>
              <w:rPr>
                <w:rFonts w:hint="default" w:ascii="Times New Roman" w:hAnsi="Times New Roman" w:cs="Times New Roman"/>
                <w:color w:val="000000"/>
                <w:highlight w:val="none"/>
                <w:lang w:val="en-US" w:eastAsia="zh-CN"/>
              </w:rPr>
              <w:t>,晾干池</w:t>
            </w:r>
          </w:p>
        </w:tc>
        <w:tc>
          <w:tcPr>
            <w:tcW w:w="1272" w:type="pct"/>
            <w:vAlign w:val="center"/>
          </w:tcPr>
          <w:p w14:paraId="1A8841D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1285FF3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369C1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B204BBE">
            <w:pPr>
              <w:pStyle w:val="182"/>
              <w:rPr>
                <w:rFonts w:hint="default" w:ascii="Times New Roman" w:hAnsi="Times New Roman" w:cs="Times New Roman"/>
                <w:color w:val="000000"/>
                <w:highlight w:val="none"/>
              </w:rPr>
            </w:pPr>
          </w:p>
        </w:tc>
        <w:tc>
          <w:tcPr>
            <w:tcW w:w="519" w:type="pct"/>
            <w:vAlign w:val="center"/>
          </w:tcPr>
          <w:p w14:paraId="5EFA9BB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2F9ADF0D">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2</w:t>
            </w:r>
          </w:p>
        </w:tc>
        <w:tc>
          <w:tcPr>
            <w:tcW w:w="662" w:type="pct"/>
            <w:vAlign w:val="center"/>
          </w:tcPr>
          <w:p w14:paraId="2331454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缓冲水池，1#1500方注水罐，2#1500方注水罐</w:t>
            </w:r>
          </w:p>
        </w:tc>
        <w:tc>
          <w:tcPr>
            <w:tcW w:w="1272" w:type="pct"/>
            <w:vAlign w:val="center"/>
          </w:tcPr>
          <w:p w14:paraId="33419D9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70C5B29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4969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11BD16A">
            <w:pPr>
              <w:pStyle w:val="182"/>
              <w:rPr>
                <w:rFonts w:hint="default" w:ascii="Times New Roman" w:hAnsi="Times New Roman" w:cs="Times New Roman"/>
                <w:color w:val="000000"/>
                <w:highlight w:val="none"/>
              </w:rPr>
            </w:pPr>
          </w:p>
        </w:tc>
        <w:tc>
          <w:tcPr>
            <w:tcW w:w="519" w:type="pct"/>
            <w:vAlign w:val="center"/>
          </w:tcPr>
          <w:p w14:paraId="2DC33D6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769B8955">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3</w:t>
            </w:r>
          </w:p>
        </w:tc>
        <w:tc>
          <w:tcPr>
            <w:tcW w:w="662" w:type="pct"/>
            <w:vAlign w:val="center"/>
          </w:tcPr>
          <w:p w14:paraId="15B6437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收油罐</w:t>
            </w:r>
          </w:p>
        </w:tc>
        <w:tc>
          <w:tcPr>
            <w:tcW w:w="1272" w:type="pct"/>
            <w:vAlign w:val="center"/>
          </w:tcPr>
          <w:p w14:paraId="354840A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149EC06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362F1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9B8945D">
            <w:pPr>
              <w:pStyle w:val="182"/>
              <w:rPr>
                <w:rFonts w:hint="default" w:ascii="Times New Roman" w:hAnsi="Times New Roman" w:cs="Times New Roman"/>
                <w:color w:val="000000"/>
                <w:highlight w:val="none"/>
              </w:rPr>
            </w:pPr>
          </w:p>
        </w:tc>
        <w:tc>
          <w:tcPr>
            <w:tcW w:w="519" w:type="pct"/>
            <w:vAlign w:val="center"/>
          </w:tcPr>
          <w:p w14:paraId="48C8F83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620FC05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4</w:t>
            </w:r>
          </w:p>
        </w:tc>
        <w:tc>
          <w:tcPr>
            <w:tcW w:w="662" w:type="pct"/>
            <w:vAlign w:val="center"/>
          </w:tcPr>
          <w:p w14:paraId="3A718BE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1#、2#、3#污水脱硫塔、污水过滤罐</w:t>
            </w:r>
          </w:p>
        </w:tc>
        <w:tc>
          <w:tcPr>
            <w:tcW w:w="1272" w:type="pct"/>
            <w:vAlign w:val="center"/>
          </w:tcPr>
          <w:p w14:paraId="585191E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7395FDC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7BE8FF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0A1A6CF">
            <w:pPr>
              <w:pStyle w:val="182"/>
              <w:rPr>
                <w:rFonts w:hint="default" w:ascii="Times New Roman" w:hAnsi="Times New Roman" w:cs="Times New Roman"/>
                <w:color w:val="000000"/>
                <w:highlight w:val="none"/>
              </w:rPr>
            </w:pPr>
          </w:p>
        </w:tc>
        <w:tc>
          <w:tcPr>
            <w:tcW w:w="519" w:type="pct"/>
            <w:vAlign w:val="center"/>
          </w:tcPr>
          <w:p w14:paraId="0675777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36362F9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5</w:t>
            </w:r>
          </w:p>
        </w:tc>
        <w:tc>
          <w:tcPr>
            <w:tcW w:w="662" w:type="pct"/>
            <w:vAlign w:val="center"/>
          </w:tcPr>
          <w:p w14:paraId="285901B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三相分离器、缓冲罐</w:t>
            </w:r>
          </w:p>
        </w:tc>
        <w:tc>
          <w:tcPr>
            <w:tcW w:w="1272" w:type="pct"/>
            <w:vAlign w:val="center"/>
          </w:tcPr>
          <w:p w14:paraId="1D0412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111ADACA">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4F9BE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1D095E3">
            <w:pPr>
              <w:pStyle w:val="182"/>
              <w:rPr>
                <w:rFonts w:hint="default" w:ascii="Times New Roman" w:hAnsi="Times New Roman" w:cs="Times New Roman"/>
                <w:color w:val="000000"/>
                <w:highlight w:val="none"/>
              </w:rPr>
            </w:pPr>
          </w:p>
        </w:tc>
        <w:tc>
          <w:tcPr>
            <w:tcW w:w="519" w:type="pct"/>
            <w:vAlign w:val="center"/>
          </w:tcPr>
          <w:p w14:paraId="4E0BA0C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4394309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6</w:t>
            </w:r>
          </w:p>
        </w:tc>
        <w:tc>
          <w:tcPr>
            <w:tcW w:w="662" w:type="pct"/>
            <w:vAlign w:val="center"/>
          </w:tcPr>
          <w:p w14:paraId="099FFE3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3#5000方污水沉降罐、5#5000方注水罐、6#5000方污水沉降罐</w:t>
            </w:r>
          </w:p>
        </w:tc>
        <w:tc>
          <w:tcPr>
            <w:tcW w:w="1272" w:type="pct"/>
            <w:vAlign w:val="center"/>
          </w:tcPr>
          <w:p w14:paraId="7DD6A56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6EAA79C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1BC177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B46324B">
            <w:pPr>
              <w:pStyle w:val="182"/>
              <w:rPr>
                <w:rFonts w:hint="default" w:ascii="Times New Roman" w:hAnsi="Times New Roman" w:cs="Times New Roman"/>
                <w:color w:val="000000"/>
                <w:highlight w:val="none"/>
              </w:rPr>
            </w:pPr>
          </w:p>
        </w:tc>
        <w:tc>
          <w:tcPr>
            <w:tcW w:w="519" w:type="pct"/>
            <w:vAlign w:val="center"/>
          </w:tcPr>
          <w:p w14:paraId="115EFAD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0A47759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7</w:t>
            </w:r>
          </w:p>
        </w:tc>
        <w:tc>
          <w:tcPr>
            <w:tcW w:w="662" w:type="pct"/>
            <w:vAlign w:val="center"/>
          </w:tcPr>
          <w:p w14:paraId="4477B7B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4#5000方污油罐</w:t>
            </w:r>
          </w:p>
        </w:tc>
        <w:tc>
          <w:tcPr>
            <w:tcW w:w="1272" w:type="pct"/>
            <w:vAlign w:val="center"/>
          </w:tcPr>
          <w:p w14:paraId="547826F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7E6B24A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100D4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577548C">
            <w:pPr>
              <w:pStyle w:val="182"/>
              <w:rPr>
                <w:rFonts w:hint="default" w:ascii="Times New Roman" w:hAnsi="Times New Roman" w:cs="Times New Roman"/>
                <w:color w:val="000000"/>
                <w:highlight w:val="none"/>
              </w:rPr>
            </w:pPr>
          </w:p>
        </w:tc>
        <w:tc>
          <w:tcPr>
            <w:tcW w:w="519" w:type="pct"/>
            <w:vAlign w:val="center"/>
          </w:tcPr>
          <w:p w14:paraId="79A8472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土壤</w:t>
            </w:r>
          </w:p>
        </w:tc>
        <w:tc>
          <w:tcPr>
            <w:tcW w:w="1298" w:type="pct"/>
            <w:vAlign w:val="center"/>
          </w:tcPr>
          <w:p w14:paraId="577D66F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8</w:t>
            </w:r>
          </w:p>
        </w:tc>
        <w:tc>
          <w:tcPr>
            <w:tcW w:w="662" w:type="pct"/>
            <w:vAlign w:val="center"/>
          </w:tcPr>
          <w:p w14:paraId="71C7DF1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1#、2#10000原油储罐、7#、8#20000方原油储罐</w:t>
            </w:r>
          </w:p>
        </w:tc>
        <w:tc>
          <w:tcPr>
            <w:tcW w:w="1272" w:type="pct"/>
            <w:vAlign w:val="center"/>
          </w:tcPr>
          <w:p w14:paraId="1327599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3527730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4C916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4470A661">
            <w:pPr>
              <w:pStyle w:val="182"/>
              <w:rPr>
                <w:rFonts w:hint="default" w:ascii="Times New Roman" w:hAnsi="Times New Roman" w:cs="Times New Roman"/>
                <w:color w:val="000000"/>
                <w:highlight w:val="none"/>
              </w:rPr>
            </w:pPr>
          </w:p>
        </w:tc>
        <w:tc>
          <w:tcPr>
            <w:tcW w:w="519" w:type="pct"/>
            <w:vAlign w:val="center"/>
          </w:tcPr>
          <w:p w14:paraId="38F47DC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地下水</w:t>
            </w:r>
          </w:p>
        </w:tc>
        <w:tc>
          <w:tcPr>
            <w:tcW w:w="1298" w:type="pct"/>
            <w:vAlign w:val="center"/>
          </w:tcPr>
          <w:p w14:paraId="7B547C16">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4906E89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江河联合站南侧围墙（下游）</w:t>
            </w:r>
          </w:p>
        </w:tc>
        <w:tc>
          <w:tcPr>
            <w:tcW w:w="1272" w:type="pct"/>
            <w:vAlign w:val="center"/>
          </w:tcPr>
          <w:p w14:paraId="352ABFD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70BAD84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4EA3A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1" w:type="pct"/>
            <w:vMerge w:val="continue"/>
            <w:vAlign w:val="center"/>
          </w:tcPr>
          <w:p w14:paraId="3519828A">
            <w:pPr>
              <w:pStyle w:val="182"/>
              <w:rPr>
                <w:rFonts w:hint="default" w:ascii="Times New Roman" w:hAnsi="Times New Roman" w:cs="Times New Roman"/>
                <w:color w:val="000000"/>
                <w:highlight w:val="none"/>
              </w:rPr>
            </w:pPr>
          </w:p>
        </w:tc>
        <w:tc>
          <w:tcPr>
            <w:tcW w:w="519" w:type="pct"/>
            <w:vAlign w:val="center"/>
          </w:tcPr>
          <w:p w14:paraId="4B7C2B9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地下水</w:t>
            </w:r>
          </w:p>
        </w:tc>
        <w:tc>
          <w:tcPr>
            <w:tcW w:w="1298" w:type="pct"/>
            <w:vAlign w:val="center"/>
          </w:tcPr>
          <w:p w14:paraId="1974ABD7">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2DADF99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江河联合站西北侧围墙（上游）</w:t>
            </w:r>
          </w:p>
        </w:tc>
        <w:tc>
          <w:tcPr>
            <w:tcW w:w="1272" w:type="pct"/>
            <w:vAlign w:val="center"/>
          </w:tcPr>
          <w:p w14:paraId="5BA4736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4EE9544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66CD6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461" w:type="pct"/>
            <w:vMerge w:val="continue"/>
            <w:vAlign w:val="center"/>
          </w:tcPr>
          <w:p w14:paraId="1B9AABC1">
            <w:pPr>
              <w:pStyle w:val="182"/>
              <w:rPr>
                <w:rFonts w:hint="default" w:ascii="Times New Roman" w:hAnsi="Times New Roman" w:cs="Times New Roman"/>
                <w:color w:val="000000"/>
                <w:highlight w:val="none"/>
              </w:rPr>
            </w:pPr>
          </w:p>
        </w:tc>
        <w:tc>
          <w:tcPr>
            <w:tcW w:w="519" w:type="pct"/>
            <w:vAlign w:val="center"/>
          </w:tcPr>
          <w:p w14:paraId="1BA51CD8">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21657609">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w:t>
            </w:r>
            <w:r>
              <w:rPr>
                <w:rFonts w:hint="eastAsia" w:cs="Times New Roman"/>
                <w:color w:val="000000"/>
                <w:highlight w:val="none"/>
                <w:lang w:val="en-US" w:eastAsia="zh-CN"/>
              </w:rPr>
              <w:t>3</w:t>
            </w:r>
          </w:p>
        </w:tc>
        <w:tc>
          <w:tcPr>
            <w:tcW w:w="662" w:type="pct"/>
            <w:vAlign w:val="center"/>
          </w:tcPr>
          <w:p w14:paraId="07783E3D">
            <w:pPr>
              <w:pStyle w:val="182"/>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江河联合站</w:t>
            </w:r>
            <w:r>
              <w:rPr>
                <w:rFonts w:hint="eastAsia" w:cs="Times New Roman"/>
                <w:color w:val="000000"/>
                <w:highlight w:val="none"/>
                <w:lang w:val="en-US" w:eastAsia="zh-CN"/>
              </w:rPr>
              <w:t>东南</w:t>
            </w:r>
            <w:r>
              <w:rPr>
                <w:rFonts w:hint="default" w:ascii="Times New Roman" w:hAnsi="Times New Roman" w:cs="Times New Roman"/>
                <w:color w:val="000000"/>
                <w:highlight w:val="none"/>
              </w:rPr>
              <w:t>围墙</w:t>
            </w:r>
            <w:r>
              <w:rPr>
                <w:rFonts w:hint="eastAsia" w:cs="Times New Roman"/>
                <w:color w:val="000000"/>
                <w:highlight w:val="none"/>
                <w:lang w:val="en-US" w:eastAsia="zh-CN"/>
              </w:rPr>
              <w:t>处</w:t>
            </w:r>
          </w:p>
        </w:tc>
        <w:tc>
          <w:tcPr>
            <w:tcW w:w="1272" w:type="pct"/>
            <w:vAlign w:val="center"/>
          </w:tcPr>
          <w:p w14:paraId="4749A6E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5EDEC59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7FD4F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4132CA4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魏岗联合站</w:t>
            </w:r>
          </w:p>
        </w:tc>
        <w:tc>
          <w:tcPr>
            <w:tcW w:w="519" w:type="pct"/>
            <w:vAlign w:val="center"/>
          </w:tcPr>
          <w:p w14:paraId="61F05B7B">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513DAAF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T1</w:t>
            </w:r>
          </w:p>
        </w:tc>
        <w:tc>
          <w:tcPr>
            <w:tcW w:w="662" w:type="pct"/>
            <w:vAlign w:val="center"/>
          </w:tcPr>
          <w:p w14:paraId="55CC950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魏联污水池</w:t>
            </w:r>
          </w:p>
        </w:tc>
        <w:tc>
          <w:tcPr>
            <w:tcW w:w="1272" w:type="pct"/>
            <w:vAlign w:val="center"/>
          </w:tcPr>
          <w:p w14:paraId="32CFF07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790CBA9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73C6F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086F0BE">
            <w:pPr>
              <w:pStyle w:val="182"/>
              <w:rPr>
                <w:rFonts w:hint="default" w:ascii="Times New Roman" w:hAnsi="Times New Roman" w:cs="Times New Roman"/>
                <w:color w:val="000000"/>
                <w:highlight w:val="none"/>
              </w:rPr>
            </w:pPr>
          </w:p>
        </w:tc>
        <w:tc>
          <w:tcPr>
            <w:tcW w:w="519" w:type="pct"/>
            <w:vAlign w:val="center"/>
          </w:tcPr>
          <w:p w14:paraId="510FDC2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土壤</w:t>
            </w:r>
          </w:p>
        </w:tc>
        <w:tc>
          <w:tcPr>
            <w:tcW w:w="1298" w:type="pct"/>
            <w:vAlign w:val="center"/>
          </w:tcPr>
          <w:p w14:paraId="2E28521D">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2</w:t>
            </w:r>
          </w:p>
        </w:tc>
        <w:tc>
          <w:tcPr>
            <w:tcW w:w="662" w:type="pct"/>
            <w:vAlign w:val="center"/>
          </w:tcPr>
          <w:p w14:paraId="5320121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1#、2#、3#、4#原油罐区</w:t>
            </w:r>
          </w:p>
        </w:tc>
        <w:tc>
          <w:tcPr>
            <w:tcW w:w="1272" w:type="pct"/>
            <w:vAlign w:val="center"/>
          </w:tcPr>
          <w:p w14:paraId="62AD492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29C880C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2569BF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B749CCB">
            <w:pPr>
              <w:pStyle w:val="182"/>
              <w:rPr>
                <w:rFonts w:hint="default" w:ascii="Times New Roman" w:hAnsi="Times New Roman" w:cs="Times New Roman"/>
                <w:color w:val="000000"/>
                <w:highlight w:val="none"/>
              </w:rPr>
            </w:pPr>
          </w:p>
        </w:tc>
        <w:tc>
          <w:tcPr>
            <w:tcW w:w="519" w:type="pct"/>
            <w:vAlign w:val="center"/>
          </w:tcPr>
          <w:p w14:paraId="7C8815A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土壤</w:t>
            </w:r>
          </w:p>
        </w:tc>
        <w:tc>
          <w:tcPr>
            <w:tcW w:w="1298" w:type="pct"/>
            <w:vAlign w:val="center"/>
          </w:tcPr>
          <w:p w14:paraId="1DA39F6C">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3</w:t>
            </w:r>
          </w:p>
        </w:tc>
        <w:tc>
          <w:tcPr>
            <w:tcW w:w="662" w:type="pct"/>
            <w:vAlign w:val="center"/>
          </w:tcPr>
          <w:p w14:paraId="6CDAC20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污水罐区</w:t>
            </w:r>
          </w:p>
        </w:tc>
        <w:tc>
          <w:tcPr>
            <w:tcW w:w="1272" w:type="pct"/>
            <w:vAlign w:val="center"/>
          </w:tcPr>
          <w:p w14:paraId="0630E20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0972EE2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18A6B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4F0B544">
            <w:pPr>
              <w:pStyle w:val="182"/>
              <w:rPr>
                <w:rFonts w:hint="default" w:ascii="Times New Roman" w:hAnsi="Times New Roman" w:cs="Times New Roman"/>
                <w:color w:val="000000"/>
                <w:highlight w:val="none"/>
              </w:rPr>
            </w:pPr>
          </w:p>
        </w:tc>
        <w:tc>
          <w:tcPr>
            <w:tcW w:w="519" w:type="pct"/>
            <w:vAlign w:val="center"/>
          </w:tcPr>
          <w:p w14:paraId="31F23C7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土壤</w:t>
            </w:r>
          </w:p>
        </w:tc>
        <w:tc>
          <w:tcPr>
            <w:tcW w:w="1298" w:type="pct"/>
            <w:vAlign w:val="center"/>
          </w:tcPr>
          <w:p w14:paraId="6B9B7B36">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4</w:t>
            </w:r>
          </w:p>
        </w:tc>
        <w:tc>
          <w:tcPr>
            <w:tcW w:w="662" w:type="pct"/>
            <w:vAlign w:val="center"/>
          </w:tcPr>
          <w:p w14:paraId="4459164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5#、6#原油罐</w:t>
            </w:r>
          </w:p>
        </w:tc>
        <w:tc>
          <w:tcPr>
            <w:tcW w:w="1272" w:type="pct"/>
            <w:vAlign w:val="center"/>
          </w:tcPr>
          <w:p w14:paraId="539C2BF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59652EE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40E57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624B801">
            <w:pPr>
              <w:pStyle w:val="182"/>
              <w:rPr>
                <w:rFonts w:hint="default" w:ascii="Times New Roman" w:hAnsi="Times New Roman" w:cs="Times New Roman"/>
                <w:color w:val="000000"/>
                <w:highlight w:val="none"/>
              </w:rPr>
            </w:pPr>
          </w:p>
        </w:tc>
        <w:tc>
          <w:tcPr>
            <w:tcW w:w="519" w:type="pct"/>
            <w:vAlign w:val="center"/>
          </w:tcPr>
          <w:p w14:paraId="6EBF5C6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3CBC3729">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T5</w:t>
            </w:r>
          </w:p>
        </w:tc>
        <w:tc>
          <w:tcPr>
            <w:tcW w:w="662" w:type="pct"/>
            <w:vAlign w:val="center"/>
          </w:tcPr>
          <w:p w14:paraId="6977782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魏岗联合站危废暂存棚</w:t>
            </w:r>
          </w:p>
        </w:tc>
        <w:tc>
          <w:tcPr>
            <w:tcW w:w="1272" w:type="pct"/>
            <w:vAlign w:val="center"/>
          </w:tcPr>
          <w:p w14:paraId="7C1A101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5F54259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2307B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2FE628E">
            <w:pPr>
              <w:pStyle w:val="182"/>
              <w:rPr>
                <w:rFonts w:hint="default" w:ascii="Times New Roman" w:hAnsi="Times New Roman" w:cs="Times New Roman"/>
                <w:color w:val="000000"/>
                <w:highlight w:val="none"/>
              </w:rPr>
            </w:pPr>
          </w:p>
        </w:tc>
        <w:tc>
          <w:tcPr>
            <w:tcW w:w="519" w:type="pct"/>
            <w:vAlign w:val="center"/>
          </w:tcPr>
          <w:p w14:paraId="5BDD343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76B0FABB">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lang w:val="en-US" w:eastAsia="zh-CN"/>
              </w:rPr>
              <w:t>D1</w:t>
            </w:r>
          </w:p>
        </w:tc>
        <w:tc>
          <w:tcPr>
            <w:tcW w:w="662" w:type="pct"/>
            <w:vAlign w:val="center"/>
          </w:tcPr>
          <w:p w14:paraId="0FC2B53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魏联办公区</w:t>
            </w:r>
          </w:p>
        </w:tc>
        <w:tc>
          <w:tcPr>
            <w:tcW w:w="1272" w:type="pct"/>
            <w:vAlign w:val="center"/>
          </w:tcPr>
          <w:p w14:paraId="7B659DC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49AF906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1F2FA8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38A4AE1">
            <w:pPr>
              <w:pStyle w:val="182"/>
              <w:rPr>
                <w:rFonts w:hint="default" w:ascii="Times New Roman" w:hAnsi="Times New Roman" w:cs="Times New Roman"/>
                <w:color w:val="000000"/>
                <w:highlight w:val="none"/>
              </w:rPr>
            </w:pPr>
          </w:p>
        </w:tc>
        <w:tc>
          <w:tcPr>
            <w:tcW w:w="519" w:type="pct"/>
            <w:vAlign w:val="center"/>
          </w:tcPr>
          <w:p w14:paraId="11D4013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6031FC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D2</w:t>
            </w:r>
          </w:p>
        </w:tc>
        <w:tc>
          <w:tcPr>
            <w:tcW w:w="662" w:type="pct"/>
            <w:vAlign w:val="center"/>
          </w:tcPr>
          <w:p w14:paraId="0AD3063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魏联北侧围墙</w:t>
            </w:r>
          </w:p>
        </w:tc>
        <w:tc>
          <w:tcPr>
            <w:tcW w:w="1272" w:type="pct"/>
            <w:vAlign w:val="center"/>
          </w:tcPr>
          <w:p w14:paraId="1406D71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3EDE7BC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6A21B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E531701">
            <w:pPr>
              <w:pStyle w:val="182"/>
              <w:rPr>
                <w:rFonts w:hint="default" w:ascii="Times New Roman" w:hAnsi="Times New Roman" w:cs="Times New Roman"/>
                <w:color w:val="000000"/>
                <w:highlight w:val="none"/>
              </w:rPr>
            </w:pPr>
          </w:p>
        </w:tc>
        <w:tc>
          <w:tcPr>
            <w:tcW w:w="519" w:type="pct"/>
            <w:vAlign w:val="center"/>
          </w:tcPr>
          <w:p w14:paraId="332EC46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1B1304E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val="en-US" w:eastAsia="zh-CN"/>
              </w:rPr>
              <w:t>D3</w:t>
            </w:r>
          </w:p>
        </w:tc>
        <w:tc>
          <w:tcPr>
            <w:tcW w:w="662" w:type="pct"/>
            <w:vAlign w:val="center"/>
          </w:tcPr>
          <w:p w14:paraId="68EF3AF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魏联污水罐</w:t>
            </w:r>
          </w:p>
        </w:tc>
        <w:tc>
          <w:tcPr>
            <w:tcW w:w="1272" w:type="pct"/>
            <w:vAlign w:val="center"/>
          </w:tcPr>
          <w:p w14:paraId="6199401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112°36′49.00″  32°39′42.08″</w:t>
            </w:r>
          </w:p>
        </w:tc>
        <w:tc>
          <w:tcPr>
            <w:tcW w:w="785" w:type="pct"/>
            <w:vAlign w:val="center"/>
          </w:tcPr>
          <w:p w14:paraId="6147175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7E0B8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611ED0A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w:t>
            </w:r>
          </w:p>
        </w:tc>
        <w:tc>
          <w:tcPr>
            <w:tcW w:w="519" w:type="pct"/>
            <w:vAlign w:val="center"/>
          </w:tcPr>
          <w:p w14:paraId="23327D98">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1357449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T1</w:t>
            </w:r>
          </w:p>
        </w:tc>
        <w:tc>
          <w:tcPr>
            <w:tcW w:w="662" w:type="pct"/>
            <w:vAlign w:val="center"/>
          </w:tcPr>
          <w:p w14:paraId="68C404D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安棚转油站污油池</w:t>
            </w:r>
          </w:p>
        </w:tc>
        <w:tc>
          <w:tcPr>
            <w:tcW w:w="1272" w:type="pct"/>
            <w:vAlign w:val="center"/>
          </w:tcPr>
          <w:p w14:paraId="387B221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7E6BD41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4ADE67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F9A6FFA">
            <w:pPr>
              <w:pStyle w:val="182"/>
              <w:rPr>
                <w:rFonts w:hint="default" w:ascii="Times New Roman" w:hAnsi="Times New Roman" w:cs="Times New Roman"/>
                <w:color w:val="000000"/>
                <w:highlight w:val="none"/>
              </w:rPr>
            </w:pPr>
          </w:p>
        </w:tc>
        <w:tc>
          <w:tcPr>
            <w:tcW w:w="519" w:type="pct"/>
            <w:vAlign w:val="center"/>
          </w:tcPr>
          <w:p w14:paraId="2768063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340FE5BC">
            <w:pPr>
              <w:pStyle w:val="182"/>
              <w:rPr>
                <w:rFonts w:hint="default"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2</w:t>
            </w:r>
          </w:p>
        </w:tc>
        <w:tc>
          <w:tcPr>
            <w:tcW w:w="662" w:type="pct"/>
            <w:vAlign w:val="center"/>
          </w:tcPr>
          <w:p w14:paraId="703F71F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赵凹转油站污油池</w:t>
            </w:r>
          </w:p>
        </w:tc>
        <w:tc>
          <w:tcPr>
            <w:tcW w:w="1272" w:type="pct"/>
            <w:vAlign w:val="center"/>
          </w:tcPr>
          <w:p w14:paraId="37FC467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786AE08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057B57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42F77B9">
            <w:pPr>
              <w:pStyle w:val="182"/>
              <w:rPr>
                <w:rFonts w:hint="default" w:ascii="Times New Roman" w:hAnsi="Times New Roman" w:cs="Times New Roman"/>
                <w:color w:val="000000"/>
                <w:highlight w:val="none"/>
              </w:rPr>
            </w:pPr>
          </w:p>
        </w:tc>
        <w:tc>
          <w:tcPr>
            <w:tcW w:w="519" w:type="pct"/>
            <w:vAlign w:val="center"/>
          </w:tcPr>
          <w:p w14:paraId="07B6720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507252CA">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3</w:t>
            </w:r>
          </w:p>
        </w:tc>
        <w:tc>
          <w:tcPr>
            <w:tcW w:w="662" w:type="pct"/>
            <w:vAlign w:val="center"/>
          </w:tcPr>
          <w:p w14:paraId="6BECFA5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2000m³污水沉降罐储罐、1000m³反洗水回收罐、500m³注水罐</w:t>
            </w:r>
          </w:p>
        </w:tc>
        <w:tc>
          <w:tcPr>
            <w:tcW w:w="1272" w:type="pct"/>
            <w:vAlign w:val="center"/>
          </w:tcPr>
          <w:p w14:paraId="70501E6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3746710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2FF84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1A87C5D">
            <w:pPr>
              <w:pStyle w:val="182"/>
              <w:rPr>
                <w:rFonts w:hint="default" w:ascii="Times New Roman" w:hAnsi="Times New Roman" w:cs="Times New Roman"/>
                <w:color w:val="000000"/>
                <w:highlight w:val="none"/>
              </w:rPr>
            </w:pPr>
          </w:p>
        </w:tc>
        <w:tc>
          <w:tcPr>
            <w:tcW w:w="519" w:type="pct"/>
            <w:vAlign w:val="center"/>
          </w:tcPr>
          <w:p w14:paraId="5273ADD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13E10AE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default" w:ascii="Times New Roman" w:hAnsi="Times New Roman" w:cs="Times New Roman"/>
                <w:color w:val="000000"/>
                <w:highlight w:val="none"/>
                <w:lang w:val="en-US" w:eastAsia="zh-CN"/>
              </w:rPr>
              <w:t>4</w:t>
            </w:r>
          </w:p>
        </w:tc>
        <w:tc>
          <w:tcPr>
            <w:tcW w:w="662" w:type="pct"/>
            <w:vAlign w:val="center"/>
          </w:tcPr>
          <w:p w14:paraId="6EC2D603">
            <w:pPr>
              <w:pStyle w:val="182"/>
              <w:rPr>
                <w:rFonts w:hint="default" w:ascii="Times New Roman" w:hAnsi="Times New Roman" w:cs="Times New Roman"/>
                <w:color w:val="000000"/>
                <w:highlight w:val="none"/>
              </w:rPr>
            </w:pPr>
            <w:r>
              <w:rPr>
                <w:rFonts w:hint="eastAsia" w:cs="Times New Roman"/>
                <w:color w:val="000000"/>
                <w:highlight w:val="none"/>
                <w:lang w:val="en-US" w:eastAsia="zh-CN"/>
              </w:rPr>
              <w:t>安棚转油站</w:t>
            </w:r>
            <w:r>
              <w:rPr>
                <w:rFonts w:hint="default" w:ascii="Times New Roman" w:hAnsi="Times New Roman" w:cs="Times New Roman"/>
                <w:color w:val="000000"/>
                <w:highlight w:val="none"/>
              </w:rPr>
              <w:t>事故罐、原油缓冲罐、掺水罐</w:t>
            </w:r>
          </w:p>
        </w:tc>
        <w:tc>
          <w:tcPr>
            <w:tcW w:w="1272" w:type="pct"/>
            <w:vAlign w:val="center"/>
          </w:tcPr>
          <w:p w14:paraId="3AEAC78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556B327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浅层、深层</w:t>
            </w:r>
          </w:p>
        </w:tc>
      </w:tr>
      <w:tr w14:paraId="4FF44B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BA9B7AE">
            <w:pPr>
              <w:pStyle w:val="182"/>
              <w:rPr>
                <w:rFonts w:hint="default" w:ascii="Times New Roman" w:hAnsi="Times New Roman" w:cs="Times New Roman"/>
                <w:color w:val="000000"/>
                <w:highlight w:val="none"/>
              </w:rPr>
            </w:pPr>
          </w:p>
        </w:tc>
        <w:tc>
          <w:tcPr>
            <w:tcW w:w="519" w:type="pct"/>
            <w:vAlign w:val="center"/>
          </w:tcPr>
          <w:p w14:paraId="226EEE55">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309870F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T</w:t>
            </w:r>
            <w:r>
              <w:rPr>
                <w:rFonts w:hint="eastAsia" w:cs="Times New Roman"/>
                <w:color w:val="000000"/>
                <w:highlight w:val="none"/>
                <w:lang w:val="en-US" w:eastAsia="zh-CN"/>
              </w:rPr>
              <w:t>5</w:t>
            </w:r>
          </w:p>
        </w:tc>
        <w:tc>
          <w:tcPr>
            <w:tcW w:w="662" w:type="pct"/>
            <w:vAlign w:val="center"/>
          </w:tcPr>
          <w:p w14:paraId="30023CF8">
            <w:pPr>
              <w:pStyle w:val="182"/>
              <w:rPr>
                <w:rFonts w:hint="default" w:ascii="Times New Roman" w:hAnsi="Times New Roman" w:cs="Times New Roman"/>
                <w:color w:val="000000"/>
                <w:highlight w:val="none"/>
              </w:rPr>
            </w:pPr>
            <w:r>
              <w:rPr>
                <w:rFonts w:hint="eastAsia" w:cs="Times New Roman"/>
                <w:color w:val="000000"/>
                <w:highlight w:val="none"/>
                <w:lang w:val="en-US" w:eastAsia="zh-CN"/>
              </w:rPr>
              <w:t>赵凹转油站</w:t>
            </w:r>
            <w:r>
              <w:rPr>
                <w:rFonts w:hint="default" w:ascii="Times New Roman" w:hAnsi="Times New Roman" w:cs="Times New Roman"/>
                <w:color w:val="000000"/>
                <w:highlight w:val="none"/>
              </w:rPr>
              <w:t>事故罐、原油缓冲罐、掺水罐</w:t>
            </w:r>
          </w:p>
        </w:tc>
        <w:tc>
          <w:tcPr>
            <w:tcW w:w="1272" w:type="pct"/>
            <w:vAlign w:val="center"/>
          </w:tcPr>
          <w:p w14:paraId="3283506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752812F1">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浅层、深层</w:t>
            </w:r>
          </w:p>
        </w:tc>
      </w:tr>
      <w:tr w14:paraId="73E22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835689B">
            <w:pPr>
              <w:pStyle w:val="182"/>
              <w:rPr>
                <w:rFonts w:hint="default" w:ascii="Times New Roman" w:hAnsi="Times New Roman" w:cs="Times New Roman"/>
                <w:color w:val="000000"/>
                <w:highlight w:val="none"/>
              </w:rPr>
            </w:pPr>
          </w:p>
        </w:tc>
        <w:tc>
          <w:tcPr>
            <w:tcW w:w="519" w:type="pct"/>
            <w:vAlign w:val="center"/>
          </w:tcPr>
          <w:p w14:paraId="6180307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1AAA311D">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64DB34B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安棚转油站东门</w:t>
            </w:r>
          </w:p>
        </w:tc>
        <w:tc>
          <w:tcPr>
            <w:tcW w:w="1272" w:type="pct"/>
            <w:vAlign w:val="center"/>
          </w:tcPr>
          <w:p w14:paraId="2917936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112248C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55AE7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88714B6">
            <w:pPr>
              <w:pStyle w:val="182"/>
              <w:rPr>
                <w:rFonts w:hint="default" w:ascii="Times New Roman" w:hAnsi="Times New Roman" w:cs="Times New Roman"/>
                <w:color w:val="000000"/>
                <w:highlight w:val="none"/>
              </w:rPr>
            </w:pPr>
          </w:p>
        </w:tc>
        <w:tc>
          <w:tcPr>
            <w:tcW w:w="519" w:type="pct"/>
            <w:vAlign w:val="center"/>
          </w:tcPr>
          <w:p w14:paraId="7E9F4B25">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026A8EA">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7102A46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安棚转油站西门</w:t>
            </w:r>
          </w:p>
        </w:tc>
        <w:tc>
          <w:tcPr>
            <w:tcW w:w="1272" w:type="pct"/>
            <w:vAlign w:val="center"/>
          </w:tcPr>
          <w:p w14:paraId="2DEBE34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1B0855D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56C41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E3F4AA8">
            <w:pPr>
              <w:pStyle w:val="182"/>
              <w:rPr>
                <w:rFonts w:hint="default" w:ascii="Times New Roman" w:hAnsi="Times New Roman" w:cs="Times New Roman"/>
                <w:color w:val="000000"/>
                <w:highlight w:val="none"/>
              </w:rPr>
            </w:pPr>
          </w:p>
        </w:tc>
        <w:tc>
          <w:tcPr>
            <w:tcW w:w="519" w:type="pct"/>
            <w:vAlign w:val="center"/>
          </w:tcPr>
          <w:p w14:paraId="7BFCEE94">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B1C1F36">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1909112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安棚转油站污油池</w:t>
            </w:r>
          </w:p>
        </w:tc>
        <w:tc>
          <w:tcPr>
            <w:tcW w:w="1272" w:type="pct"/>
            <w:vAlign w:val="center"/>
          </w:tcPr>
          <w:p w14:paraId="402CF91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26B163F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lang w:eastAsia="zh-CN"/>
              </w:rPr>
              <w:t>已有</w:t>
            </w:r>
          </w:p>
        </w:tc>
      </w:tr>
      <w:tr w14:paraId="5AB0E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7ED93BD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w:t>
            </w:r>
          </w:p>
        </w:tc>
        <w:tc>
          <w:tcPr>
            <w:tcW w:w="519" w:type="pct"/>
            <w:vAlign w:val="center"/>
          </w:tcPr>
          <w:p w14:paraId="30F67642">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土壤</w:t>
            </w:r>
          </w:p>
        </w:tc>
        <w:tc>
          <w:tcPr>
            <w:tcW w:w="1298" w:type="pct"/>
            <w:vAlign w:val="center"/>
          </w:tcPr>
          <w:p w14:paraId="249C26C3">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T1</w:t>
            </w:r>
          </w:p>
        </w:tc>
        <w:tc>
          <w:tcPr>
            <w:tcW w:w="662" w:type="pct"/>
            <w:vAlign w:val="center"/>
          </w:tcPr>
          <w:p w14:paraId="1786F11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150m³污油池、500 m³缓冲池</w:t>
            </w:r>
          </w:p>
        </w:tc>
        <w:tc>
          <w:tcPr>
            <w:tcW w:w="1272" w:type="pct"/>
            <w:vAlign w:val="center"/>
          </w:tcPr>
          <w:p w14:paraId="7B2B350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549BF22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浅层、深层</w:t>
            </w:r>
          </w:p>
        </w:tc>
      </w:tr>
      <w:tr w14:paraId="1908B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292D746">
            <w:pPr>
              <w:pStyle w:val="182"/>
              <w:rPr>
                <w:rFonts w:hint="default" w:ascii="Times New Roman" w:hAnsi="Times New Roman" w:cs="Times New Roman"/>
                <w:color w:val="000000"/>
                <w:highlight w:val="none"/>
              </w:rPr>
            </w:pPr>
          </w:p>
        </w:tc>
        <w:tc>
          <w:tcPr>
            <w:tcW w:w="519" w:type="pct"/>
            <w:vAlign w:val="center"/>
          </w:tcPr>
          <w:p w14:paraId="38A7A2F9">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土壤</w:t>
            </w:r>
          </w:p>
        </w:tc>
        <w:tc>
          <w:tcPr>
            <w:tcW w:w="1298" w:type="pct"/>
            <w:vAlign w:val="center"/>
          </w:tcPr>
          <w:p w14:paraId="1E4F70F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T2</w:t>
            </w:r>
          </w:p>
        </w:tc>
        <w:tc>
          <w:tcPr>
            <w:tcW w:w="662" w:type="pct"/>
            <w:vAlign w:val="center"/>
          </w:tcPr>
          <w:p w14:paraId="2DDA3A4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1500m³污油池</w:t>
            </w:r>
          </w:p>
        </w:tc>
        <w:tc>
          <w:tcPr>
            <w:tcW w:w="1272" w:type="pct"/>
            <w:vAlign w:val="center"/>
          </w:tcPr>
          <w:p w14:paraId="541783C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3C2E4013">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浅层、深层</w:t>
            </w:r>
          </w:p>
        </w:tc>
      </w:tr>
      <w:tr w14:paraId="42625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363C5FB">
            <w:pPr>
              <w:pStyle w:val="182"/>
              <w:rPr>
                <w:rFonts w:hint="default" w:ascii="Times New Roman" w:hAnsi="Times New Roman" w:cs="Times New Roman"/>
                <w:color w:val="000000"/>
                <w:highlight w:val="none"/>
              </w:rPr>
            </w:pPr>
          </w:p>
        </w:tc>
        <w:tc>
          <w:tcPr>
            <w:tcW w:w="519" w:type="pct"/>
            <w:vAlign w:val="center"/>
          </w:tcPr>
          <w:p w14:paraId="3809195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土壤</w:t>
            </w:r>
          </w:p>
        </w:tc>
        <w:tc>
          <w:tcPr>
            <w:tcW w:w="1298" w:type="pct"/>
            <w:vAlign w:val="center"/>
          </w:tcPr>
          <w:p w14:paraId="4D82450E">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T3</w:t>
            </w:r>
          </w:p>
        </w:tc>
        <w:tc>
          <w:tcPr>
            <w:tcW w:w="662" w:type="pct"/>
            <w:vAlign w:val="center"/>
          </w:tcPr>
          <w:p w14:paraId="1A71E7B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气浮选池、1#、2#700 m³污水沉降罐、1#、2#、3#污水脱硫塔</w:t>
            </w:r>
          </w:p>
        </w:tc>
        <w:tc>
          <w:tcPr>
            <w:tcW w:w="1272" w:type="pct"/>
            <w:vAlign w:val="center"/>
          </w:tcPr>
          <w:p w14:paraId="5B687F6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742C920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浅层、深层</w:t>
            </w:r>
          </w:p>
        </w:tc>
      </w:tr>
      <w:tr w14:paraId="07D68A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415A22E0">
            <w:pPr>
              <w:pStyle w:val="182"/>
              <w:rPr>
                <w:rFonts w:hint="default" w:ascii="Times New Roman" w:hAnsi="Times New Roman" w:cs="Times New Roman"/>
                <w:color w:val="000000"/>
                <w:highlight w:val="none"/>
              </w:rPr>
            </w:pPr>
          </w:p>
        </w:tc>
        <w:tc>
          <w:tcPr>
            <w:tcW w:w="519" w:type="pct"/>
            <w:vAlign w:val="center"/>
          </w:tcPr>
          <w:p w14:paraId="34DE90F9">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土壤</w:t>
            </w:r>
          </w:p>
        </w:tc>
        <w:tc>
          <w:tcPr>
            <w:tcW w:w="1298" w:type="pct"/>
            <w:vAlign w:val="center"/>
          </w:tcPr>
          <w:p w14:paraId="47CBC52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T4</w:t>
            </w:r>
          </w:p>
        </w:tc>
        <w:tc>
          <w:tcPr>
            <w:tcW w:w="662" w:type="pct"/>
            <w:vAlign w:val="center"/>
          </w:tcPr>
          <w:p w14:paraId="237BC3C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1#、2#1500 m³注水罐、一级、二级污水过滤罐 </w:t>
            </w:r>
          </w:p>
        </w:tc>
        <w:tc>
          <w:tcPr>
            <w:tcW w:w="1272" w:type="pct"/>
            <w:vAlign w:val="center"/>
          </w:tcPr>
          <w:p w14:paraId="4944B38A">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4418F4ED">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w:t>
            </w:r>
          </w:p>
        </w:tc>
      </w:tr>
      <w:tr w14:paraId="4CAB3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4A1BE979">
            <w:pPr>
              <w:pStyle w:val="182"/>
              <w:rPr>
                <w:rFonts w:hint="default" w:ascii="Times New Roman" w:hAnsi="Times New Roman" w:cs="Times New Roman"/>
                <w:color w:val="000000"/>
                <w:highlight w:val="none"/>
              </w:rPr>
            </w:pPr>
          </w:p>
        </w:tc>
        <w:tc>
          <w:tcPr>
            <w:tcW w:w="519" w:type="pct"/>
            <w:vAlign w:val="center"/>
          </w:tcPr>
          <w:p w14:paraId="474F0B0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58B80E6F">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T5</w:t>
            </w:r>
          </w:p>
        </w:tc>
        <w:tc>
          <w:tcPr>
            <w:tcW w:w="662" w:type="pct"/>
            <w:vAlign w:val="center"/>
          </w:tcPr>
          <w:p w14:paraId="606BB8D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1#、2#5000 m³原油储罐、3#、4#5000 m³污水沉降罐</w:t>
            </w:r>
          </w:p>
        </w:tc>
        <w:tc>
          <w:tcPr>
            <w:tcW w:w="1272" w:type="pct"/>
            <w:vAlign w:val="center"/>
          </w:tcPr>
          <w:p w14:paraId="58DFF8A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47C416D6">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w:t>
            </w:r>
          </w:p>
        </w:tc>
      </w:tr>
      <w:tr w14:paraId="61EE12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4FEFC73C">
            <w:pPr>
              <w:pStyle w:val="182"/>
              <w:rPr>
                <w:rFonts w:hint="default" w:ascii="Times New Roman" w:hAnsi="Times New Roman" w:cs="Times New Roman"/>
                <w:color w:val="000000"/>
                <w:highlight w:val="none"/>
              </w:rPr>
            </w:pPr>
          </w:p>
        </w:tc>
        <w:tc>
          <w:tcPr>
            <w:tcW w:w="519" w:type="pct"/>
            <w:vAlign w:val="center"/>
          </w:tcPr>
          <w:p w14:paraId="37CA9EF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51499B1F">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T6</w:t>
            </w:r>
          </w:p>
        </w:tc>
        <w:tc>
          <w:tcPr>
            <w:tcW w:w="662" w:type="pct"/>
            <w:vAlign w:val="center"/>
          </w:tcPr>
          <w:p w14:paraId="0618FCA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下二门联合站危废暂存棚</w:t>
            </w:r>
          </w:p>
        </w:tc>
        <w:tc>
          <w:tcPr>
            <w:tcW w:w="1272" w:type="pct"/>
            <w:vAlign w:val="center"/>
          </w:tcPr>
          <w:p w14:paraId="4E4144D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799838B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浅层</w:t>
            </w:r>
          </w:p>
        </w:tc>
      </w:tr>
      <w:tr w14:paraId="3F7D0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3AA9BF8">
            <w:pPr>
              <w:pStyle w:val="182"/>
              <w:rPr>
                <w:rFonts w:hint="default" w:ascii="Times New Roman" w:hAnsi="Times New Roman" w:cs="Times New Roman"/>
                <w:color w:val="000000"/>
                <w:highlight w:val="none"/>
              </w:rPr>
            </w:pPr>
          </w:p>
        </w:tc>
        <w:tc>
          <w:tcPr>
            <w:tcW w:w="519" w:type="pct"/>
            <w:vAlign w:val="center"/>
          </w:tcPr>
          <w:p w14:paraId="14D48A4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1F9C20A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1B8B70D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下二门联合站南围墙</w:t>
            </w:r>
          </w:p>
        </w:tc>
        <w:tc>
          <w:tcPr>
            <w:tcW w:w="1272" w:type="pct"/>
            <w:vAlign w:val="center"/>
          </w:tcPr>
          <w:p w14:paraId="7BD02C2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57DB2FA6">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A6C3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D08DE63">
            <w:pPr>
              <w:pStyle w:val="182"/>
              <w:rPr>
                <w:rFonts w:hint="default" w:ascii="Times New Roman" w:hAnsi="Times New Roman" w:cs="Times New Roman"/>
                <w:color w:val="000000"/>
                <w:highlight w:val="none"/>
              </w:rPr>
            </w:pPr>
          </w:p>
        </w:tc>
        <w:tc>
          <w:tcPr>
            <w:tcW w:w="519" w:type="pct"/>
            <w:vAlign w:val="center"/>
          </w:tcPr>
          <w:p w14:paraId="3FABF91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1D6F028E">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43B0A25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下二门联合站污泥场旁</w:t>
            </w:r>
          </w:p>
        </w:tc>
        <w:tc>
          <w:tcPr>
            <w:tcW w:w="1272" w:type="pct"/>
            <w:vAlign w:val="center"/>
          </w:tcPr>
          <w:p w14:paraId="3BA8AA78">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113°13′4.90″ 32°36′30.57″ </w:t>
            </w:r>
          </w:p>
        </w:tc>
        <w:tc>
          <w:tcPr>
            <w:tcW w:w="785" w:type="pct"/>
            <w:vAlign w:val="center"/>
          </w:tcPr>
          <w:p w14:paraId="3C721141">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59CC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BF24765">
            <w:pPr>
              <w:pStyle w:val="182"/>
              <w:rPr>
                <w:rFonts w:hint="default" w:ascii="Times New Roman" w:hAnsi="Times New Roman" w:cs="Times New Roman"/>
                <w:color w:val="000000"/>
                <w:highlight w:val="none"/>
              </w:rPr>
            </w:pPr>
          </w:p>
        </w:tc>
        <w:tc>
          <w:tcPr>
            <w:tcW w:w="519" w:type="pct"/>
            <w:vAlign w:val="center"/>
          </w:tcPr>
          <w:p w14:paraId="6BFB3E9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B70AFEE">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347D05F8">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下二门联合站西北墙角</w:t>
            </w:r>
          </w:p>
        </w:tc>
        <w:tc>
          <w:tcPr>
            <w:tcW w:w="1272" w:type="pct"/>
            <w:vAlign w:val="center"/>
          </w:tcPr>
          <w:p w14:paraId="3D3B5705">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113°13′4.90″ 32°36′30.57″ </w:t>
            </w:r>
          </w:p>
        </w:tc>
        <w:tc>
          <w:tcPr>
            <w:tcW w:w="785" w:type="pct"/>
            <w:vAlign w:val="center"/>
          </w:tcPr>
          <w:p w14:paraId="69705D2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3B62C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F18CA59">
            <w:pPr>
              <w:pStyle w:val="182"/>
              <w:rPr>
                <w:rFonts w:hint="default" w:ascii="Times New Roman" w:hAnsi="Times New Roman" w:cs="Times New Roman"/>
                <w:color w:val="000000"/>
                <w:highlight w:val="none"/>
              </w:rPr>
            </w:pPr>
          </w:p>
        </w:tc>
        <w:tc>
          <w:tcPr>
            <w:tcW w:w="519" w:type="pct"/>
            <w:vAlign w:val="center"/>
          </w:tcPr>
          <w:p w14:paraId="32ECE17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516DA7C6">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40BEBA8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下二门联合站污泥贮存场外南</w:t>
            </w:r>
          </w:p>
        </w:tc>
        <w:tc>
          <w:tcPr>
            <w:tcW w:w="1272" w:type="pct"/>
            <w:vAlign w:val="center"/>
          </w:tcPr>
          <w:p w14:paraId="0A867E73">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113°13′4.90″ 32°36′30.57″ </w:t>
            </w:r>
          </w:p>
        </w:tc>
        <w:tc>
          <w:tcPr>
            <w:tcW w:w="785" w:type="pct"/>
            <w:vAlign w:val="center"/>
          </w:tcPr>
          <w:p w14:paraId="5B2B98DD">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1EF0D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D86DC48">
            <w:pPr>
              <w:pStyle w:val="182"/>
              <w:rPr>
                <w:rFonts w:hint="default" w:ascii="Times New Roman" w:hAnsi="Times New Roman" w:cs="Times New Roman"/>
                <w:color w:val="000000"/>
                <w:highlight w:val="none"/>
              </w:rPr>
            </w:pPr>
          </w:p>
        </w:tc>
        <w:tc>
          <w:tcPr>
            <w:tcW w:w="519" w:type="pct"/>
            <w:vAlign w:val="center"/>
          </w:tcPr>
          <w:p w14:paraId="7A276776">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1ECE7D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7F1422DB">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下二门联合站污泥贮存场外北</w:t>
            </w:r>
          </w:p>
        </w:tc>
        <w:tc>
          <w:tcPr>
            <w:tcW w:w="1272" w:type="pct"/>
            <w:vAlign w:val="center"/>
          </w:tcPr>
          <w:p w14:paraId="2E5C0BA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113°13′4.90″ 32°36′30.57″ </w:t>
            </w:r>
          </w:p>
        </w:tc>
        <w:tc>
          <w:tcPr>
            <w:tcW w:w="785" w:type="pct"/>
            <w:vAlign w:val="center"/>
          </w:tcPr>
          <w:p w14:paraId="73A6A3FF">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已有</w:t>
            </w:r>
          </w:p>
        </w:tc>
      </w:tr>
      <w:tr w14:paraId="165C85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6E890010">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油泥砂转运点</w:t>
            </w:r>
          </w:p>
        </w:tc>
        <w:tc>
          <w:tcPr>
            <w:tcW w:w="519" w:type="pct"/>
            <w:vAlign w:val="center"/>
          </w:tcPr>
          <w:p w14:paraId="2C538E91">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eastAsia="zh-CN"/>
              </w:rPr>
              <w:t>土壤</w:t>
            </w:r>
          </w:p>
        </w:tc>
        <w:tc>
          <w:tcPr>
            <w:tcW w:w="1298" w:type="pct"/>
            <w:vAlign w:val="center"/>
          </w:tcPr>
          <w:p w14:paraId="4E7CA442">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T1</w:t>
            </w:r>
          </w:p>
        </w:tc>
        <w:tc>
          <w:tcPr>
            <w:tcW w:w="662" w:type="pct"/>
            <w:vAlign w:val="center"/>
          </w:tcPr>
          <w:p w14:paraId="49DF6F69">
            <w:pPr>
              <w:pStyle w:val="182"/>
              <w:rPr>
                <w:rFonts w:hint="default" w:ascii="Times New Roman" w:hAnsi="Times New Roman" w:eastAsia="宋体" w:cs="Times New Roman"/>
                <w:color w:val="auto"/>
                <w:highlight w:val="none"/>
                <w:lang w:val="en-US" w:eastAsia="zh-CN"/>
              </w:rPr>
            </w:pPr>
            <w:r>
              <w:rPr>
                <w:rFonts w:hint="default" w:ascii="Times New Roman" w:hAnsi="Times New Roman" w:cs="Times New Roman"/>
                <w:color w:val="auto"/>
                <w:highlight w:val="none"/>
              </w:rPr>
              <w:t>魏岗区油泥砂转运点</w:t>
            </w:r>
            <w:r>
              <w:rPr>
                <w:rFonts w:hint="eastAsia" w:cs="Times New Roman"/>
                <w:color w:val="auto"/>
                <w:highlight w:val="none"/>
                <w:lang w:val="en-US" w:eastAsia="zh-CN"/>
              </w:rPr>
              <w:t>及周边农田（2个）</w:t>
            </w:r>
          </w:p>
        </w:tc>
        <w:tc>
          <w:tcPr>
            <w:tcW w:w="1272" w:type="pct"/>
            <w:vAlign w:val="center"/>
          </w:tcPr>
          <w:p w14:paraId="0C88D215">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32°39′42.08″</w:t>
            </w:r>
          </w:p>
          <w:p w14:paraId="624326B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w:t>
            </w:r>
            <w:r>
              <w:rPr>
                <w:rFonts w:hint="eastAsia" w:ascii="Times New Roman" w:cs="Times New Roman"/>
                <w:color w:val="auto"/>
                <w:highlight w:val="none"/>
                <w:lang w:val="en-US" w:eastAsia="zh-CN"/>
              </w:rPr>
              <w:t>3</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11</w:t>
            </w:r>
            <w:r>
              <w:rPr>
                <w:rFonts w:hint="default" w:ascii="Times New Roman" w:hAnsi="Times New Roman" w:cs="Times New Roman"/>
                <w:color w:val="auto"/>
                <w:highlight w:val="none"/>
              </w:rPr>
              <w:t>″</w:t>
            </w:r>
          </w:p>
        </w:tc>
        <w:tc>
          <w:tcPr>
            <w:tcW w:w="785" w:type="pct"/>
            <w:vAlign w:val="center"/>
          </w:tcPr>
          <w:p w14:paraId="1D8A4C3B">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rPr>
              <w:t>浅层</w:t>
            </w:r>
          </w:p>
        </w:tc>
      </w:tr>
      <w:tr w14:paraId="356C7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35C2114">
            <w:pPr>
              <w:pStyle w:val="182"/>
              <w:rPr>
                <w:rFonts w:hint="default" w:ascii="Times New Roman" w:hAnsi="Times New Roman" w:eastAsia="宋体" w:cs="Times New Roman"/>
                <w:color w:val="000000"/>
                <w:highlight w:val="none"/>
                <w:lang w:val="en-US" w:eastAsia="zh-CN"/>
              </w:rPr>
            </w:pPr>
          </w:p>
        </w:tc>
        <w:tc>
          <w:tcPr>
            <w:tcW w:w="519" w:type="pct"/>
            <w:vAlign w:val="center"/>
          </w:tcPr>
          <w:p w14:paraId="5E77D5A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61F49DC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T2</w:t>
            </w:r>
          </w:p>
        </w:tc>
        <w:tc>
          <w:tcPr>
            <w:tcW w:w="662" w:type="pct"/>
            <w:vAlign w:val="center"/>
          </w:tcPr>
          <w:p w14:paraId="58976F03">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江河区油泥砂转运点</w:t>
            </w:r>
            <w:r>
              <w:rPr>
                <w:rFonts w:hint="eastAsia" w:cs="Times New Roman"/>
                <w:color w:val="auto"/>
                <w:highlight w:val="none"/>
                <w:lang w:val="en-US" w:eastAsia="zh-CN"/>
              </w:rPr>
              <w:t>及周边农田（2个）</w:t>
            </w:r>
          </w:p>
        </w:tc>
        <w:tc>
          <w:tcPr>
            <w:tcW w:w="1272" w:type="pct"/>
            <w:vAlign w:val="center"/>
          </w:tcPr>
          <w:p w14:paraId="68DD52D2">
            <w:pPr>
              <w:pStyle w:val="185"/>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113°14′36.67″32°37′35.33″</w:t>
            </w:r>
          </w:p>
          <w:p w14:paraId="3BB67A40">
            <w:pPr>
              <w:pStyle w:val="185"/>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113°14′3</w:t>
            </w:r>
            <w:r>
              <w:rPr>
                <w:rFonts w:hint="eastAsia" w:ascii="Times New Roman" w:cs="Times New Roman"/>
                <w:color w:val="auto"/>
                <w:highlight w:val="none"/>
                <w:lang w:val="en-US" w:eastAsia="zh-CN"/>
              </w:rPr>
              <w:t>5</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89</w:t>
            </w:r>
            <w:r>
              <w:rPr>
                <w:rFonts w:hint="default" w:ascii="Times New Roman" w:hAnsi="Times New Roman" w:cs="Times New Roman"/>
                <w:color w:val="auto"/>
                <w:highlight w:val="none"/>
              </w:rPr>
              <w:t>″  32°37′3</w:t>
            </w:r>
            <w:r>
              <w:rPr>
                <w:rFonts w:hint="eastAsia" w:ascii="Times New Roman" w:cs="Times New Roman"/>
                <w:color w:val="auto"/>
                <w:highlight w:val="none"/>
                <w:lang w:val="en-US" w:eastAsia="zh-CN"/>
              </w:rPr>
              <w:t>4</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25</w:t>
            </w:r>
            <w:r>
              <w:rPr>
                <w:rFonts w:hint="default" w:ascii="Times New Roman" w:hAnsi="Times New Roman" w:cs="Times New Roman"/>
                <w:color w:val="auto"/>
                <w:highlight w:val="none"/>
              </w:rPr>
              <w:t>″</w:t>
            </w:r>
          </w:p>
        </w:tc>
        <w:tc>
          <w:tcPr>
            <w:tcW w:w="785" w:type="pct"/>
            <w:vAlign w:val="center"/>
          </w:tcPr>
          <w:p w14:paraId="0310A5B4">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w:t>
            </w:r>
          </w:p>
        </w:tc>
      </w:tr>
      <w:tr w14:paraId="76E99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48E6FB8">
            <w:pPr>
              <w:pStyle w:val="182"/>
              <w:rPr>
                <w:rFonts w:hint="default" w:ascii="Times New Roman" w:hAnsi="Times New Roman" w:eastAsia="宋体" w:cs="Times New Roman"/>
                <w:color w:val="000000"/>
                <w:highlight w:val="none"/>
                <w:lang w:val="en-US" w:eastAsia="zh-CN"/>
              </w:rPr>
            </w:pPr>
          </w:p>
        </w:tc>
        <w:tc>
          <w:tcPr>
            <w:tcW w:w="519" w:type="pct"/>
            <w:vAlign w:val="center"/>
          </w:tcPr>
          <w:p w14:paraId="7F6B6847">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土壤</w:t>
            </w:r>
          </w:p>
        </w:tc>
        <w:tc>
          <w:tcPr>
            <w:tcW w:w="1298" w:type="pct"/>
            <w:vAlign w:val="center"/>
          </w:tcPr>
          <w:p w14:paraId="1C5EF0F7">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T3</w:t>
            </w:r>
          </w:p>
        </w:tc>
        <w:tc>
          <w:tcPr>
            <w:tcW w:w="662" w:type="pct"/>
            <w:vAlign w:val="center"/>
          </w:tcPr>
          <w:p w14:paraId="5AC58804">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下二门区油泥砂转运点</w:t>
            </w:r>
            <w:r>
              <w:rPr>
                <w:rFonts w:hint="eastAsia" w:cs="Times New Roman"/>
                <w:color w:val="auto"/>
                <w:highlight w:val="none"/>
                <w:lang w:val="en-US" w:eastAsia="zh-CN"/>
              </w:rPr>
              <w:t>及周边农田（2个）</w:t>
            </w:r>
          </w:p>
        </w:tc>
        <w:tc>
          <w:tcPr>
            <w:tcW w:w="1272" w:type="pct"/>
            <w:vAlign w:val="center"/>
          </w:tcPr>
          <w:p w14:paraId="60D99E1A">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113°13′4.90″ 32°36′30.57″ </w:t>
            </w:r>
          </w:p>
          <w:p w14:paraId="0F4AFAAA">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113°13′4.9</w:t>
            </w:r>
            <w:r>
              <w:rPr>
                <w:rFonts w:hint="eastAsia" w:ascii="Times New Roman" w:cs="Times New Roman"/>
                <w:color w:val="auto"/>
                <w:highlight w:val="none"/>
                <w:lang w:val="en-US" w:eastAsia="zh-CN"/>
              </w:rPr>
              <w:t>2</w:t>
            </w:r>
            <w:r>
              <w:rPr>
                <w:rFonts w:hint="default" w:ascii="Times New Roman" w:hAnsi="Times New Roman" w:cs="Times New Roman"/>
                <w:color w:val="auto"/>
                <w:highlight w:val="none"/>
              </w:rPr>
              <w:t>″ 32°36′3</w:t>
            </w:r>
            <w:r>
              <w:rPr>
                <w:rFonts w:hint="eastAsia" w:ascii="Times New Roman" w:cs="Times New Roman"/>
                <w:color w:val="auto"/>
                <w:highlight w:val="none"/>
                <w:lang w:val="en-US" w:eastAsia="zh-CN"/>
              </w:rPr>
              <w:t>2</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11</w:t>
            </w:r>
            <w:r>
              <w:rPr>
                <w:rFonts w:hint="default" w:ascii="Times New Roman" w:hAnsi="Times New Roman" w:cs="Times New Roman"/>
                <w:color w:val="auto"/>
                <w:highlight w:val="none"/>
              </w:rPr>
              <w:t xml:space="preserve">″ </w:t>
            </w:r>
          </w:p>
        </w:tc>
        <w:tc>
          <w:tcPr>
            <w:tcW w:w="785" w:type="pct"/>
            <w:vAlign w:val="center"/>
          </w:tcPr>
          <w:p w14:paraId="347B7FDD">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rPr>
              <w:t>浅层</w:t>
            </w:r>
          </w:p>
        </w:tc>
      </w:tr>
      <w:tr w14:paraId="6D3312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512A74B8">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油泥砂转运点</w:t>
            </w:r>
          </w:p>
        </w:tc>
        <w:tc>
          <w:tcPr>
            <w:tcW w:w="519" w:type="pct"/>
            <w:shd w:val="clear" w:color="auto" w:fill="auto"/>
            <w:vAlign w:val="center"/>
          </w:tcPr>
          <w:p w14:paraId="2F59CBC7">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val="en-US" w:eastAsia="zh-CN"/>
              </w:rPr>
              <w:t>地下水</w:t>
            </w:r>
          </w:p>
        </w:tc>
        <w:tc>
          <w:tcPr>
            <w:tcW w:w="1298" w:type="pct"/>
            <w:vAlign w:val="center"/>
          </w:tcPr>
          <w:p w14:paraId="79800B6B">
            <w:pPr>
              <w:pStyle w:val="182"/>
              <w:rPr>
                <w:rFonts w:hint="default" w:ascii="Times New Roman" w:hAnsi="Times New Roman" w:cs="Times New Roman"/>
                <w:color w:val="000000"/>
                <w:highlight w:val="none"/>
                <w:lang w:val="en-US" w:eastAsia="zh-CN"/>
              </w:rPr>
            </w:pPr>
            <w:r>
              <w:rPr>
                <w:rFonts w:hint="eastAsia" w:cs="Times New Roman"/>
                <w:color w:val="000000"/>
                <w:highlight w:val="none"/>
                <w:lang w:val="en-US" w:eastAsia="zh-CN"/>
              </w:rPr>
              <w:t>D1</w:t>
            </w:r>
          </w:p>
        </w:tc>
        <w:tc>
          <w:tcPr>
            <w:tcW w:w="662" w:type="pct"/>
            <w:vAlign w:val="center"/>
          </w:tcPr>
          <w:p w14:paraId="4362C807">
            <w:pPr>
              <w:pStyle w:val="182"/>
              <w:rPr>
                <w:rFonts w:hint="default" w:ascii="Times New Roman" w:hAnsi="Times New Roman" w:cs="Times New Roman"/>
                <w:color w:val="auto"/>
                <w:highlight w:val="none"/>
                <w:lang w:val="en-US"/>
              </w:rPr>
            </w:pPr>
            <w:r>
              <w:rPr>
                <w:rFonts w:hint="default" w:ascii="Times New Roman" w:hAnsi="Times New Roman" w:cs="Times New Roman"/>
                <w:color w:val="auto"/>
                <w:highlight w:val="none"/>
              </w:rPr>
              <w:t>魏岗区油泥砂转运点</w:t>
            </w:r>
            <w:r>
              <w:rPr>
                <w:rFonts w:hint="eastAsia" w:cs="Times New Roman"/>
                <w:color w:val="auto"/>
                <w:highlight w:val="none"/>
                <w:lang w:val="en-US" w:eastAsia="zh-CN"/>
              </w:rPr>
              <w:t>上游及下游</w:t>
            </w:r>
          </w:p>
        </w:tc>
        <w:tc>
          <w:tcPr>
            <w:tcW w:w="1272" w:type="pct"/>
            <w:vAlign w:val="center"/>
          </w:tcPr>
          <w:p w14:paraId="7E8C5CCD">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32°39′42.08″</w:t>
            </w:r>
          </w:p>
          <w:p w14:paraId="03FE80B8">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w:t>
            </w:r>
            <w:r>
              <w:rPr>
                <w:rFonts w:hint="eastAsia" w:ascii="Times New Roman" w:cs="Times New Roman"/>
                <w:color w:val="auto"/>
                <w:highlight w:val="none"/>
                <w:lang w:val="en-US" w:eastAsia="zh-CN"/>
              </w:rPr>
              <w:t>8</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12</w:t>
            </w:r>
            <w:r>
              <w:rPr>
                <w:rFonts w:hint="default" w:ascii="Times New Roman" w:hAnsi="Times New Roman" w:cs="Times New Roman"/>
                <w:color w:val="auto"/>
                <w:highlight w:val="none"/>
              </w:rPr>
              <w:t>″  32°39′4</w:t>
            </w:r>
            <w:r>
              <w:rPr>
                <w:rFonts w:hint="eastAsia" w:ascii="Times New Roman" w:cs="Times New Roman"/>
                <w:color w:val="auto"/>
                <w:highlight w:val="none"/>
                <w:lang w:val="en-US" w:eastAsia="zh-CN"/>
              </w:rPr>
              <w:t>4</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13</w:t>
            </w:r>
            <w:r>
              <w:rPr>
                <w:rFonts w:hint="default" w:ascii="Times New Roman" w:hAnsi="Times New Roman" w:cs="Times New Roman"/>
                <w:color w:val="auto"/>
                <w:highlight w:val="none"/>
              </w:rPr>
              <w:t>″</w:t>
            </w:r>
          </w:p>
        </w:tc>
        <w:tc>
          <w:tcPr>
            <w:tcW w:w="785" w:type="pct"/>
            <w:shd w:val="clear" w:color="auto" w:fill="auto"/>
            <w:vAlign w:val="center"/>
          </w:tcPr>
          <w:p w14:paraId="11E40B5D">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eastAsia="zh-CN"/>
              </w:rPr>
              <w:t>已有</w:t>
            </w:r>
          </w:p>
        </w:tc>
      </w:tr>
      <w:tr w14:paraId="4150F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443FCA10">
            <w:pPr>
              <w:pStyle w:val="182"/>
              <w:rPr>
                <w:rFonts w:hint="default" w:ascii="Times New Roman" w:hAnsi="Times New Roman" w:eastAsia="宋体" w:cs="Times New Roman"/>
                <w:color w:val="000000"/>
                <w:highlight w:val="none"/>
                <w:lang w:val="en-US" w:eastAsia="zh-CN"/>
              </w:rPr>
            </w:pPr>
          </w:p>
        </w:tc>
        <w:tc>
          <w:tcPr>
            <w:tcW w:w="519" w:type="pct"/>
            <w:shd w:val="clear" w:color="auto" w:fill="auto"/>
            <w:vAlign w:val="center"/>
          </w:tcPr>
          <w:p w14:paraId="35BE4AF0">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val="en-US" w:eastAsia="zh-CN"/>
              </w:rPr>
              <w:t>地下水</w:t>
            </w:r>
          </w:p>
        </w:tc>
        <w:tc>
          <w:tcPr>
            <w:tcW w:w="1298" w:type="pct"/>
            <w:vAlign w:val="center"/>
          </w:tcPr>
          <w:p w14:paraId="33E40428">
            <w:pPr>
              <w:pStyle w:val="182"/>
              <w:rPr>
                <w:rFonts w:hint="default" w:ascii="Times New Roman" w:hAnsi="Times New Roman" w:cs="Times New Roman"/>
                <w:color w:val="000000"/>
                <w:highlight w:val="none"/>
                <w:lang w:val="en-US" w:eastAsia="zh-CN"/>
              </w:rPr>
            </w:pPr>
            <w:r>
              <w:rPr>
                <w:rFonts w:hint="eastAsia" w:cs="Times New Roman"/>
                <w:color w:val="000000"/>
                <w:highlight w:val="none"/>
                <w:lang w:val="en-US" w:eastAsia="zh-CN"/>
              </w:rPr>
              <w:t>D2</w:t>
            </w:r>
          </w:p>
        </w:tc>
        <w:tc>
          <w:tcPr>
            <w:tcW w:w="662" w:type="pct"/>
            <w:vAlign w:val="center"/>
          </w:tcPr>
          <w:p w14:paraId="09FD3C5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江河区油泥砂转运点</w:t>
            </w:r>
            <w:r>
              <w:rPr>
                <w:rFonts w:hint="eastAsia" w:cs="Times New Roman"/>
                <w:color w:val="auto"/>
                <w:highlight w:val="none"/>
                <w:lang w:val="en-US" w:eastAsia="zh-CN"/>
              </w:rPr>
              <w:t>上游及下游</w:t>
            </w:r>
          </w:p>
        </w:tc>
        <w:tc>
          <w:tcPr>
            <w:tcW w:w="1272" w:type="pct"/>
            <w:vAlign w:val="center"/>
          </w:tcPr>
          <w:p w14:paraId="7A345D97">
            <w:pPr>
              <w:pStyle w:val="185"/>
              <w:jc w:val="both"/>
              <w:rPr>
                <w:rFonts w:hint="default" w:ascii="Times New Roman" w:hAnsi="Times New Roman" w:cs="Times New Roman"/>
                <w:color w:val="auto"/>
                <w:highlight w:val="none"/>
              </w:rPr>
            </w:pPr>
            <w:r>
              <w:rPr>
                <w:rFonts w:hint="default" w:ascii="Times New Roman" w:hAnsi="Times New Roman" w:cs="Times New Roman"/>
                <w:color w:val="auto"/>
                <w:highlight w:val="none"/>
              </w:rPr>
              <w:t>113°14′36.67″32°37′35.33″</w:t>
            </w:r>
          </w:p>
          <w:p w14:paraId="436437DA">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113°14′3</w:t>
            </w:r>
            <w:r>
              <w:rPr>
                <w:rFonts w:hint="eastAsia" w:ascii="Times New Roman" w:cs="Times New Roman"/>
                <w:color w:val="auto"/>
                <w:highlight w:val="none"/>
                <w:lang w:val="en-US" w:eastAsia="zh-CN"/>
              </w:rPr>
              <w:t>5</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89</w:t>
            </w:r>
            <w:r>
              <w:rPr>
                <w:rFonts w:hint="default" w:ascii="Times New Roman" w:hAnsi="Times New Roman" w:cs="Times New Roman"/>
                <w:color w:val="auto"/>
                <w:highlight w:val="none"/>
              </w:rPr>
              <w:t>″  32°37′3</w:t>
            </w:r>
            <w:r>
              <w:rPr>
                <w:rFonts w:hint="eastAsia" w:ascii="Times New Roman" w:cs="Times New Roman"/>
                <w:color w:val="auto"/>
                <w:highlight w:val="none"/>
                <w:lang w:val="en-US" w:eastAsia="zh-CN"/>
              </w:rPr>
              <w:t>4</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25</w:t>
            </w:r>
            <w:r>
              <w:rPr>
                <w:rFonts w:hint="default" w:ascii="Times New Roman" w:hAnsi="Times New Roman" w:cs="Times New Roman"/>
                <w:color w:val="auto"/>
                <w:highlight w:val="none"/>
              </w:rPr>
              <w:t>″</w:t>
            </w:r>
          </w:p>
        </w:tc>
        <w:tc>
          <w:tcPr>
            <w:tcW w:w="785" w:type="pct"/>
            <w:shd w:val="clear" w:color="auto" w:fill="auto"/>
            <w:vAlign w:val="center"/>
          </w:tcPr>
          <w:p w14:paraId="33117EC9">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eastAsia="zh-CN"/>
              </w:rPr>
              <w:t>已有</w:t>
            </w:r>
          </w:p>
        </w:tc>
      </w:tr>
      <w:tr w14:paraId="02B8B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768C703">
            <w:pPr>
              <w:pStyle w:val="182"/>
              <w:rPr>
                <w:rFonts w:hint="default" w:ascii="Times New Roman" w:hAnsi="Times New Roman" w:eastAsia="宋体" w:cs="Times New Roman"/>
                <w:color w:val="000000"/>
                <w:highlight w:val="none"/>
                <w:lang w:val="en-US" w:eastAsia="zh-CN"/>
              </w:rPr>
            </w:pPr>
          </w:p>
        </w:tc>
        <w:tc>
          <w:tcPr>
            <w:tcW w:w="519" w:type="pct"/>
            <w:shd w:val="clear" w:color="auto" w:fill="auto"/>
            <w:vAlign w:val="center"/>
          </w:tcPr>
          <w:p w14:paraId="55B42D73">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val="en-US" w:eastAsia="zh-CN"/>
              </w:rPr>
              <w:t>地下水</w:t>
            </w:r>
          </w:p>
        </w:tc>
        <w:tc>
          <w:tcPr>
            <w:tcW w:w="1298" w:type="pct"/>
            <w:vAlign w:val="center"/>
          </w:tcPr>
          <w:p w14:paraId="66AD933C">
            <w:pPr>
              <w:pStyle w:val="182"/>
              <w:rPr>
                <w:rFonts w:hint="default" w:ascii="Times New Roman" w:hAnsi="Times New Roman" w:cs="Times New Roman"/>
                <w:color w:val="000000"/>
                <w:highlight w:val="none"/>
                <w:lang w:val="en-US" w:eastAsia="zh-CN"/>
              </w:rPr>
            </w:pPr>
            <w:r>
              <w:rPr>
                <w:rFonts w:hint="eastAsia" w:cs="Times New Roman"/>
                <w:color w:val="000000"/>
                <w:highlight w:val="none"/>
                <w:lang w:val="en-US" w:eastAsia="zh-CN"/>
              </w:rPr>
              <w:t>D3</w:t>
            </w:r>
          </w:p>
        </w:tc>
        <w:tc>
          <w:tcPr>
            <w:tcW w:w="662" w:type="pct"/>
            <w:vAlign w:val="center"/>
          </w:tcPr>
          <w:p w14:paraId="74E8DCE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下二门区油泥砂转运点</w:t>
            </w:r>
            <w:r>
              <w:rPr>
                <w:rFonts w:hint="eastAsia" w:cs="Times New Roman"/>
                <w:color w:val="auto"/>
                <w:highlight w:val="none"/>
                <w:lang w:val="en-US" w:eastAsia="zh-CN"/>
              </w:rPr>
              <w:t>上游及下游</w:t>
            </w:r>
          </w:p>
        </w:tc>
        <w:tc>
          <w:tcPr>
            <w:tcW w:w="1272" w:type="pct"/>
            <w:vAlign w:val="center"/>
          </w:tcPr>
          <w:p w14:paraId="17A31510">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113°13′4.90″ 32°36′30.57″ </w:t>
            </w:r>
          </w:p>
          <w:p w14:paraId="21F3CF3B">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113°13′4.9</w:t>
            </w:r>
            <w:r>
              <w:rPr>
                <w:rFonts w:hint="eastAsia" w:ascii="Times New Roman" w:cs="Times New Roman"/>
                <w:color w:val="auto"/>
                <w:highlight w:val="none"/>
                <w:lang w:val="en-US" w:eastAsia="zh-CN"/>
              </w:rPr>
              <w:t>2</w:t>
            </w:r>
            <w:r>
              <w:rPr>
                <w:rFonts w:hint="default" w:ascii="Times New Roman" w:hAnsi="Times New Roman" w:cs="Times New Roman"/>
                <w:color w:val="auto"/>
                <w:highlight w:val="none"/>
              </w:rPr>
              <w:t>″ 32°36′3</w:t>
            </w:r>
            <w:r>
              <w:rPr>
                <w:rFonts w:hint="eastAsia" w:ascii="Times New Roman" w:cs="Times New Roman"/>
                <w:color w:val="auto"/>
                <w:highlight w:val="none"/>
                <w:lang w:val="en-US" w:eastAsia="zh-CN"/>
              </w:rPr>
              <w:t>2</w:t>
            </w:r>
            <w:r>
              <w:rPr>
                <w:rFonts w:hint="default" w:ascii="Times New Roman" w:hAnsi="Times New Roman" w:cs="Times New Roman"/>
                <w:color w:val="auto"/>
                <w:highlight w:val="none"/>
              </w:rPr>
              <w:t>.</w:t>
            </w:r>
            <w:r>
              <w:rPr>
                <w:rFonts w:hint="eastAsia" w:ascii="Times New Roman" w:cs="Times New Roman"/>
                <w:color w:val="auto"/>
                <w:highlight w:val="none"/>
                <w:lang w:val="en-US" w:eastAsia="zh-CN"/>
              </w:rPr>
              <w:t>11</w:t>
            </w:r>
            <w:r>
              <w:rPr>
                <w:rFonts w:hint="default" w:ascii="Times New Roman" w:hAnsi="Times New Roman" w:cs="Times New Roman"/>
                <w:color w:val="auto"/>
                <w:highlight w:val="none"/>
              </w:rPr>
              <w:t xml:space="preserve">″ </w:t>
            </w:r>
          </w:p>
        </w:tc>
        <w:tc>
          <w:tcPr>
            <w:tcW w:w="785" w:type="pct"/>
            <w:shd w:val="clear" w:color="auto" w:fill="auto"/>
            <w:vAlign w:val="center"/>
          </w:tcPr>
          <w:p w14:paraId="3EA8405F">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eastAsia="zh-CN"/>
              </w:rPr>
              <w:t>已有</w:t>
            </w:r>
          </w:p>
        </w:tc>
      </w:tr>
      <w:tr w14:paraId="1B8CC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72428B43">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魏岗区域地下水监测点</w:t>
            </w:r>
          </w:p>
        </w:tc>
        <w:tc>
          <w:tcPr>
            <w:tcW w:w="519" w:type="pct"/>
            <w:vAlign w:val="center"/>
          </w:tcPr>
          <w:p w14:paraId="3B1F5D8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A42761E">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7F389A9F">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官庄镇二中</w:t>
            </w:r>
          </w:p>
        </w:tc>
        <w:tc>
          <w:tcPr>
            <w:tcW w:w="1272" w:type="pct"/>
            <w:vAlign w:val="center"/>
          </w:tcPr>
          <w:p w14:paraId="0F1E4F62">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32°39′42.08″</w:t>
            </w:r>
          </w:p>
        </w:tc>
        <w:tc>
          <w:tcPr>
            <w:tcW w:w="785" w:type="pct"/>
            <w:vAlign w:val="center"/>
          </w:tcPr>
          <w:p w14:paraId="56A594C1">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728E3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45163E1">
            <w:pPr>
              <w:pStyle w:val="182"/>
              <w:rPr>
                <w:rFonts w:hint="default" w:ascii="Times New Roman" w:hAnsi="Times New Roman" w:eastAsia="宋体" w:cs="Times New Roman"/>
                <w:color w:val="000000"/>
                <w:highlight w:val="none"/>
                <w:lang w:val="en-US" w:eastAsia="zh-CN"/>
              </w:rPr>
            </w:pPr>
          </w:p>
        </w:tc>
        <w:tc>
          <w:tcPr>
            <w:tcW w:w="519" w:type="pct"/>
            <w:vAlign w:val="center"/>
          </w:tcPr>
          <w:p w14:paraId="65B7E76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2A21E44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40334474">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7号计量站面粉厂对面</w:t>
            </w:r>
          </w:p>
        </w:tc>
        <w:tc>
          <w:tcPr>
            <w:tcW w:w="1272" w:type="pct"/>
            <w:vAlign w:val="center"/>
          </w:tcPr>
          <w:p w14:paraId="3B47F3F9">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32°39′42.08″</w:t>
            </w:r>
          </w:p>
        </w:tc>
        <w:tc>
          <w:tcPr>
            <w:tcW w:w="785" w:type="pct"/>
            <w:vAlign w:val="center"/>
          </w:tcPr>
          <w:p w14:paraId="195FDA9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6A3AC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9D01BC9">
            <w:pPr>
              <w:pStyle w:val="182"/>
              <w:rPr>
                <w:rFonts w:hint="default" w:ascii="Times New Roman" w:hAnsi="Times New Roman" w:eastAsia="宋体" w:cs="Times New Roman"/>
                <w:color w:val="000000"/>
                <w:highlight w:val="none"/>
                <w:lang w:val="en-US" w:eastAsia="zh-CN"/>
              </w:rPr>
            </w:pPr>
          </w:p>
        </w:tc>
        <w:tc>
          <w:tcPr>
            <w:tcW w:w="519" w:type="pct"/>
            <w:vAlign w:val="center"/>
          </w:tcPr>
          <w:p w14:paraId="00E5C72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8D12D9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77E3B75B">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魏岗丁桥村农家井</w:t>
            </w:r>
          </w:p>
        </w:tc>
        <w:tc>
          <w:tcPr>
            <w:tcW w:w="1272" w:type="pct"/>
            <w:vAlign w:val="center"/>
          </w:tcPr>
          <w:p w14:paraId="5F52B88A">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112°36′49.00″  32°39′42.08″</w:t>
            </w:r>
          </w:p>
        </w:tc>
        <w:tc>
          <w:tcPr>
            <w:tcW w:w="785" w:type="pct"/>
            <w:vAlign w:val="center"/>
          </w:tcPr>
          <w:p w14:paraId="58F55A5D">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38251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0CA7F946">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张店区域地下水监测点</w:t>
            </w:r>
          </w:p>
        </w:tc>
        <w:tc>
          <w:tcPr>
            <w:tcW w:w="519" w:type="pct"/>
            <w:vAlign w:val="center"/>
          </w:tcPr>
          <w:p w14:paraId="12B57194">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6B69BB1">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7F779D3B">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张店油田集油站</w:t>
            </w:r>
          </w:p>
        </w:tc>
        <w:tc>
          <w:tcPr>
            <w:tcW w:w="1272" w:type="pct"/>
            <w:vAlign w:val="center"/>
          </w:tcPr>
          <w:p w14:paraId="24D8B8F8">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112°40′16.00″ 32°40′31.01″ </w:t>
            </w:r>
          </w:p>
        </w:tc>
        <w:tc>
          <w:tcPr>
            <w:tcW w:w="785" w:type="pct"/>
            <w:vAlign w:val="center"/>
          </w:tcPr>
          <w:p w14:paraId="1B6A42A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62FE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FBB4439">
            <w:pPr>
              <w:pStyle w:val="182"/>
              <w:rPr>
                <w:rFonts w:hint="default" w:ascii="Times New Roman" w:hAnsi="Times New Roman" w:eastAsia="宋体" w:cs="Times New Roman"/>
                <w:color w:val="000000"/>
                <w:highlight w:val="none"/>
                <w:lang w:val="en-US" w:eastAsia="zh-CN"/>
              </w:rPr>
            </w:pPr>
          </w:p>
        </w:tc>
        <w:tc>
          <w:tcPr>
            <w:tcW w:w="519" w:type="pct"/>
            <w:vAlign w:val="center"/>
          </w:tcPr>
          <w:p w14:paraId="510FE634">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9244DA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4DA87278">
            <w:pPr>
              <w:pStyle w:val="182"/>
              <w:rPr>
                <w:rFonts w:hint="default" w:ascii="Times New Roman" w:hAnsi="Times New Roman" w:cs="Times New Roman"/>
                <w:color w:val="auto"/>
                <w:highlight w:val="none"/>
              </w:rPr>
            </w:pPr>
            <w:r>
              <w:rPr>
                <w:rFonts w:hint="default" w:ascii="Times New Roman" w:hAnsi="Times New Roman" w:cs="Times New Roman"/>
                <w:color w:val="auto"/>
                <w:highlight w:val="none"/>
              </w:rPr>
              <w:t>张店油田2号计量站</w:t>
            </w:r>
          </w:p>
        </w:tc>
        <w:tc>
          <w:tcPr>
            <w:tcW w:w="1272" w:type="pct"/>
            <w:vAlign w:val="center"/>
          </w:tcPr>
          <w:p w14:paraId="7055F8E2">
            <w:pPr>
              <w:pStyle w:val="185"/>
              <w:rPr>
                <w:rFonts w:hint="default" w:ascii="Times New Roman" w:hAnsi="Times New Roman" w:cs="Times New Roman"/>
                <w:color w:val="auto"/>
                <w:highlight w:val="none"/>
              </w:rPr>
            </w:pPr>
            <w:r>
              <w:rPr>
                <w:rFonts w:hint="default" w:ascii="Times New Roman" w:hAnsi="Times New Roman" w:cs="Times New Roman"/>
                <w:color w:val="auto"/>
                <w:highlight w:val="none"/>
              </w:rPr>
              <w:t xml:space="preserve">112°40′16.00″ 32°40′31.01″ </w:t>
            </w:r>
          </w:p>
        </w:tc>
        <w:tc>
          <w:tcPr>
            <w:tcW w:w="785" w:type="pct"/>
            <w:vAlign w:val="center"/>
          </w:tcPr>
          <w:p w14:paraId="6C3CA03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AAE5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DF0A341">
            <w:pPr>
              <w:pStyle w:val="182"/>
              <w:rPr>
                <w:rFonts w:hint="default" w:ascii="Times New Roman" w:hAnsi="Times New Roman" w:eastAsia="宋体" w:cs="Times New Roman"/>
                <w:color w:val="000000"/>
                <w:highlight w:val="none"/>
                <w:lang w:val="en-US" w:eastAsia="zh-CN"/>
              </w:rPr>
            </w:pPr>
          </w:p>
        </w:tc>
        <w:tc>
          <w:tcPr>
            <w:tcW w:w="519" w:type="pct"/>
            <w:vAlign w:val="center"/>
          </w:tcPr>
          <w:p w14:paraId="56F282C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164CA6C1">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31F42CD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张店集油站北门外侧</w:t>
            </w:r>
          </w:p>
        </w:tc>
        <w:tc>
          <w:tcPr>
            <w:tcW w:w="1272" w:type="pct"/>
            <w:vAlign w:val="center"/>
          </w:tcPr>
          <w:p w14:paraId="37150D2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112°40′16.00″ 32°40′31.01″ </w:t>
            </w:r>
          </w:p>
        </w:tc>
        <w:tc>
          <w:tcPr>
            <w:tcW w:w="785" w:type="pct"/>
            <w:vAlign w:val="center"/>
          </w:tcPr>
          <w:p w14:paraId="58CE5F9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3D4ADE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6955B3B">
            <w:pPr>
              <w:pStyle w:val="182"/>
              <w:rPr>
                <w:rFonts w:hint="default" w:ascii="Times New Roman" w:hAnsi="Times New Roman" w:eastAsia="宋体" w:cs="Times New Roman"/>
                <w:color w:val="000000"/>
                <w:highlight w:val="none"/>
                <w:lang w:val="en-US" w:eastAsia="zh-CN"/>
              </w:rPr>
            </w:pPr>
          </w:p>
        </w:tc>
        <w:tc>
          <w:tcPr>
            <w:tcW w:w="519" w:type="pct"/>
            <w:vAlign w:val="center"/>
          </w:tcPr>
          <w:p w14:paraId="5E66BBA8">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7D902F26">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303AF14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张南44井</w:t>
            </w:r>
          </w:p>
        </w:tc>
        <w:tc>
          <w:tcPr>
            <w:tcW w:w="1272" w:type="pct"/>
            <w:vAlign w:val="center"/>
          </w:tcPr>
          <w:p w14:paraId="461DB88F">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112°40′16.00″ 32°40′31.01″ </w:t>
            </w:r>
          </w:p>
        </w:tc>
        <w:tc>
          <w:tcPr>
            <w:tcW w:w="785" w:type="pct"/>
            <w:vAlign w:val="center"/>
          </w:tcPr>
          <w:p w14:paraId="1393E76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1BA99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FCF962F">
            <w:pPr>
              <w:pStyle w:val="182"/>
              <w:rPr>
                <w:rFonts w:hint="default" w:ascii="Times New Roman" w:hAnsi="Times New Roman" w:eastAsia="宋体" w:cs="Times New Roman"/>
                <w:color w:val="000000"/>
                <w:highlight w:val="none"/>
                <w:lang w:val="en-US" w:eastAsia="zh-CN"/>
              </w:rPr>
            </w:pPr>
          </w:p>
        </w:tc>
        <w:tc>
          <w:tcPr>
            <w:tcW w:w="519" w:type="pct"/>
            <w:vAlign w:val="center"/>
          </w:tcPr>
          <w:p w14:paraId="5BD3CF02">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EAA2D9C">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58A32CF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张店集油站站内</w:t>
            </w:r>
          </w:p>
        </w:tc>
        <w:tc>
          <w:tcPr>
            <w:tcW w:w="1272" w:type="pct"/>
            <w:vAlign w:val="center"/>
          </w:tcPr>
          <w:p w14:paraId="686CE89B">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 xml:space="preserve">112°40′16.00″ 32°40′31.01″ </w:t>
            </w:r>
          </w:p>
        </w:tc>
        <w:tc>
          <w:tcPr>
            <w:tcW w:w="785" w:type="pct"/>
            <w:vAlign w:val="center"/>
          </w:tcPr>
          <w:p w14:paraId="34E8BD37">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40A3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70D85EC6">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江河区域地下水监测点</w:t>
            </w:r>
          </w:p>
        </w:tc>
        <w:tc>
          <w:tcPr>
            <w:tcW w:w="519" w:type="pct"/>
            <w:vAlign w:val="center"/>
          </w:tcPr>
          <w:p w14:paraId="3400BC9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2345C54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044D50F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江河矿35#计量站</w:t>
            </w:r>
          </w:p>
        </w:tc>
        <w:tc>
          <w:tcPr>
            <w:tcW w:w="1272" w:type="pct"/>
            <w:vAlign w:val="center"/>
          </w:tcPr>
          <w:p w14:paraId="04876BA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1E3C6F88">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589F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CED35FC">
            <w:pPr>
              <w:pStyle w:val="182"/>
              <w:rPr>
                <w:rFonts w:hint="default" w:ascii="Times New Roman" w:hAnsi="Times New Roman" w:eastAsia="宋体" w:cs="Times New Roman"/>
                <w:color w:val="000000"/>
                <w:highlight w:val="none"/>
                <w:lang w:val="en-US" w:eastAsia="zh-CN"/>
              </w:rPr>
            </w:pPr>
          </w:p>
        </w:tc>
        <w:tc>
          <w:tcPr>
            <w:tcW w:w="519" w:type="pct"/>
            <w:vAlign w:val="center"/>
          </w:tcPr>
          <w:p w14:paraId="1D3198A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5E4E25EE">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148B55C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江河矿19计量站</w:t>
            </w:r>
          </w:p>
        </w:tc>
        <w:tc>
          <w:tcPr>
            <w:tcW w:w="1272" w:type="pct"/>
            <w:vAlign w:val="center"/>
          </w:tcPr>
          <w:p w14:paraId="70B3C1B4">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vAlign w:val="center"/>
          </w:tcPr>
          <w:p w14:paraId="71FBED5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6000B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Align w:val="center"/>
          </w:tcPr>
          <w:p w14:paraId="33D35603">
            <w:pPr>
              <w:pStyle w:val="182"/>
              <w:rPr>
                <w:rFonts w:hint="default" w:ascii="Times New Roman" w:hAnsi="Times New Roman" w:eastAsia="宋体" w:cs="Times New Roman"/>
                <w:color w:val="000000"/>
                <w:highlight w:val="none"/>
                <w:lang w:val="en-US" w:eastAsia="zh-CN"/>
              </w:rPr>
            </w:pPr>
          </w:p>
        </w:tc>
        <w:tc>
          <w:tcPr>
            <w:tcW w:w="519" w:type="pct"/>
            <w:shd w:val="clear" w:color="auto" w:fill="auto"/>
            <w:vAlign w:val="center"/>
          </w:tcPr>
          <w:p w14:paraId="23DB1B17">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val="en-US" w:eastAsia="zh-CN"/>
              </w:rPr>
              <w:t>地下水</w:t>
            </w:r>
          </w:p>
        </w:tc>
        <w:tc>
          <w:tcPr>
            <w:tcW w:w="1298" w:type="pct"/>
            <w:vAlign w:val="center"/>
          </w:tcPr>
          <w:p w14:paraId="1666B2F6">
            <w:pPr>
              <w:pStyle w:val="182"/>
              <w:rPr>
                <w:rFonts w:hint="default" w:ascii="Times New Roman" w:hAnsi="Times New Roman" w:cs="Times New Roman"/>
                <w:color w:val="000000"/>
                <w:highlight w:val="none"/>
                <w:lang w:val="en-US" w:eastAsia="zh-CN"/>
              </w:rPr>
            </w:pPr>
            <w:r>
              <w:rPr>
                <w:rFonts w:hint="eastAsia" w:cs="Times New Roman"/>
                <w:color w:val="000000"/>
                <w:highlight w:val="none"/>
                <w:lang w:val="en-US" w:eastAsia="zh-CN"/>
              </w:rPr>
              <w:t>D3</w:t>
            </w:r>
          </w:p>
        </w:tc>
        <w:tc>
          <w:tcPr>
            <w:tcW w:w="662" w:type="pct"/>
            <w:shd w:val="clear" w:color="auto" w:fill="auto"/>
            <w:vAlign w:val="center"/>
          </w:tcPr>
          <w:p w14:paraId="336FBDF5">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rPr>
              <w:t>江河</w:t>
            </w:r>
            <w:r>
              <w:rPr>
                <w:rFonts w:hint="eastAsia" w:cs="Times New Roman"/>
                <w:color w:val="000000"/>
                <w:highlight w:val="none"/>
                <w:lang w:val="en-US" w:eastAsia="zh-CN"/>
              </w:rPr>
              <w:t>油</w:t>
            </w:r>
            <w:r>
              <w:rPr>
                <w:rFonts w:hint="default" w:ascii="Times New Roman" w:hAnsi="Times New Roman" w:cs="Times New Roman"/>
                <w:color w:val="000000"/>
                <w:highlight w:val="none"/>
              </w:rPr>
              <w:t>矿</w:t>
            </w:r>
            <w:r>
              <w:rPr>
                <w:rFonts w:hint="eastAsia" w:cs="Times New Roman"/>
                <w:color w:val="000000"/>
                <w:highlight w:val="none"/>
                <w:lang w:val="en-US" w:eastAsia="zh-CN"/>
              </w:rPr>
              <w:t>7</w:t>
            </w:r>
            <w:r>
              <w:rPr>
                <w:rFonts w:hint="default" w:ascii="Times New Roman" w:hAnsi="Times New Roman" w:cs="Times New Roman"/>
                <w:color w:val="000000"/>
                <w:highlight w:val="none"/>
              </w:rPr>
              <w:t>#计量站</w:t>
            </w:r>
          </w:p>
        </w:tc>
        <w:tc>
          <w:tcPr>
            <w:tcW w:w="1272" w:type="pct"/>
            <w:vAlign w:val="center"/>
          </w:tcPr>
          <w:p w14:paraId="0D06760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shd w:val="clear" w:color="auto" w:fill="auto"/>
            <w:vAlign w:val="center"/>
          </w:tcPr>
          <w:p w14:paraId="65E373D1">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eastAsia="zh-CN"/>
              </w:rPr>
              <w:t>已有</w:t>
            </w:r>
          </w:p>
        </w:tc>
      </w:tr>
      <w:tr w14:paraId="450C5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Align w:val="center"/>
          </w:tcPr>
          <w:p w14:paraId="310E2AB7">
            <w:pPr>
              <w:pStyle w:val="182"/>
              <w:rPr>
                <w:rFonts w:hint="default" w:ascii="Times New Roman" w:hAnsi="Times New Roman" w:eastAsia="宋体" w:cs="Times New Roman"/>
                <w:color w:val="000000"/>
                <w:highlight w:val="none"/>
                <w:lang w:val="en-US" w:eastAsia="zh-CN"/>
              </w:rPr>
            </w:pPr>
          </w:p>
        </w:tc>
        <w:tc>
          <w:tcPr>
            <w:tcW w:w="519" w:type="pct"/>
            <w:shd w:val="clear" w:color="auto" w:fill="auto"/>
            <w:vAlign w:val="center"/>
          </w:tcPr>
          <w:p w14:paraId="79E63E13">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val="en-US" w:eastAsia="zh-CN"/>
              </w:rPr>
              <w:t>地下水</w:t>
            </w:r>
          </w:p>
        </w:tc>
        <w:tc>
          <w:tcPr>
            <w:tcW w:w="1298" w:type="pct"/>
            <w:vAlign w:val="center"/>
          </w:tcPr>
          <w:p w14:paraId="49877051">
            <w:pPr>
              <w:pStyle w:val="182"/>
              <w:rPr>
                <w:rFonts w:hint="default" w:ascii="Times New Roman" w:hAnsi="Times New Roman" w:cs="Times New Roman"/>
                <w:color w:val="000000"/>
                <w:highlight w:val="none"/>
                <w:lang w:val="en-US" w:eastAsia="zh-CN"/>
              </w:rPr>
            </w:pPr>
            <w:r>
              <w:rPr>
                <w:rFonts w:hint="eastAsia" w:cs="Times New Roman"/>
                <w:color w:val="000000"/>
                <w:highlight w:val="none"/>
                <w:lang w:val="en-US" w:eastAsia="zh-CN"/>
              </w:rPr>
              <w:t>D4</w:t>
            </w:r>
          </w:p>
        </w:tc>
        <w:tc>
          <w:tcPr>
            <w:tcW w:w="662" w:type="pct"/>
            <w:shd w:val="clear" w:color="auto" w:fill="auto"/>
            <w:vAlign w:val="center"/>
          </w:tcPr>
          <w:p w14:paraId="052D5C5D">
            <w:pPr>
              <w:pStyle w:val="182"/>
              <w:rPr>
                <w:rFonts w:hint="default" w:ascii="Times New Roman" w:hAnsi="Times New Roman" w:eastAsia="宋体" w:cs="Times New Roman"/>
                <w:bCs/>
                <w:color w:val="000000"/>
                <w:sz w:val="21"/>
                <w:szCs w:val="21"/>
                <w:highlight w:val="none"/>
                <w:lang w:val="en-US" w:eastAsia="zh-CN" w:bidi="ar-SA"/>
                <w14:textFill>
                  <w14:gradFill>
                    <w14:gsLst>
                      <w14:gs w14:pos="0">
                        <w14:srgbClr w14:val="E30000"/>
                      </w14:gs>
                      <w14:gs w14:pos="100000">
                        <w14:srgbClr w14:val="760303"/>
                      </w14:gs>
                    </w14:gsLst>
                    <w14:lin w14:scaled="0"/>
                  </w14:gradFill>
                </w14:textFill>
              </w:rPr>
            </w:pPr>
            <w:r>
              <w:rPr>
                <w:rFonts w:hint="default" w:ascii="Times New Roman" w:hAnsi="Times New Roman" w:cs="Times New Roman"/>
                <w:color w:val="auto"/>
                <w:highlight w:val="none"/>
              </w:rPr>
              <w:t>江河矿</w:t>
            </w:r>
            <w:r>
              <w:rPr>
                <w:rFonts w:hint="eastAsia" w:cs="Times New Roman"/>
                <w:color w:val="auto"/>
                <w:highlight w:val="none"/>
                <w:lang w:val="en-US" w:eastAsia="zh-CN"/>
              </w:rPr>
              <w:t>16</w:t>
            </w:r>
            <w:r>
              <w:rPr>
                <w:rFonts w:hint="default" w:ascii="Times New Roman" w:hAnsi="Times New Roman" w:cs="Times New Roman"/>
                <w:color w:val="auto"/>
                <w:highlight w:val="none"/>
              </w:rPr>
              <w:t>计量站</w:t>
            </w:r>
          </w:p>
        </w:tc>
        <w:tc>
          <w:tcPr>
            <w:tcW w:w="1272" w:type="pct"/>
            <w:vAlign w:val="center"/>
          </w:tcPr>
          <w:p w14:paraId="5E17801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113°14′36.67″  32°37′35.33″</w:t>
            </w:r>
          </w:p>
        </w:tc>
        <w:tc>
          <w:tcPr>
            <w:tcW w:w="785" w:type="pct"/>
            <w:shd w:val="clear" w:color="auto" w:fill="auto"/>
            <w:vAlign w:val="center"/>
          </w:tcPr>
          <w:p w14:paraId="687BF696">
            <w:pPr>
              <w:pStyle w:val="182"/>
              <w:rPr>
                <w:rFonts w:hint="default" w:ascii="Times New Roman" w:hAnsi="Times New Roman" w:eastAsia="宋体" w:cs="Times New Roman"/>
                <w:bCs/>
                <w:color w:val="000000"/>
                <w:sz w:val="21"/>
                <w:szCs w:val="21"/>
                <w:highlight w:val="none"/>
                <w:lang w:val="en-US" w:eastAsia="zh-CN" w:bidi="ar-SA"/>
              </w:rPr>
            </w:pPr>
            <w:r>
              <w:rPr>
                <w:rFonts w:hint="default" w:ascii="Times New Roman" w:hAnsi="Times New Roman" w:cs="Times New Roman"/>
                <w:color w:val="000000"/>
                <w:highlight w:val="none"/>
                <w:lang w:eastAsia="zh-CN"/>
              </w:rPr>
              <w:t>已有</w:t>
            </w:r>
          </w:p>
        </w:tc>
      </w:tr>
      <w:tr w14:paraId="1E374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4F6D56A8">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双河区域地下水监测点</w:t>
            </w:r>
          </w:p>
        </w:tc>
        <w:tc>
          <w:tcPr>
            <w:tcW w:w="519" w:type="pct"/>
            <w:vAlign w:val="center"/>
          </w:tcPr>
          <w:p w14:paraId="73CF902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E46C391">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25DC7A9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双河油管厂水井</w:t>
            </w:r>
          </w:p>
        </w:tc>
        <w:tc>
          <w:tcPr>
            <w:tcW w:w="1272" w:type="pct"/>
            <w:vAlign w:val="center"/>
          </w:tcPr>
          <w:p w14:paraId="2672B04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1E4CCC5C">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2B219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D8D2F51">
            <w:pPr>
              <w:pStyle w:val="182"/>
              <w:rPr>
                <w:rFonts w:hint="default" w:ascii="Times New Roman" w:hAnsi="Times New Roman" w:eastAsia="宋体" w:cs="Times New Roman"/>
                <w:color w:val="000000"/>
                <w:highlight w:val="none"/>
                <w:lang w:val="en-US" w:eastAsia="zh-CN"/>
              </w:rPr>
            </w:pPr>
          </w:p>
        </w:tc>
        <w:tc>
          <w:tcPr>
            <w:tcW w:w="519" w:type="pct"/>
            <w:vAlign w:val="center"/>
          </w:tcPr>
          <w:p w14:paraId="380B92D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01B433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33B68B7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双河5#计量站</w:t>
            </w:r>
          </w:p>
        </w:tc>
        <w:tc>
          <w:tcPr>
            <w:tcW w:w="1272" w:type="pct"/>
            <w:vAlign w:val="center"/>
          </w:tcPr>
          <w:p w14:paraId="7EFDC08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15E9842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22A49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C072E29">
            <w:pPr>
              <w:pStyle w:val="182"/>
              <w:rPr>
                <w:rFonts w:hint="default" w:ascii="Times New Roman" w:hAnsi="Times New Roman" w:eastAsia="宋体" w:cs="Times New Roman"/>
                <w:color w:val="000000"/>
                <w:highlight w:val="none"/>
                <w:lang w:val="en-US" w:eastAsia="zh-CN"/>
              </w:rPr>
            </w:pPr>
          </w:p>
        </w:tc>
        <w:tc>
          <w:tcPr>
            <w:tcW w:w="519" w:type="pct"/>
            <w:vAlign w:val="center"/>
          </w:tcPr>
          <w:p w14:paraId="19216F18">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42E1F606">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3D4C81C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双河26#计量站</w:t>
            </w:r>
          </w:p>
        </w:tc>
        <w:tc>
          <w:tcPr>
            <w:tcW w:w="1272" w:type="pct"/>
            <w:vAlign w:val="center"/>
          </w:tcPr>
          <w:p w14:paraId="623D7F06">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2123E093">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AA5E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114EC83">
            <w:pPr>
              <w:pStyle w:val="182"/>
              <w:rPr>
                <w:rFonts w:hint="default" w:ascii="Times New Roman" w:hAnsi="Times New Roman" w:eastAsia="宋体" w:cs="Times New Roman"/>
                <w:color w:val="000000"/>
                <w:highlight w:val="none"/>
                <w:lang w:val="en-US" w:eastAsia="zh-CN"/>
              </w:rPr>
            </w:pPr>
          </w:p>
        </w:tc>
        <w:tc>
          <w:tcPr>
            <w:tcW w:w="519" w:type="pct"/>
            <w:vAlign w:val="center"/>
          </w:tcPr>
          <w:p w14:paraId="758CCD1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64AF8DA3">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5F05626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双河1#计量站</w:t>
            </w:r>
          </w:p>
        </w:tc>
        <w:tc>
          <w:tcPr>
            <w:tcW w:w="1272" w:type="pct"/>
            <w:vAlign w:val="center"/>
          </w:tcPr>
          <w:p w14:paraId="226F82A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38313475">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14550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649752D">
            <w:pPr>
              <w:pStyle w:val="182"/>
              <w:rPr>
                <w:rFonts w:hint="default" w:ascii="Times New Roman" w:hAnsi="Times New Roman" w:eastAsia="宋体" w:cs="Times New Roman"/>
                <w:color w:val="000000"/>
                <w:highlight w:val="none"/>
                <w:lang w:val="en-US" w:eastAsia="zh-CN"/>
              </w:rPr>
            </w:pPr>
          </w:p>
        </w:tc>
        <w:tc>
          <w:tcPr>
            <w:tcW w:w="519" w:type="pct"/>
            <w:vAlign w:val="center"/>
          </w:tcPr>
          <w:p w14:paraId="0F1BD0A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0FCAD1F">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4A60B7A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双河25#计量站</w:t>
            </w:r>
          </w:p>
        </w:tc>
        <w:tc>
          <w:tcPr>
            <w:tcW w:w="1272" w:type="pct"/>
            <w:vAlign w:val="center"/>
          </w:tcPr>
          <w:p w14:paraId="2FF17AC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7A1DB4E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6E262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A5D9818">
            <w:pPr>
              <w:pStyle w:val="182"/>
              <w:rPr>
                <w:rFonts w:hint="default" w:ascii="Times New Roman" w:hAnsi="Times New Roman" w:eastAsia="宋体" w:cs="Times New Roman"/>
                <w:color w:val="000000"/>
                <w:highlight w:val="none"/>
                <w:lang w:val="en-US" w:eastAsia="zh-CN"/>
              </w:rPr>
            </w:pPr>
          </w:p>
        </w:tc>
        <w:tc>
          <w:tcPr>
            <w:tcW w:w="519" w:type="pct"/>
            <w:vAlign w:val="center"/>
          </w:tcPr>
          <w:p w14:paraId="03A2705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76946E0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D6</w:t>
            </w:r>
          </w:p>
        </w:tc>
        <w:tc>
          <w:tcPr>
            <w:tcW w:w="662" w:type="pct"/>
            <w:vAlign w:val="center"/>
          </w:tcPr>
          <w:p w14:paraId="6F0BB44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双河431井</w:t>
            </w:r>
          </w:p>
        </w:tc>
        <w:tc>
          <w:tcPr>
            <w:tcW w:w="1272" w:type="pct"/>
            <w:vAlign w:val="center"/>
          </w:tcPr>
          <w:p w14:paraId="15C0DAC9">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70761DDA">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CAB1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C4B25F4">
            <w:pPr>
              <w:pStyle w:val="182"/>
              <w:rPr>
                <w:rFonts w:hint="default" w:ascii="Times New Roman" w:hAnsi="Times New Roman" w:eastAsia="宋体" w:cs="Times New Roman"/>
                <w:color w:val="000000"/>
                <w:highlight w:val="none"/>
                <w:lang w:val="en-US" w:eastAsia="zh-CN"/>
              </w:rPr>
            </w:pPr>
          </w:p>
        </w:tc>
        <w:tc>
          <w:tcPr>
            <w:tcW w:w="519" w:type="pct"/>
            <w:vAlign w:val="center"/>
          </w:tcPr>
          <w:p w14:paraId="37ABC745">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DA64ACB">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D7</w:t>
            </w:r>
          </w:p>
        </w:tc>
        <w:tc>
          <w:tcPr>
            <w:tcW w:w="662" w:type="pct"/>
            <w:vAlign w:val="center"/>
          </w:tcPr>
          <w:p w14:paraId="0686222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双河443井</w:t>
            </w:r>
          </w:p>
        </w:tc>
        <w:tc>
          <w:tcPr>
            <w:tcW w:w="1272" w:type="pct"/>
            <w:vAlign w:val="center"/>
          </w:tcPr>
          <w:p w14:paraId="517F661D">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113°15′37.68″  32°38′35.33″</w:t>
            </w:r>
          </w:p>
        </w:tc>
        <w:tc>
          <w:tcPr>
            <w:tcW w:w="785" w:type="pct"/>
            <w:vAlign w:val="center"/>
          </w:tcPr>
          <w:p w14:paraId="7BBC1562">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2CC3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0A3CAFFF">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赵凹区域地下水监测点</w:t>
            </w:r>
          </w:p>
        </w:tc>
        <w:tc>
          <w:tcPr>
            <w:tcW w:w="519" w:type="pct"/>
            <w:vAlign w:val="center"/>
          </w:tcPr>
          <w:p w14:paraId="0EB34DE5">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6D42666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255A390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赵凹4#计量站</w:t>
            </w:r>
          </w:p>
        </w:tc>
        <w:tc>
          <w:tcPr>
            <w:tcW w:w="1272" w:type="pct"/>
            <w:vAlign w:val="center"/>
          </w:tcPr>
          <w:p w14:paraId="5DCD5490">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7CA30151">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755E4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A957EA4">
            <w:pPr>
              <w:pStyle w:val="182"/>
              <w:rPr>
                <w:rFonts w:hint="default" w:ascii="Times New Roman" w:hAnsi="Times New Roman" w:eastAsia="宋体" w:cs="Times New Roman"/>
                <w:color w:val="000000"/>
                <w:highlight w:val="none"/>
                <w:lang w:val="en-US" w:eastAsia="zh-CN"/>
              </w:rPr>
            </w:pPr>
          </w:p>
        </w:tc>
        <w:tc>
          <w:tcPr>
            <w:tcW w:w="519" w:type="pct"/>
            <w:vAlign w:val="center"/>
          </w:tcPr>
          <w:p w14:paraId="307B14BB">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643C50B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362329E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赵凹3#计量站</w:t>
            </w:r>
          </w:p>
        </w:tc>
        <w:tc>
          <w:tcPr>
            <w:tcW w:w="1272" w:type="pct"/>
            <w:vAlign w:val="center"/>
          </w:tcPr>
          <w:p w14:paraId="043194E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734C32C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77B4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1855B560">
            <w:pPr>
              <w:pStyle w:val="182"/>
              <w:rPr>
                <w:rFonts w:hint="default" w:ascii="Times New Roman" w:hAnsi="Times New Roman" w:eastAsia="宋体" w:cs="Times New Roman"/>
                <w:color w:val="000000"/>
                <w:highlight w:val="none"/>
                <w:lang w:val="en-US" w:eastAsia="zh-CN"/>
              </w:rPr>
            </w:pPr>
          </w:p>
        </w:tc>
        <w:tc>
          <w:tcPr>
            <w:tcW w:w="519" w:type="pct"/>
            <w:vAlign w:val="center"/>
          </w:tcPr>
          <w:p w14:paraId="2B6B2142">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FD4C581">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68F891C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赵凹安25</w:t>
            </w:r>
          </w:p>
        </w:tc>
        <w:tc>
          <w:tcPr>
            <w:tcW w:w="1272" w:type="pct"/>
            <w:vAlign w:val="center"/>
          </w:tcPr>
          <w:p w14:paraId="3F7A2B2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48ED245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829C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6CA3AB6D">
            <w:pPr>
              <w:pStyle w:val="182"/>
              <w:rPr>
                <w:rFonts w:hint="default" w:ascii="Times New Roman" w:hAnsi="Times New Roman" w:eastAsia="宋体" w:cs="Times New Roman"/>
                <w:color w:val="000000"/>
                <w:highlight w:val="none"/>
                <w:lang w:val="en-US" w:eastAsia="zh-CN"/>
              </w:rPr>
            </w:pPr>
          </w:p>
        </w:tc>
        <w:tc>
          <w:tcPr>
            <w:tcW w:w="519" w:type="pct"/>
            <w:vAlign w:val="center"/>
          </w:tcPr>
          <w:p w14:paraId="7E0AAE69">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2DD192E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43A54AA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赵凹泌4034</w:t>
            </w:r>
          </w:p>
        </w:tc>
        <w:tc>
          <w:tcPr>
            <w:tcW w:w="1272" w:type="pct"/>
            <w:vAlign w:val="center"/>
          </w:tcPr>
          <w:p w14:paraId="02CE937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377C2271">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6B5493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C7B749B">
            <w:pPr>
              <w:pStyle w:val="182"/>
              <w:rPr>
                <w:rFonts w:hint="default" w:ascii="Times New Roman" w:hAnsi="Times New Roman" w:eastAsia="宋体" w:cs="Times New Roman"/>
                <w:color w:val="000000"/>
                <w:highlight w:val="none"/>
                <w:lang w:val="en-US" w:eastAsia="zh-CN"/>
              </w:rPr>
            </w:pPr>
          </w:p>
        </w:tc>
        <w:tc>
          <w:tcPr>
            <w:tcW w:w="519" w:type="pct"/>
            <w:vAlign w:val="center"/>
          </w:tcPr>
          <w:p w14:paraId="3548751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656C006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4500DE2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赵安泌358</w:t>
            </w:r>
          </w:p>
        </w:tc>
        <w:tc>
          <w:tcPr>
            <w:tcW w:w="1272" w:type="pct"/>
            <w:vAlign w:val="center"/>
          </w:tcPr>
          <w:p w14:paraId="3BCE954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2FC87A7E">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A169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048CC764">
            <w:pPr>
              <w:pStyle w:val="182"/>
              <w:rPr>
                <w:rFonts w:hint="default" w:ascii="Times New Roman" w:hAnsi="Times New Roman" w:eastAsia="宋体" w:cs="Times New Roman"/>
                <w:color w:val="000000"/>
                <w:highlight w:val="none"/>
                <w:lang w:val="en-US" w:eastAsia="zh-CN"/>
              </w:rPr>
            </w:pPr>
          </w:p>
        </w:tc>
        <w:tc>
          <w:tcPr>
            <w:tcW w:w="519" w:type="pct"/>
            <w:vAlign w:val="center"/>
          </w:tcPr>
          <w:p w14:paraId="699459A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061D468">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D6</w:t>
            </w:r>
          </w:p>
        </w:tc>
        <w:tc>
          <w:tcPr>
            <w:tcW w:w="662" w:type="pct"/>
            <w:vAlign w:val="center"/>
          </w:tcPr>
          <w:p w14:paraId="1087E95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赵凹调查井（安棚9#计量站）</w:t>
            </w:r>
          </w:p>
        </w:tc>
        <w:tc>
          <w:tcPr>
            <w:tcW w:w="1272" w:type="pct"/>
            <w:vAlign w:val="center"/>
          </w:tcPr>
          <w:p w14:paraId="201CEB3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113°7′25.00″ 32°34′59.99″</w:t>
            </w:r>
          </w:p>
        </w:tc>
        <w:tc>
          <w:tcPr>
            <w:tcW w:w="785" w:type="pct"/>
            <w:vAlign w:val="center"/>
          </w:tcPr>
          <w:p w14:paraId="01470DB0">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0F98BB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restart"/>
            <w:vAlign w:val="center"/>
          </w:tcPr>
          <w:p w14:paraId="66BF9377">
            <w:pPr>
              <w:pStyle w:val="182"/>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lang w:val="en-US" w:eastAsia="zh-CN"/>
              </w:rPr>
              <w:t>下二门区域地下水监测点</w:t>
            </w:r>
          </w:p>
        </w:tc>
        <w:tc>
          <w:tcPr>
            <w:tcW w:w="519" w:type="pct"/>
            <w:vAlign w:val="center"/>
          </w:tcPr>
          <w:p w14:paraId="005AF717">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E05F894">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D1</w:t>
            </w:r>
          </w:p>
        </w:tc>
        <w:tc>
          <w:tcPr>
            <w:tcW w:w="662" w:type="pct"/>
            <w:vAlign w:val="center"/>
          </w:tcPr>
          <w:p w14:paraId="3EED8B5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下二门5-310</w:t>
            </w:r>
          </w:p>
        </w:tc>
        <w:tc>
          <w:tcPr>
            <w:tcW w:w="1272" w:type="pct"/>
            <w:vAlign w:val="center"/>
          </w:tcPr>
          <w:p w14:paraId="39E3AED1">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2FDE9BFF">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5EB2F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461" w:type="pct"/>
            <w:vMerge w:val="continue"/>
            <w:vAlign w:val="center"/>
          </w:tcPr>
          <w:p w14:paraId="42CF91CF">
            <w:pPr>
              <w:pStyle w:val="182"/>
              <w:rPr>
                <w:rFonts w:hint="default" w:ascii="Times New Roman" w:hAnsi="Times New Roman" w:eastAsia="宋体" w:cs="Times New Roman"/>
                <w:color w:val="000000"/>
                <w:highlight w:val="none"/>
                <w:lang w:val="en-US" w:eastAsia="zh-CN"/>
              </w:rPr>
            </w:pPr>
          </w:p>
        </w:tc>
        <w:tc>
          <w:tcPr>
            <w:tcW w:w="519" w:type="pct"/>
            <w:vAlign w:val="center"/>
          </w:tcPr>
          <w:p w14:paraId="5FF7BBE2">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3945923D">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D2</w:t>
            </w:r>
          </w:p>
        </w:tc>
        <w:tc>
          <w:tcPr>
            <w:tcW w:w="662" w:type="pct"/>
            <w:vAlign w:val="center"/>
          </w:tcPr>
          <w:p w14:paraId="6B448ADD">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下二门下8</w:t>
            </w:r>
          </w:p>
        </w:tc>
        <w:tc>
          <w:tcPr>
            <w:tcW w:w="1272" w:type="pct"/>
            <w:vAlign w:val="center"/>
          </w:tcPr>
          <w:p w14:paraId="36B97353">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4C8FD87B">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34E7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36057687">
            <w:pPr>
              <w:pStyle w:val="182"/>
              <w:rPr>
                <w:rFonts w:hint="default" w:ascii="Times New Roman" w:hAnsi="Times New Roman" w:eastAsia="宋体" w:cs="Times New Roman"/>
                <w:color w:val="000000"/>
                <w:highlight w:val="none"/>
                <w:lang w:val="en-US" w:eastAsia="zh-CN"/>
              </w:rPr>
            </w:pPr>
          </w:p>
        </w:tc>
        <w:tc>
          <w:tcPr>
            <w:tcW w:w="519" w:type="pct"/>
            <w:vAlign w:val="center"/>
          </w:tcPr>
          <w:p w14:paraId="12CB4A3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B041C6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D3</w:t>
            </w:r>
          </w:p>
        </w:tc>
        <w:tc>
          <w:tcPr>
            <w:tcW w:w="662" w:type="pct"/>
            <w:vAlign w:val="center"/>
          </w:tcPr>
          <w:p w14:paraId="77EF32B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下二门12#计量站</w:t>
            </w:r>
          </w:p>
        </w:tc>
        <w:tc>
          <w:tcPr>
            <w:tcW w:w="1272" w:type="pct"/>
            <w:vAlign w:val="center"/>
          </w:tcPr>
          <w:p w14:paraId="39534DB2">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4B5BB8E6">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7DA26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75B9899A">
            <w:pPr>
              <w:pStyle w:val="182"/>
              <w:rPr>
                <w:rFonts w:hint="default" w:ascii="Times New Roman" w:hAnsi="Times New Roman" w:eastAsia="宋体" w:cs="Times New Roman"/>
                <w:color w:val="000000"/>
                <w:highlight w:val="none"/>
                <w:lang w:val="en-US" w:eastAsia="zh-CN"/>
              </w:rPr>
            </w:pPr>
          </w:p>
        </w:tc>
        <w:tc>
          <w:tcPr>
            <w:tcW w:w="519" w:type="pct"/>
            <w:vAlign w:val="center"/>
          </w:tcPr>
          <w:p w14:paraId="5EEB4C28">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0A6DE460">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D4</w:t>
            </w:r>
          </w:p>
        </w:tc>
        <w:tc>
          <w:tcPr>
            <w:tcW w:w="662" w:type="pct"/>
            <w:vAlign w:val="center"/>
          </w:tcPr>
          <w:p w14:paraId="1ECD0CA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下二门J6-143</w:t>
            </w:r>
          </w:p>
        </w:tc>
        <w:tc>
          <w:tcPr>
            <w:tcW w:w="1272" w:type="pct"/>
            <w:vAlign w:val="center"/>
          </w:tcPr>
          <w:p w14:paraId="79EA09AE">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79689F73">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45F57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28906B2F">
            <w:pPr>
              <w:pStyle w:val="182"/>
              <w:rPr>
                <w:rFonts w:hint="default" w:ascii="Times New Roman" w:hAnsi="Times New Roman" w:eastAsia="宋体" w:cs="Times New Roman"/>
                <w:color w:val="000000"/>
                <w:highlight w:val="none"/>
                <w:lang w:val="en-US" w:eastAsia="zh-CN"/>
              </w:rPr>
            </w:pPr>
          </w:p>
        </w:tc>
        <w:tc>
          <w:tcPr>
            <w:tcW w:w="519" w:type="pct"/>
            <w:vAlign w:val="center"/>
          </w:tcPr>
          <w:p w14:paraId="6415694A">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537F1F8C">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D5</w:t>
            </w:r>
          </w:p>
        </w:tc>
        <w:tc>
          <w:tcPr>
            <w:tcW w:w="662" w:type="pct"/>
            <w:vAlign w:val="center"/>
          </w:tcPr>
          <w:p w14:paraId="58EFD7A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下二门13#计量站</w:t>
            </w:r>
          </w:p>
        </w:tc>
        <w:tc>
          <w:tcPr>
            <w:tcW w:w="1272" w:type="pct"/>
            <w:vAlign w:val="center"/>
          </w:tcPr>
          <w:p w14:paraId="1E2394CC">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5AF6E849">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r w14:paraId="6724B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61" w:type="pct"/>
            <w:vMerge w:val="continue"/>
            <w:vAlign w:val="center"/>
          </w:tcPr>
          <w:p w14:paraId="5F398DAD">
            <w:pPr>
              <w:pStyle w:val="182"/>
              <w:rPr>
                <w:rFonts w:hint="default" w:ascii="Times New Roman" w:hAnsi="Times New Roman" w:eastAsia="宋体" w:cs="Times New Roman"/>
                <w:color w:val="000000"/>
                <w:highlight w:val="none"/>
                <w:lang w:val="en-US" w:eastAsia="zh-CN"/>
              </w:rPr>
            </w:pPr>
          </w:p>
        </w:tc>
        <w:tc>
          <w:tcPr>
            <w:tcW w:w="519" w:type="pct"/>
            <w:vAlign w:val="center"/>
          </w:tcPr>
          <w:p w14:paraId="42F857F6">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地下水</w:t>
            </w:r>
          </w:p>
        </w:tc>
        <w:tc>
          <w:tcPr>
            <w:tcW w:w="1298" w:type="pct"/>
            <w:vAlign w:val="center"/>
          </w:tcPr>
          <w:p w14:paraId="7EE01FD5">
            <w:pPr>
              <w:pStyle w:val="182"/>
              <w:rPr>
                <w:rFonts w:hint="default" w:ascii="Times New Roman" w:hAnsi="Times New Roman" w:cs="Times New Roman"/>
                <w:color w:val="000000"/>
                <w:highlight w:val="none"/>
                <w:lang w:val="en-US" w:eastAsia="zh-CN"/>
              </w:rPr>
            </w:pPr>
            <w:r>
              <w:rPr>
                <w:rFonts w:hint="default" w:ascii="Times New Roman" w:hAnsi="Times New Roman" w:cs="Times New Roman"/>
                <w:color w:val="000000"/>
                <w:highlight w:val="none"/>
                <w:lang w:val="en-US" w:eastAsia="zh-CN"/>
              </w:rPr>
              <w:t>D6</w:t>
            </w:r>
          </w:p>
        </w:tc>
        <w:tc>
          <w:tcPr>
            <w:tcW w:w="662" w:type="pct"/>
            <w:vAlign w:val="center"/>
          </w:tcPr>
          <w:p w14:paraId="499023B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下新1号水源井</w:t>
            </w:r>
          </w:p>
        </w:tc>
        <w:tc>
          <w:tcPr>
            <w:tcW w:w="1272" w:type="pct"/>
            <w:vAlign w:val="center"/>
          </w:tcPr>
          <w:p w14:paraId="68F5C975">
            <w:pPr>
              <w:pStyle w:val="185"/>
              <w:rPr>
                <w:rFonts w:hint="default" w:ascii="Times New Roman" w:hAnsi="Times New Roman" w:cs="Times New Roman"/>
                <w:color w:val="000000"/>
                <w:highlight w:val="none"/>
              </w:rPr>
            </w:pPr>
            <w:r>
              <w:rPr>
                <w:rFonts w:hint="default" w:ascii="Times New Roman" w:hAnsi="Times New Roman" w:cs="Times New Roman"/>
                <w:color w:val="000000"/>
                <w:highlight w:val="none"/>
              </w:rPr>
              <w:t>113°13′4.90″ 32°36′30.57″</w:t>
            </w:r>
          </w:p>
        </w:tc>
        <w:tc>
          <w:tcPr>
            <w:tcW w:w="785" w:type="pct"/>
            <w:vAlign w:val="center"/>
          </w:tcPr>
          <w:p w14:paraId="3742F2F4">
            <w:pPr>
              <w:pStyle w:val="182"/>
              <w:rPr>
                <w:rFonts w:hint="default" w:ascii="Times New Roman" w:hAnsi="Times New Roman" w:cs="Times New Roman"/>
                <w:color w:val="000000"/>
                <w:highlight w:val="none"/>
                <w:lang w:eastAsia="zh-CN"/>
              </w:rPr>
            </w:pPr>
            <w:r>
              <w:rPr>
                <w:rFonts w:hint="default" w:ascii="Times New Roman" w:hAnsi="Times New Roman" w:cs="Times New Roman"/>
                <w:color w:val="000000"/>
                <w:highlight w:val="none"/>
                <w:lang w:eastAsia="zh-CN"/>
              </w:rPr>
              <w:t>已有</w:t>
            </w:r>
          </w:p>
        </w:tc>
      </w:tr>
    </w:tbl>
    <w:p w14:paraId="10623D0D">
      <w:pPr>
        <w:pStyle w:val="99"/>
        <w:rPr>
          <w:rFonts w:hint="default" w:ascii="Times New Roman" w:hAnsi="Times New Roman" w:cs="Times New Roman"/>
          <w:color w:val="000000"/>
          <w:highlight w:val="none"/>
        </w:rPr>
      </w:pPr>
    </w:p>
    <w:p w14:paraId="4CE2D25D">
      <w:pPr>
        <w:pStyle w:val="96"/>
        <w:spacing w:before="156"/>
        <w:ind w:firstLine="2800" w:firstLineChars="1000"/>
        <w:jc w:val="both"/>
        <w:rPr>
          <w:rFonts w:hint="default" w:ascii="Times New Roman" w:hAnsi="Times New Roman" w:eastAsia="宋体" w:cs="Times New Roman"/>
          <w:color w:val="000000"/>
          <w:lang w:eastAsia="zh-CN"/>
        </w:rPr>
      </w:pPr>
      <w:r>
        <w:rPr>
          <w:rFonts w:hint="default" w:ascii="Times New Roman" w:hAnsi="Times New Roman" w:cs="Times New Roman"/>
          <w:color w:val="auto"/>
          <w:sz w:val="28"/>
          <w:szCs w:val="28"/>
          <w:highlight w:val="none"/>
        </w:rPr>
        <w:t>各联合站/接转站土壤、地下水监测点位布设</w:t>
      </w:r>
      <w:r>
        <w:rPr>
          <w:rFonts w:hint="default" w:ascii="Times New Roman" w:hAnsi="Times New Roman" w:eastAsia="Times New Roman" w:cs="Times New Roman"/>
          <w:position w:val="-197"/>
          <w:sz w:val="20"/>
          <w:szCs w:val="20"/>
        </w:rPr>
        <w:drawing>
          <wp:inline distT="0" distB="0" distL="0" distR="0">
            <wp:extent cx="4693285" cy="4857115"/>
            <wp:effectExtent l="0" t="0" r="12065" b="635"/>
            <wp:docPr id="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0.jpeg"/>
                    <pic:cNvPicPr>
                      <a:picLocks noChangeAspect="1"/>
                    </pic:cNvPicPr>
                  </pic:nvPicPr>
                  <pic:blipFill>
                    <a:blip r:embed="rId43" cstate="print"/>
                    <a:stretch>
                      <a:fillRect/>
                    </a:stretch>
                  </pic:blipFill>
                  <pic:spPr>
                    <a:xfrm>
                      <a:off x="0" y="0"/>
                      <a:ext cx="4693285" cy="4857115"/>
                    </a:xfrm>
                    <a:prstGeom prst="rect">
                      <a:avLst/>
                    </a:prstGeom>
                  </pic:spPr>
                </pic:pic>
              </a:graphicData>
            </a:graphic>
          </wp:inline>
        </w:drawing>
      </w:r>
      <w:r>
        <w:rPr>
          <w:rFonts w:hint="default" w:ascii="Times New Roman" w:hAnsi="Times New Roman" w:eastAsia="Times New Roman" w:cs="Times New Roman"/>
          <w:position w:val="-196"/>
          <w:sz w:val="20"/>
          <w:szCs w:val="20"/>
        </w:rPr>
        <w:drawing>
          <wp:inline distT="0" distB="0" distL="0" distR="0">
            <wp:extent cx="5187950" cy="6263640"/>
            <wp:effectExtent l="0" t="0" r="12700" b="3810"/>
            <wp:docPr id="8"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1.jpeg"/>
                    <pic:cNvPicPr>
                      <a:picLocks noChangeAspect="1"/>
                    </pic:cNvPicPr>
                  </pic:nvPicPr>
                  <pic:blipFill>
                    <a:blip r:embed="rId44" cstate="print"/>
                    <a:stretch>
                      <a:fillRect/>
                    </a:stretch>
                  </pic:blipFill>
                  <pic:spPr>
                    <a:xfrm>
                      <a:off x="0" y="0"/>
                      <a:ext cx="5188571" cy="6263640"/>
                    </a:xfrm>
                    <a:prstGeom prst="rect">
                      <a:avLst/>
                    </a:prstGeom>
                  </pic:spPr>
                </pic:pic>
              </a:graphicData>
            </a:graphic>
          </wp:inline>
        </w:drawing>
      </w:r>
      <w:r>
        <w:rPr>
          <w:rFonts w:hint="default" w:ascii="Times New Roman" w:hAnsi="Times New Roman" w:eastAsia="Times New Roman" w:cs="Times New Roman"/>
          <w:position w:val="-195"/>
          <w:sz w:val="20"/>
          <w:szCs w:val="20"/>
        </w:rPr>
        <w:drawing>
          <wp:inline distT="0" distB="0" distL="0" distR="0">
            <wp:extent cx="5161915" cy="6231255"/>
            <wp:effectExtent l="0" t="0" r="635" b="17145"/>
            <wp:docPr id="1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4.jpeg"/>
                    <pic:cNvPicPr>
                      <a:picLocks noChangeAspect="1"/>
                    </pic:cNvPicPr>
                  </pic:nvPicPr>
                  <pic:blipFill>
                    <a:blip r:embed="rId45" cstate="print"/>
                    <a:stretch>
                      <a:fillRect/>
                    </a:stretch>
                  </pic:blipFill>
                  <pic:spPr>
                    <a:xfrm>
                      <a:off x="0" y="0"/>
                      <a:ext cx="5162060" cy="6231636"/>
                    </a:xfrm>
                    <a:prstGeom prst="rect">
                      <a:avLst/>
                    </a:prstGeom>
                  </pic:spPr>
                </pic:pic>
              </a:graphicData>
            </a:graphic>
          </wp:inline>
        </w:drawing>
      </w:r>
      <w:r>
        <w:rPr>
          <w:rFonts w:hint="default" w:ascii="Times New Roman" w:hAnsi="Times New Roman" w:eastAsia="Times New Roman" w:cs="Times New Roman"/>
          <w:position w:val="-197"/>
          <w:sz w:val="20"/>
          <w:szCs w:val="20"/>
        </w:rPr>
        <w:drawing>
          <wp:inline distT="0" distB="0" distL="0" distR="0">
            <wp:extent cx="5206365" cy="6285230"/>
            <wp:effectExtent l="0" t="0" r="13335" b="1270"/>
            <wp:docPr id="12"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5.jpeg"/>
                    <pic:cNvPicPr>
                      <a:picLocks noChangeAspect="1"/>
                    </pic:cNvPicPr>
                  </pic:nvPicPr>
                  <pic:blipFill>
                    <a:blip r:embed="rId46" cstate="print"/>
                    <a:stretch>
                      <a:fillRect/>
                    </a:stretch>
                  </pic:blipFill>
                  <pic:spPr>
                    <a:xfrm>
                      <a:off x="0" y="0"/>
                      <a:ext cx="5206561" cy="6285357"/>
                    </a:xfrm>
                    <a:prstGeom prst="rect">
                      <a:avLst/>
                    </a:prstGeom>
                  </pic:spPr>
                </pic:pic>
              </a:graphicData>
            </a:graphic>
          </wp:inline>
        </w:drawing>
      </w:r>
      <w:r>
        <w:rPr>
          <w:sz w:val="20"/>
        </w:rPr>
        <mc:AlternateContent>
          <mc:Choice Requires="wps">
            <w:drawing>
              <wp:anchor distT="0" distB="0" distL="114300" distR="114300" simplePos="0" relativeHeight="251663360" behindDoc="0" locked="0" layoutInCell="1" allowOverlap="1">
                <wp:simplePos x="0" y="0"/>
                <wp:positionH relativeFrom="column">
                  <wp:posOffset>1436370</wp:posOffset>
                </wp:positionH>
                <wp:positionV relativeFrom="paragraph">
                  <wp:posOffset>5722620</wp:posOffset>
                </wp:positionV>
                <wp:extent cx="142875" cy="102235"/>
                <wp:effectExtent l="24765" t="15875" r="41910" b="15240"/>
                <wp:wrapNone/>
                <wp:docPr id="39" name="五角星 39"/>
                <wp:cNvGraphicFramePr/>
                <a:graphic xmlns:a="http://schemas.openxmlformats.org/drawingml/2006/main">
                  <a:graphicData uri="http://schemas.microsoft.com/office/word/2010/wordprocessingShape">
                    <wps:wsp>
                      <wps:cNvSpPr/>
                      <wps:spPr>
                        <a:xfrm>
                          <a:off x="2350770" y="6865620"/>
                          <a:ext cx="142875" cy="102235"/>
                        </a:xfrm>
                        <a:prstGeom prst="star5">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13.1pt;margin-top:450.6pt;height:8.05pt;width:11.25pt;z-index:251663360;v-text-anchor:middle;mso-width-relative:page;mso-height-relative:page;" fillcolor="#4472C4 [3204]" filled="t" stroked="t" coordsize="142875,102235" o:gfxdata="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Jipt3rYAAAACwEAAA8AAAAAAAAAAQAgAAAAIgAAAGRycy9kb3ducmV2LnhtbFBLAQIUABQA&#10;AAAIAIdO4kDo6EwXmwIAACcFAAAOAAAAAAAAAAEAIAAAACcBAABkcnMvZTJvRG9jLnhtbFBLBQYA&#10;AAAABgAGAFkBAAA0BgAAAAA=&#10;" path="m0,39050l54573,39050,71437,0,88301,39050,142874,39050,98723,63184,115588,102234,71437,78100,27286,102234,44151,63184xe">
                <v:path o:connectlocs="71437,0;0,39050;27286,102234;115588,102234;142874,39050" o:connectangles="247,164,82,82,0"/>
                <v:fill on="t" focussize="0,0"/>
                <v:stroke weight="1pt" color="#2F5597 [2404]" miterlimit="8" joinstyle="miter"/>
                <v:imagedata o:title=""/>
                <o:lock v:ext="edit" aspectratio="f"/>
              </v:shape>
            </w:pict>
          </mc:Fallback>
        </mc:AlternateContent>
      </w:r>
      <w:r>
        <w:rPr>
          <w:sz w:val="20"/>
        </w:rPr>
        <mc:AlternateContent>
          <mc:Choice Requires="wps">
            <w:drawing>
              <wp:anchor distT="0" distB="0" distL="114300" distR="114300" simplePos="0" relativeHeight="251662336" behindDoc="0" locked="0" layoutInCell="1" allowOverlap="1">
                <wp:simplePos x="0" y="0"/>
                <wp:positionH relativeFrom="column">
                  <wp:posOffset>807720</wp:posOffset>
                </wp:positionH>
                <wp:positionV relativeFrom="paragraph">
                  <wp:posOffset>5578475</wp:posOffset>
                </wp:positionV>
                <wp:extent cx="727710" cy="318135"/>
                <wp:effectExtent l="0" t="0" r="15240" b="5715"/>
                <wp:wrapNone/>
                <wp:docPr id="38" name="文本框 38"/>
                <wp:cNvGraphicFramePr/>
                <a:graphic xmlns:a="http://schemas.openxmlformats.org/drawingml/2006/main">
                  <a:graphicData uri="http://schemas.microsoft.com/office/word/2010/wordprocessingShape">
                    <wps:wsp>
                      <wps:cNvSpPr txBox="1"/>
                      <wps:spPr>
                        <a:xfrm>
                          <a:off x="1804670" y="6817360"/>
                          <a:ext cx="727710" cy="3181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6ECDC16A">
                            <w:pPr>
                              <w:ind w:left="0" w:leftChars="0" w:firstLine="0" w:firstLineChars="0"/>
                              <w:jc w:val="both"/>
                              <w:rPr>
                                <w:rFonts w:hint="default" w:eastAsia="仿宋"/>
                                <w:b w:val="0"/>
                                <w:bCs w:val="0"/>
                                <w:color w:val="000000" w:themeColor="text1"/>
                                <w:w w:val="66"/>
                                <w:sz w:val="16"/>
                                <w:szCs w:val="15"/>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宋体" w:hAnsi="宋体" w:eastAsia="仿宋" w:cs="宋体"/>
                                <w:b w:val="0"/>
                                <w:bCs w:val="0"/>
                                <w:color w:val="000000" w:themeColor="text1"/>
                                <w:w w:val="66"/>
                                <w:sz w:val="18"/>
                                <w:szCs w:val="16"/>
                                <w:highlight w:val="none"/>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地下水监测井：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63.6pt;margin-top:439.25pt;height:25.05pt;width:57.3pt;z-index:251662336;mso-width-relative:page;mso-height-relative:page;" fillcolor="#FFFFFF [3201]" filled="t" stroked="f" coordsize="21600,21600" o:gfxdata="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yppTadYA&#10;AAALAQAADwAAAAAAAAABACAAAAAiAAAAZHJzL2Rvd25yZXYueG1sUEsBAhQAFAAAAAgAh07iQCjK&#10;96xaAgAAnAQAAA4AAAAAAAAAAQAgAAAAJQEAAGRycy9lMm9Eb2MueG1sUEsFBgAAAAAGAAYAWQEA&#10;APEFAAAAAA==&#10;">
                <v:fill on="t" focussize="0,0"/>
                <v:stroke on="f" weight="0.5pt"/>
                <v:imagedata o:title=""/>
                <o:lock v:ext="edit" aspectratio="f"/>
                <v:textbox>
                  <w:txbxContent>
                    <w:p w14:paraId="6ECDC16A">
                      <w:pPr>
                        <w:ind w:left="0" w:leftChars="0" w:firstLine="0" w:firstLineChars="0"/>
                        <w:jc w:val="both"/>
                        <w:rPr>
                          <w:rFonts w:hint="default" w:eastAsia="仿宋"/>
                          <w:b w:val="0"/>
                          <w:bCs w:val="0"/>
                          <w:color w:val="000000" w:themeColor="text1"/>
                          <w:w w:val="66"/>
                          <w:sz w:val="16"/>
                          <w:szCs w:val="15"/>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pPr>
                      <w:r>
                        <w:rPr>
                          <w:rFonts w:hint="eastAsia" w:ascii="宋体" w:hAnsi="宋体" w:eastAsia="仿宋" w:cs="宋体"/>
                          <w:b w:val="0"/>
                          <w:bCs w:val="0"/>
                          <w:color w:val="000000" w:themeColor="text1"/>
                          <w:w w:val="66"/>
                          <w:sz w:val="18"/>
                          <w:szCs w:val="16"/>
                          <w:highlight w:val="none"/>
                          <w:lang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Fill>
                            <w14:solidFill>
                              <w14:schemeClr w14:val="tx1"/>
                            </w14:solidFill>
                          </w14:textFill>
                          <w14:props3d w14:extrusionH="0" w14:contourW="0" w14:prstMaterial="clear"/>
                        </w:rPr>
                        <w:t>地下水监测井：</w:t>
                      </w:r>
                    </w:p>
                  </w:txbxContent>
                </v:textbox>
              </v:shape>
            </w:pict>
          </mc:Fallback>
        </mc:AlternateContent>
      </w:r>
      <w:r>
        <w:rPr>
          <w:sz w:val="20"/>
        </w:rPr>
        <mc:AlternateContent>
          <mc:Choice Requires="wps">
            <w:drawing>
              <wp:anchor distT="0" distB="0" distL="114300" distR="114300" simplePos="0" relativeHeight="251661312" behindDoc="0" locked="0" layoutInCell="1" allowOverlap="1">
                <wp:simplePos x="0" y="0"/>
                <wp:positionH relativeFrom="column">
                  <wp:posOffset>1713865</wp:posOffset>
                </wp:positionH>
                <wp:positionV relativeFrom="paragraph">
                  <wp:posOffset>1673860</wp:posOffset>
                </wp:positionV>
                <wp:extent cx="115570" cy="102235"/>
                <wp:effectExtent l="20955" t="19050" r="34925" b="31115"/>
                <wp:wrapNone/>
                <wp:docPr id="36" name="五角星 36"/>
                <wp:cNvGraphicFramePr/>
                <a:graphic xmlns:a="http://schemas.openxmlformats.org/drawingml/2006/main">
                  <a:graphicData uri="http://schemas.microsoft.com/office/word/2010/wordprocessingShape">
                    <wps:wsp>
                      <wps:cNvSpPr/>
                      <wps:spPr>
                        <a:xfrm>
                          <a:off x="2628265" y="2816860"/>
                          <a:ext cx="115570" cy="102235"/>
                        </a:xfrm>
                        <a:prstGeom prst="star5">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34.95pt;margin-top:131.8pt;height:8.05pt;width:9.1pt;z-index:251661312;v-text-anchor:middle;mso-width-relative:page;mso-height-relative:page;" fillcolor="#4472C4 [3204]" filled="t" stroked="t" coordsize="115570,102235" o:gfxdata="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" path="m0,39050l44144,39050,57785,0,71425,39050,115569,39050,79856,63184,93498,102234,57785,78100,22071,102234,35713,63184xe">
                <v:path o:connectlocs="57785,0;0,39050;22071,102234;93498,102234;115569,39050" o:connectangles="247,164,82,82,0"/>
                <v:fill on="t" focussize="0,0"/>
                <v:stroke weight="1pt" color="#2F5597 [2404]" miterlimit="8" joinstyle="miter"/>
                <v:imagedata o:title=""/>
                <o:lock v:ext="edit" aspectratio="f"/>
              </v:shape>
            </w:pict>
          </mc:Fallback>
        </mc:AlternateContent>
      </w:r>
      <w:r>
        <w:rPr>
          <w:sz w:val="20"/>
        </w:rPr>
        <mc:AlternateContent>
          <mc:Choice Requires="wps">
            <w:drawing>
              <wp:anchor distT="0" distB="0" distL="114300" distR="114300" simplePos="0" relativeHeight="251660288" behindDoc="0" locked="0" layoutInCell="1" allowOverlap="1">
                <wp:simplePos x="0" y="0"/>
                <wp:positionH relativeFrom="column">
                  <wp:posOffset>1128395</wp:posOffset>
                </wp:positionH>
                <wp:positionV relativeFrom="paragraph">
                  <wp:posOffset>3670935</wp:posOffset>
                </wp:positionV>
                <wp:extent cx="136525" cy="88265"/>
                <wp:effectExtent l="27305" t="14605" r="45720" b="30480"/>
                <wp:wrapNone/>
                <wp:docPr id="13" name="五角星 13"/>
                <wp:cNvGraphicFramePr/>
                <a:graphic xmlns:a="http://schemas.openxmlformats.org/drawingml/2006/main">
                  <a:graphicData uri="http://schemas.microsoft.com/office/word/2010/wordprocessingShape">
                    <wps:wsp>
                      <wps:cNvSpPr/>
                      <wps:spPr>
                        <a:xfrm>
                          <a:off x="2042795" y="4813935"/>
                          <a:ext cx="136525" cy="88265"/>
                        </a:xfrm>
                        <a:prstGeom prst="star5">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88.85pt;margin-top:289.05pt;height:6.95pt;width:10.75pt;z-index:251660288;v-text-anchor:middle;mso-width-relative:page;mso-height-relative:page;" fillcolor="#4472C4 [3204]" filled="t" stroked="t" coordsize="136525,88265" o:gfxdata="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" path="m0,33714l52148,33714,68262,0,84376,33714,136524,33714,94335,54550,110450,88264,68262,67427,26074,88264,42189,54550xe">
                <v:path o:connectlocs="68262,0;0,33714;26074,88264;110450,88264;136524,33714" o:connectangles="247,164,82,82,0"/>
                <v:fill on="t" focussize="0,0"/>
                <v:stroke weight="1pt" color="#2F5597 [2404]" miterlimit="8" joinstyle="miter"/>
                <v:imagedata o:title=""/>
                <o:lock v:ext="edit" aspectratio="f"/>
              </v:shape>
            </w:pict>
          </mc:Fallback>
        </mc:AlternateContent>
      </w:r>
      <w:r>
        <w:rPr>
          <w:sz w:val="20"/>
        </w:rPr>
        <mc:AlternateContent>
          <mc:Choice Requires="wps">
            <w:drawing>
              <wp:anchor distT="0" distB="0" distL="114300" distR="114300" simplePos="0" relativeHeight="251659264" behindDoc="0" locked="0" layoutInCell="1" allowOverlap="1">
                <wp:simplePos x="0" y="0"/>
                <wp:positionH relativeFrom="column">
                  <wp:posOffset>3646170</wp:posOffset>
                </wp:positionH>
                <wp:positionV relativeFrom="paragraph">
                  <wp:posOffset>1434465</wp:posOffset>
                </wp:positionV>
                <wp:extent cx="81280" cy="75565"/>
                <wp:effectExtent l="19685" t="20320" r="32385" b="18415"/>
                <wp:wrapNone/>
                <wp:docPr id="1" name="五角星 1"/>
                <wp:cNvGraphicFramePr/>
                <a:graphic xmlns:a="http://schemas.openxmlformats.org/drawingml/2006/main">
                  <a:graphicData uri="http://schemas.microsoft.com/office/word/2010/wordprocessingShape">
                    <wps:wsp>
                      <wps:cNvSpPr/>
                      <wps:spPr>
                        <a:xfrm>
                          <a:off x="4560570" y="2577465"/>
                          <a:ext cx="81280" cy="75565"/>
                        </a:xfrm>
                        <a:prstGeom prst="star5">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87.1pt;margin-top:112.95pt;height:5.95pt;width:6.4pt;z-index:251659264;v-text-anchor:middle;mso-width-relative:page;mso-height-relative:page;" fillcolor="#4472C4 [3204]" filled="t" stroked="t" coordsize="81280,75565" o:gfxdata="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G6Q&#10;9ubZAAAACwEAAA8AAAAAAAAAAQAgAAAAIgAAAGRycy9kb3ducmV2LnhtbFBLAQIUABQAAAAIAIdO&#10;4kAxairxlAIAACMFAAAOAAAAAAAAAAEAIAAAACgBAABkcnMvZTJvRG9jLnhtbFBLBQYAAAAABgAG&#10;AFkBAAAuBgAAAAA=&#10;" path="m0,28863l31046,28863,40640,0,50233,28863,81279,28863,56162,46701,65756,75564,40640,57726,15523,75564,25117,46701xe">
                <v:path o:connectlocs="40640,0;0,28863;15523,75564;65756,75564;81279,28863" o:connectangles="247,164,82,82,0"/>
                <v:fill on="t" focussize="0,0"/>
                <v:stroke weight="1pt" color="#2F5597 [2404]" miterlimit="8" joinstyle="miter"/>
                <v:imagedata o:title=""/>
                <o:lock v:ext="edit" aspectratio="f"/>
              </v:shape>
            </w:pict>
          </mc:Fallback>
        </mc:AlternateContent>
      </w:r>
      <w:r>
        <w:rPr>
          <w:rFonts w:hint="default" w:ascii="Times New Roman" w:hAnsi="Times New Roman" w:eastAsia="Times New Roman" w:cs="Times New Roman"/>
          <w:position w:val="-196"/>
          <w:sz w:val="20"/>
          <w:szCs w:val="20"/>
        </w:rPr>
        <w:drawing>
          <wp:inline distT="0" distB="0" distL="0" distR="0">
            <wp:extent cx="5191125" cy="6267450"/>
            <wp:effectExtent l="0" t="0" r="9525"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8.jpeg"/>
                    <pic:cNvPicPr>
                      <a:picLocks noChangeAspect="1"/>
                    </pic:cNvPicPr>
                  </pic:nvPicPr>
                  <pic:blipFill>
                    <a:blip r:embed="rId47" cstate="print"/>
                    <a:stretch>
                      <a:fillRect/>
                    </a:stretch>
                  </pic:blipFill>
                  <pic:spPr>
                    <a:xfrm>
                      <a:off x="0" y="0"/>
                      <a:ext cx="5191727" cy="6267450"/>
                    </a:xfrm>
                    <a:prstGeom prst="rect">
                      <a:avLst/>
                    </a:prstGeom>
                  </pic:spPr>
                </pic:pic>
              </a:graphicData>
            </a:graphic>
          </wp:inline>
        </w:drawing>
      </w:r>
      <w:r>
        <w:rPr>
          <w:rFonts w:hint="default" w:ascii="Times New Roman" w:hAnsi="Times New Roman" w:eastAsia="Times New Roman" w:cs="Times New Roman"/>
          <w:position w:val="-197"/>
          <w:sz w:val="20"/>
          <w:szCs w:val="20"/>
        </w:rPr>
        <w:drawing>
          <wp:inline distT="0" distB="0" distL="0" distR="0">
            <wp:extent cx="5194300" cy="6270625"/>
            <wp:effectExtent l="0" t="0" r="6350" b="15875"/>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jpeg"/>
                    <pic:cNvPicPr>
                      <a:picLocks noChangeAspect="1"/>
                    </pic:cNvPicPr>
                  </pic:nvPicPr>
                  <pic:blipFill>
                    <a:blip r:embed="rId48" cstate="print"/>
                    <a:stretch>
                      <a:fillRect/>
                    </a:stretch>
                  </pic:blipFill>
                  <pic:spPr>
                    <a:xfrm>
                      <a:off x="0" y="0"/>
                      <a:ext cx="5194489" cy="6270783"/>
                    </a:xfrm>
                    <a:prstGeom prst="rect">
                      <a:avLst/>
                    </a:prstGeom>
                  </pic:spPr>
                </pic:pic>
              </a:graphicData>
            </a:graphic>
          </wp:inline>
        </w:drawing>
      </w:r>
      <w:r>
        <w:rPr>
          <w:rFonts w:hint="default" w:ascii="Times New Roman" w:hAnsi="Times New Roman" w:eastAsia="宋体" w:cs="Times New Roman"/>
          <w:color w:val="000000"/>
          <w:lang w:eastAsia="zh-CN"/>
        </w:rPr>
        <w:drawing>
          <wp:inline distT="0" distB="0" distL="114300" distR="114300">
            <wp:extent cx="4384040" cy="4474210"/>
            <wp:effectExtent l="0" t="0" r="16510" b="2540"/>
            <wp:docPr id="14" name="图片 14" descr="下联监测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下联监测点位"/>
                    <pic:cNvPicPr>
                      <a:picLocks noChangeAspect="1"/>
                    </pic:cNvPicPr>
                  </pic:nvPicPr>
                  <pic:blipFill>
                    <a:blip r:embed="rId49"/>
                    <a:stretch>
                      <a:fillRect/>
                    </a:stretch>
                  </pic:blipFill>
                  <pic:spPr>
                    <a:xfrm>
                      <a:off x="0" y="0"/>
                      <a:ext cx="4384040" cy="4474210"/>
                    </a:xfrm>
                    <a:prstGeom prst="rect">
                      <a:avLst/>
                    </a:prstGeom>
                  </pic:spPr>
                </pic:pic>
              </a:graphicData>
            </a:graphic>
          </wp:inline>
        </w:drawing>
      </w:r>
      <w:r>
        <w:rPr>
          <w:rFonts w:hint="default" w:ascii="Times New Roman" w:hAnsi="Times New Roman" w:eastAsia="宋体" w:cs="Times New Roman"/>
          <w:color w:val="000000"/>
          <w:lang w:eastAsia="zh-CN"/>
        </w:rPr>
        <w:drawing>
          <wp:inline distT="0" distB="0" distL="114300" distR="114300">
            <wp:extent cx="4364990" cy="4272915"/>
            <wp:effectExtent l="0" t="0" r="16510" b="13335"/>
            <wp:docPr id="24" name="图片 24" descr="下二门巡检站监测点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下二门巡检站监测点位"/>
                    <pic:cNvPicPr>
                      <a:picLocks noChangeAspect="1"/>
                    </pic:cNvPicPr>
                  </pic:nvPicPr>
                  <pic:blipFill>
                    <a:blip r:embed="rId50"/>
                    <a:stretch>
                      <a:fillRect/>
                    </a:stretch>
                  </pic:blipFill>
                  <pic:spPr>
                    <a:xfrm>
                      <a:off x="0" y="0"/>
                      <a:ext cx="4364990" cy="4272915"/>
                    </a:xfrm>
                    <a:prstGeom prst="rect">
                      <a:avLst/>
                    </a:prstGeom>
                  </pic:spPr>
                </pic:pic>
              </a:graphicData>
            </a:graphic>
          </wp:inline>
        </w:drawing>
      </w:r>
    </w:p>
    <w:p w14:paraId="121B4985">
      <w:pPr>
        <w:pStyle w:val="96"/>
        <w:spacing w:before="156"/>
        <w:ind w:firstLine="2800" w:firstLineChars="1000"/>
        <w:jc w:val="both"/>
        <w:rPr>
          <w:rFonts w:hint="default" w:ascii="Times New Roman" w:hAnsi="Times New Roman" w:cs="Times New Roman"/>
          <w:color w:val="000000"/>
          <w:sz w:val="28"/>
          <w:szCs w:val="28"/>
          <w:highlight w:val="none"/>
        </w:rPr>
      </w:pPr>
      <w:bookmarkStart w:id="27" w:name="_Ref174696574"/>
      <w:r>
        <w:rPr>
          <w:rFonts w:hint="default" w:ascii="Times New Roman" w:hAnsi="Times New Roman" w:cs="Times New Roman"/>
          <w:color w:val="000000"/>
          <w:sz w:val="28"/>
          <w:szCs w:val="28"/>
          <w:highlight w:val="none"/>
        </w:rPr>
        <w:t xml:space="preserve">图 </w:t>
      </w:r>
      <w:r>
        <w:rPr>
          <w:rFonts w:hint="default" w:ascii="Times New Roman" w:hAnsi="Times New Roman" w:cs="Times New Roman"/>
          <w:color w:val="000000"/>
          <w:sz w:val="28"/>
          <w:szCs w:val="28"/>
          <w:highlight w:val="none"/>
        </w:rPr>
        <w:fldChar w:fldCharType="begin"/>
      </w:r>
      <w:r>
        <w:rPr>
          <w:rFonts w:hint="default" w:ascii="Times New Roman" w:hAnsi="Times New Roman" w:cs="Times New Roman"/>
          <w:color w:val="000000"/>
          <w:sz w:val="28"/>
          <w:szCs w:val="28"/>
          <w:highlight w:val="none"/>
        </w:rPr>
        <w:instrText xml:space="preserve"> SEQ 图 \* ARABIC </w:instrText>
      </w:r>
      <w:r>
        <w:rPr>
          <w:rFonts w:hint="default" w:ascii="Times New Roman" w:hAnsi="Times New Roman" w:cs="Times New Roman"/>
          <w:color w:val="000000"/>
          <w:sz w:val="28"/>
          <w:szCs w:val="28"/>
          <w:highlight w:val="none"/>
        </w:rPr>
        <w:fldChar w:fldCharType="separate"/>
      </w:r>
      <w:r>
        <w:rPr>
          <w:rFonts w:hint="default" w:ascii="Times New Roman" w:hAnsi="Times New Roman" w:cs="Times New Roman"/>
          <w:color w:val="000000"/>
          <w:sz w:val="28"/>
          <w:szCs w:val="28"/>
          <w:highlight w:val="none"/>
        </w:rPr>
        <w:t>6</w:t>
      </w:r>
      <w:r>
        <w:rPr>
          <w:rFonts w:hint="default" w:ascii="Times New Roman" w:hAnsi="Times New Roman" w:cs="Times New Roman"/>
          <w:color w:val="000000"/>
          <w:sz w:val="28"/>
          <w:szCs w:val="28"/>
          <w:highlight w:val="none"/>
        </w:rPr>
        <w:fldChar w:fldCharType="end"/>
      </w:r>
      <w:bookmarkEnd w:id="27"/>
      <w:r>
        <w:rPr>
          <w:rFonts w:hint="default" w:ascii="Times New Roman" w:hAnsi="Times New Roman" w:cs="Times New Roman"/>
          <w:color w:val="000000"/>
          <w:sz w:val="28"/>
          <w:szCs w:val="28"/>
          <w:highlight w:val="none"/>
        </w:rPr>
        <w:t xml:space="preserve">  各联合站/接转站土壤、地下水监测点位布设图</w:t>
      </w:r>
    </w:p>
    <w:p w14:paraId="3BE034CE">
      <w:pPr>
        <w:pStyle w:val="185"/>
        <w:rPr>
          <w:rFonts w:hint="default" w:ascii="Times New Roman" w:hAnsi="Times New Roman" w:cs="Times New Roman"/>
          <w:color w:val="000000"/>
          <w:highlight w:val="yellow"/>
        </w:rPr>
      </w:pPr>
    </w:p>
    <w:p w14:paraId="4F663C99">
      <w:pPr>
        <w:pStyle w:val="185"/>
        <w:rPr>
          <w:rFonts w:hint="default" w:ascii="Times New Roman" w:hAnsi="Times New Roman" w:cs="Times New Roman"/>
          <w:color w:val="000000"/>
          <w:highlight w:val="yellow"/>
        </w:rPr>
      </w:pPr>
    </w:p>
    <w:p w14:paraId="5B79B071">
      <w:pPr>
        <w:pStyle w:val="185"/>
        <w:rPr>
          <w:rFonts w:hint="default" w:ascii="Times New Roman" w:hAnsi="Times New Roman" w:cs="Times New Roman"/>
          <w:color w:val="000000"/>
          <w:highlight w:val="yellow"/>
        </w:rPr>
      </w:pPr>
    </w:p>
    <w:p w14:paraId="4416D060">
      <w:pPr>
        <w:pStyle w:val="185"/>
        <w:rPr>
          <w:rFonts w:hint="default" w:ascii="Times New Roman" w:hAnsi="Times New Roman" w:cs="Times New Roman"/>
          <w:color w:val="000000"/>
          <w:highlight w:val="yellow"/>
        </w:rPr>
      </w:pPr>
    </w:p>
    <w:p w14:paraId="7BDEA09E">
      <w:pPr>
        <w:pStyle w:val="185"/>
        <w:rPr>
          <w:rFonts w:hint="default" w:ascii="Times New Roman" w:hAnsi="Times New Roman" w:cs="Times New Roman"/>
          <w:color w:val="000000"/>
          <w:highlight w:val="yellow"/>
        </w:rPr>
      </w:pPr>
    </w:p>
    <w:p w14:paraId="6361891C">
      <w:pPr>
        <w:pStyle w:val="185"/>
        <w:rPr>
          <w:rFonts w:hint="default" w:ascii="Times New Roman" w:hAnsi="Times New Roman" w:cs="Times New Roman"/>
          <w:color w:val="000000"/>
          <w:highlight w:val="yellow"/>
        </w:rPr>
      </w:pPr>
    </w:p>
    <w:p w14:paraId="2356933C">
      <w:pPr>
        <w:pStyle w:val="3"/>
        <w:rPr>
          <w:rFonts w:hint="default" w:ascii="Times New Roman" w:hAnsi="Times New Roman" w:cs="Times New Roman"/>
          <w:color w:val="000000"/>
        </w:rPr>
      </w:pPr>
      <w:r>
        <w:rPr>
          <w:rFonts w:hint="default" w:ascii="Times New Roman" w:hAnsi="Times New Roman" w:cs="Times New Roman"/>
          <w:color w:val="000000"/>
        </w:rPr>
        <w:t>监测指标及批次</w:t>
      </w:r>
    </w:p>
    <w:p w14:paraId="4B5B3AD0">
      <w:pPr>
        <w:pStyle w:val="4"/>
        <w:rPr>
          <w:rFonts w:hint="default" w:ascii="Times New Roman" w:hAnsi="Times New Roman" w:cs="Times New Roman"/>
          <w:color w:val="000000"/>
        </w:rPr>
      </w:pPr>
      <w:r>
        <w:rPr>
          <w:rFonts w:hint="default" w:ascii="Times New Roman" w:hAnsi="Times New Roman" w:cs="Times New Roman"/>
          <w:color w:val="000000"/>
        </w:rPr>
        <w:t>土壤</w:t>
      </w:r>
    </w:p>
    <w:p w14:paraId="05EC2B7C">
      <w:pPr>
        <w:ind w:firstLine="480"/>
        <w:rPr>
          <w:rFonts w:hint="default" w:ascii="Times New Roman" w:hAnsi="Times New Roman" w:cs="Times New Roman"/>
          <w:color w:val="000000"/>
        </w:rPr>
      </w:pPr>
      <w:r>
        <w:rPr>
          <w:rFonts w:hint="default" w:ascii="Times New Roman" w:hAnsi="Times New Roman" w:cs="Times New Roman"/>
          <w:color w:val="000000"/>
        </w:rPr>
        <w:t>依据《土壤环境质量标准 建设用地土壤污染风险管控标准（试行）》（GB36600-2018）要求，监测项目为45项基本项目、石油烃（C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）和石油类，共48项，具体见</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 REF _Ref174697213 \h </w:instrText>
      </w:r>
      <w:r>
        <w:rPr>
          <w:rFonts w:hint="default" w:ascii="Times New Roman" w:hAnsi="Times New Roman" w:cs="Times New Roman"/>
          <w:color w:val="000000"/>
        </w:rPr>
        <w:fldChar w:fldCharType="separate"/>
      </w:r>
      <w:r>
        <w:rPr>
          <w:rFonts w:hint="default" w:ascii="Times New Roman" w:hAnsi="Times New Roman" w:cs="Times New Roman"/>
          <w:color w:val="000000"/>
        </w:rPr>
        <w:t>表 20</w:t>
      </w:r>
      <w:r>
        <w:rPr>
          <w:rFonts w:hint="default" w:ascii="Times New Roman" w:hAnsi="Times New Roman" w:cs="Times New Roman"/>
          <w:color w:val="000000"/>
        </w:rPr>
        <w:fldChar w:fldCharType="end"/>
      </w:r>
      <w:r>
        <w:rPr>
          <w:rFonts w:hint="default" w:ascii="Times New Roman" w:hAnsi="Times New Roman" w:cs="Times New Roman"/>
          <w:color w:val="000000"/>
        </w:rPr>
        <w:t>。</w:t>
      </w:r>
    </w:p>
    <w:p w14:paraId="504CF96E">
      <w:pPr>
        <w:ind w:firstLine="480"/>
        <w:rPr>
          <w:rFonts w:hint="default" w:ascii="Times New Roman" w:hAnsi="Times New Roman" w:cs="Times New Roman"/>
          <w:color w:val="000000"/>
        </w:rPr>
      </w:pPr>
      <w:r>
        <w:rPr>
          <w:rFonts w:hint="default" w:ascii="Times New Roman" w:hAnsi="Times New Roman" w:cs="Times New Roman"/>
          <w:color w:val="000000"/>
        </w:rPr>
        <w:t>监测频次：1次/年。</w:t>
      </w:r>
    </w:p>
    <w:p w14:paraId="3409D272">
      <w:pPr>
        <w:pStyle w:val="96"/>
        <w:spacing w:before="156"/>
        <w:rPr>
          <w:rFonts w:hint="default" w:ascii="Times New Roman" w:hAnsi="Times New Roman" w:cs="Times New Roman"/>
          <w:color w:val="000000"/>
        </w:rPr>
      </w:pPr>
      <w:bookmarkStart w:id="28" w:name="_Ref174697213"/>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20</w:t>
      </w:r>
      <w:r>
        <w:rPr>
          <w:rFonts w:hint="default" w:ascii="Times New Roman" w:hAnsi="Times New Roman" w:cs="Times New Roman"/>
          <w:color w:val="000000"/>
        </w:rPr>
        <w:fldChar w:fldCharType="end"/>
      </w:r>
      <w:bookmarkEnd w:id="28"/>
      <w:r>
        <w:rPr>
          <w:rFonts w:hint="default" w:ascii="Times New Roman" w:hAnsi="Times New Roman" w:cs="Times New Roman"/>
          <w:color w:val="000000"/>
        </w:rPr>
        <w:t xml:space="preserve">  本年度土壤监测指标</w:t>
      </w:r>
    </w:p>
    <w:tbl>
      <w:tblPr>
        <w:tblStyle w:val="3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68"/>
        <w:gridCol w:w="2637"/>
        <w:gridCol w:w="8200"/>
        <w:gridCol w:w="1866"/>
      </w:tblGrid>
      <w:tr w14:paraId="66B65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8" w:type="pct"/>
            <w:vAlign w:val="center"/>
          </w:tcPr>
          <w:p w14:paraId="77DB1EF3">
            <w:pPr>
              <w:pStyle w:val="99"/>
              <w:rPr>
                <w:rFonts w:hint="default" w:ascii="Times New Roman" w:hAnsi="Times New Roman" w:cs="Times New Roman"/>
                <w:color w:val="000000"/>
              </w:rPr>
            </w:pPr>
            <w:r>
              <w:rPr>
                <w:rFonts w:hint="default" w:ascii="Times New Roman" w:hAnsi="Times New Roman" w:cs="Times New Roman"/>
                <w:color w:val="000000"/>
              </w:rPr>
              <w:t>序号</w:t>
            </w:r>
          </w:p>
        </w:tc>
        <w:tc>
          <w:tcPr>
            <w:tcW w:w="930" w:type="pct"/>
            <w:vAlign w:val="center"/>
          </w:tcPr>
          <w:p w14:paraId="2C3F51AE">
            <w:pPr>
              <w:pStyle w:val="99"/>
              <w:rPr>
                <w:rFonts w:hint="default" w:ascii="Times New Roman" w:hAnsi="Times New Roman" w:cs="Times New Roman"/>
                <w:color w:val="000000"/>
              </w:rPr>
            </w:pPr>
            <w:r>
              <w:rPr>
                <w:rFonts w:hint="default" w:ascii="Times New Roman" w:hAnsi="Times New Roman" w:cs="Times New Roman"/>
                <w:color w:val="000000"/>
              </w:rPr>
              <w:t>指标类别</w:t>
            </w:r>
          </w:p>
        </w:tc>
        <w:tc>
          <w:tcPr>
            <w:tcW w:w="2892" w:type="pct"/>
            <w:vAlign w:val="center"/>
          </w:tcPr>
          <w:p w14:paraId="142D4E5D">
            <w:pPr>
              <w:pStyle w:val="99"/>
              <w:rPr>
                <w:rFonts w:hint="default" w:ascii="Times New Roman" w:hAnsi="Times New Roman" w:cs="Times New Roman"/>
                <w:color w:val="000000"/>
              </w:rPr>
            </w:pPr>
            <w:r>
              <w:rPr>
                <w:rFonts w:hint="default" w:ascii="Times New Roman" w:hAnsi="Times New Roman" w:cs="Times New Roman"/>
                <w:color w:val="000000"/>
              </w:rPr>
              <w:t>具体项目</w:t>
            </w:r>
          </w:p>
        </w:tc>
        <w:tc>
          <w:tcPr>
            <w:tcW w:w="658" w:type="pct"/>
            <w:vAlign w:val="center"/>
          </w:tcPr>
          <w:p w14:paraId="29240A92">
            <w:pPr>
              <w:pStyle w:val="99"/>
              <w:rPr>
                <w:rFonts w:hint="default" w:ascii="Times New Roman" w:hAnsi="Times New Roman" w:cs="Times New Roman"/>
                <w:color w:val="000000"/>
              </w:rPr>
            </w:pPr>
            <w:r>
              <w:rPr>
                <w:rFonts w:hint="default" w:ascii="Times New Roman" w:hAnsi="Times New Roman" w:cs="Times New Roman"/>
                <w:color w:val="000000"/>
              </w:rPr>
              <w:t>指标数量</w:t>
            </w:r>
          </w:p>
        </w:tc>
      </w:tr>
      <w:tr w14:paraId="4CAB9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8" w:type="pct"/>
            <w:vAlign w:val="center"/>
          </w:tcPr>
          <w:p w14:paraId="7BA04638">
            <w:pPr>
              <w:pStyle w:val="182"/>
              <w:rPr>
                <w:rFonts w:hint="default" w:ascii="Times New Roman" w:hAnsi="Times New Roman" w:cs="Times New Roman"/>
                <w:color w:val="000000"/>
              </w:rPr>
            </w:pPr>
            <w:r>
              <w:rPr>
                <w:rFonts w:hint="default" w:ascii="Times New Roman" w:hAnsi="Times New Roman" w:cs="Times New Roman"/>
                <w:color w:val="000000"/>
              </w:rPr>
              <w:t>1</w:t>
            </w:r>
          </w:p>
        </w:tc>
        <w:tc>
          <w:tcPr>
            <w:tcW w:w="930" w:type="pct"/>
            <w:vAlign w:val="center"/>
          </w:tcPr>
          <w:p w14:paraId="4EB2D0BF">
            <w:pPr>
              <w:pStyle w:val="182"/>
              <w:rPr>
                <w:rFonts w:hint="default" w:ascii="Times New Roman" w:hAnsi="Times New Roman" w:cs="Times New Roman"/>
                <w:color w:val="000000"/>
              </w:rPr>
            </w:pPr>
            <w:r>
              <w:rPr>
                <w:rFonts w:hint="default" w:ascii="Times New Roman" w:hAnsi="Times New Roman" w:cs="Times New Roman"/>
                <w:color w:val="000000"/>
              </w:rPr>
              <w:t>挥发性有机物（VOCs）</w:t>
            </w:r>
          </w:p>
        </w:tc>
        <w:tc>
          <w:tcPr>
            <w:tcW w:w="2892" w:type="pct"/>
            <w:vAlign w:val="center"/>
          </w:tcPr>
          <w:p w14:paraId="3CFF19B6">
            <w:pPr>
              <w:pStyle w:val="182"/>
              <w:rPr>
                <w:rFonts w:hint="default" w:ascii="Times New Roman" w:hAnsi="Times New Roman" w:cs="Times New Roman"/>
                <w:color w:val="000000"/>
              </w:rPr>
            </w:pPr>
            <w:r>
              <w:rPr>
                <w:rFonts w:hint="default" w:ascii="Times New Roman" w:hAnsi="Times New Roman" w:cs="Times New Roman"/>
                <w:color w:val="000000"/>
              </w:rPr>
              <w:t>苯、甲苯、乙苯、苯乙烯、氯乙烯、1，1-二氯乙烯、二氯甲烷、反-1，2-二氯乙烯、1，1-二氯乙烷、顺-1，2-二氯乙烯、氯仿、1，1，1-三氯乙烷、四氯化碳、1，2-二氯乙烷、三氯乙烯、1，2-二氯丙烷、1，1，2-三氯乙烷、四氯乙烯、氯苯、1，1，1，2-四氯乙烷、间，对-二甲苯、邻二甲苯、1，1，2，2-四氯乙烷、1，2，3-三氯丙烷、1，4-二氯苯、1，2-二氯苯、氯甲烷</w:t>
            </w:r>
          </w:p>
        </w:tc>
        <w:tc>
          <w:tcPr>
            <w:tcW w:w="658" w:type="pct"/>
            <w:vAlign w:val="center"/>
          </w:tcPr>
          <w:p w14:paraId="218A2B4B">
            <w:pPr>
              <w:pStyle w:val="182"/>
              <w:rPr>
                <w:rFonts w:hint="default" w:ascii="Times New Roman" w:hAnsi="Times New Roman" w:cs="Times New Roman"/>
                <w:color w:val="000000"/>
              </w:rPr>
            </w:pPr>
            <w:r>
              <w:rPr>
                <w:rFonts w:hint="default" w:ascii="Times New Roman" w:hAnsi="Times New Roman" w:cs="Times New Roman"/>
                <w:color w:val="000000"/>
              </w:rPr>
              <w:t>27</w:t>
            </w:r>
          </w:p>
        </w:tc>
      </w:tr>
      <w:tr w14:paraId="6576B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8" w:type="pct"/>
            <w:vAlign w:val="center"/>
          </w:tcPr>
          <w:p w14:paraId="6EC0A657">
            <w:pPr>
              <w:pStyle w:val="182"/>
              <w:rPr>
                <w:rFonts w:hint="default" w:ascii="Times New Roman" w:hAnsi="Times New Roman" w:cs="Times New Roman"/>
                <w:color w:val="000000"/>
              </w:rPr>
            </w:pPr>
            <w:r>
              <w:rPr>
                <w:rFonts w:hint="default" w:ascii="Times New Roman" w:hAnsi="Times New Roman" w:cs="Times New Roman"/>
                <w:color w:val="000000"/>
              </w:rPr>
              <w:t>2</w:t>
            </w:r>
          </w:p>
        </w:tc>
        <w:tc>
          <w:tcPr>
            <w:tcW w:w="930" w:type="pct"/>
            <w:vAlign w:val="center"/>
          </w:tcPr>
          <w:p w14:paraId="6FBA423A">
            <w:pPr>
              <w:pStyle w:val="182"/>
              <w:rPr>
                <w:rFonts w:hint="default" w:ascii="Times New Roman" w:hAnsi="Times New Roman" w:cs="Times New Roman"/>
                <w:color w:val="000000"/>
              </w:rPr>
            </w:pPr>
            <w:r>
              <w:rPr>
                <w:rFonts w:hint="default" w:ascii="Times New Roman" w:hAnsi="Times New Roman" w:cs="Times New Roman"/>
                <w:color w:val="000000"/>
              </w:rPr>
              <w:t>半挥发性有机物（SVOCs）</w:t>
            </w:r>
          </w:p>
        </w:tc>
        <w:tc>
          <w:tcPr>
            <w:tcW w:w="2892" w:type="pct"/>
            <w:vAlign w:val="center"/>
          </w:tcPr>
          <w:p w14:paraId="578B9731">
            <w:pPr>
              <w:pStyle w:val="182"/>
              <w:rPr>
                <w:rFonts w:hint="default" w:ascii="Times New Roman" w:hAnsi="Times New Roman" w:cs="Times New Roman"/>
                <w:color w:val="000000"/>
              </w:rPr>
            </w:pPr>
            <w:r>
              <w:rPr>
                <w:rFonts w:hint="default" w:ascii="Times New Roman" w:hAnsi="Times New Roman" w:cs="Times New Roman"/>
                <w:color w:val="000000"/>
              </w:rPr>
              <w:t>硝基苯、苯胺、2-氯酚、苯并[a]蒽、苯并[a]芘、苯并[b]荧蒽、苯并[k]荧蒽、䓛、二苯并[a,h]蒽、茚并[1，2，3-cd]芘、萘</w:t>
            </w:r>
          </w:p>
        </w:tc>
        <w:tc>
          <w:tcPr>
            <w:tcW w:w="658" w:type="pct"/>
            <w:vAlign w:val="center"/>
          </w:tcPr>
          <w:p w14:paraId="213410D7">
            <w:pPr>
              <w:pStyle w:val="182"/>
              <w:rPr>
                <w:rFonts w:hint="default" w:ascii="Times New Roman" w:hAnsi="Times New Roman" w:cs="Times New Roman"/>
                <w:color w:val="000000"/>
              </w:rPr>
            </w:pPr>
            <w:r>
              <w:rPr>
                <w:rFonts w:hint="default" w:ascii="Times New Roman" w:hAnsi="Times New Roman" w:cs="Times New Roman"/>
                <w:color w:val="000000"/>
              </w:rPr>
              <w:t>11</w:t>
            </w:r>
          </w:p>
        </w:tc>
      </w:tr>
      <w:tr w14:paraId="12D01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518" w:type="pct"/>
            <w:vAlign w:val="center"/>
          </w:tcPr>
          <w:p w14:paraId="16CAB785">
            <w:pPr>
              <w:pStyle w:val="182"/>
              <w:rPr>
                <w:rFonts w:hint="default" w:ascii="Times New Roman" w:hAnsi="Times New Roman" w:cs="Times New Roman"/>
                <w:color w:val="000000"/>
              </w:rPr>
            </w:pPr>
            <w:r>
              <w:rPr>
                <w:rFonts w:hint="default" w:ascii="Times New Roman" w:hAnsi="Times New Roman" w:cs="Times New Roman"/>
                <w:color w:val="000000"/>
              </w:rPr>
              <w:t>3</w:t>
            </w:r>
          </w:p>
        </w:tc>
        <w:tc>
          <w:tcPr>
            <w:tcW w:w="930" w:type="pct"/>
            <w:vAlign w:val="center"/>
          </w:tcPr>
          <w:p w14:paraId="79EF2628">
            <w:pPr>
              <w:pStyle w:val="182"/>
              <w:rPr>
                <w:rFonts w:hint="default" w:ascii="Times New Roman" w:hAnsi="Times New Roman" w:cs="Times New Roman"/>
                <w:color w:val="000000"/>
              </w:rPr>
            </w:pPr>
            <w:r>
              <w:rPr>
                <w:rFonts w:hint="default" w:ascii="Times New Roman" w:hAnsi="Times New Roman" w:cs="Times New Roman"/>
                <w:color w:val="000000"/>
              </w:rPr>
              <w:t>特征污染物</w:t>
            </w:r>
          </w:p>
        </w:tc>
        <w:tc>
          <w:tcPr>
            <w:tcW w:w="2892" w:type="pct"/>
            <w:vAlign w:val="center"/>
          </w:tcPr>
          <w:p w14:paraId="6697B940">
            <w:pPr>
              <w:pStyle w:val="182"/>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w:t>
            </w:r>
          </w:p>
          <w:p w14:paraId="65AABBAB">
            <w:pPr>
              <w:pStyle w:val="182"/>
              <w:rPr>
                <w:rFonts w:hint="default" w:ascii="Times New Roman" w:hAnsi="Times New Roman" w:cs="Times New Roman"/>
                <w:color w:val="000000"/>
              </w:rPr>
            </w:pPr>
            <w:r>
              <w:rPr>
                <w:rFonts w:hint="default" w:ascii="Times New Roman" w:hAnsi="Times New Roman" w:cs="Times New Roman"/>
                <w:color w:val="000000"/>
              </w:rPr>
              <w:t>石油类、</w:t>
            </w:r>
          </w:p>
        </w:tc>
        <w:tc>
          <w:tcPr>
            <w:tcW w:w="658" w:type="pct"/>
            <w:vAlign w:val="center"/>
          </w:tcPr>
          <w:p w14:paraId="61EE6CC8">
            <w:pPr>
              <w:pStyle w:val="182"/>
              <w:rPr>
                <w:rFonts w:hint="default" w:ascii="Times New Roman" w:hAnsi="Times New Roman" w:cs="Times New Roman"/>
                <w:color w:val="000000"/>
              </w:rPr>
            </w:pPr>
            <w:r>
              <w:rPr>
                <w:rFonts w:hint="default" w:ascii="Times New Roman" w:hAnsi="Times New Roman" w:cs="Times New Roman"/>
                <w:color w:val="000000"/>
              </w:rPr>
              <w:t>3</w:t>
            </w:r>
          </w:p>
        </w:tc>
      </w:tr>
      <w:tr w14:paraId="06537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2" w:hRule="atLeast"/>
          <w:jc w:val="center"/>
        </w:trPr>
        <w:tc>
          <w:tcPr>
            <w:tcW w:w="518" w:type="pct"/>
            <w:vAlign w:val="center"/>
          </w:tcPr>
          <w:p w14:paraId="5313AC72">
            <w:pPr>
              <w:pStyle w:val="182"/>
              <w:rPr>
                <w:rFonts w:hint="default" w:ascii="Times New Roman" w:hAnsi="Times New Roman" w:cs="Times New Roman"/>
                <w:color w:val="000000"/>
              </w:rPr>
            </w:pPr>
            <w:r>
              <w:rPr>
                <w:rFonts w:hint="default" w:ascii="Times New Roman" w:hAnsi="Times New Roman" w:cs="Times New Roman"/>
                <w:color w:val="000000"/>
              </w:rPr>
              <w:t>4</w:t>
            </w:r>
          </w:p>
        </w:tc>
        <w:tc>
          <w:tcPr>
            <w:tcW w:w="930" w:type="pct"/>
            <w:vAlign w:val="center"/>
          </w:tcPr>
          <w:p w14:paraId="34CB72BF">
            <w:pPr>
              <w:pStyle w:val="182"/>
              <w:rPr>
                <w:rFonts w:hint="default" w:ascii="Times New Roman" w:hAnsi="Times New Roman" w:cs="Times New Roman"/>
                <w:color w:val="000000"/>
              </w:rPr>
            </w:pPr>
            <w:r>
              <w:rPr>
                <w:rFonts w:hint="default" w:ascii="Times New Roman" w:hAnsi="Times New Roman" w:cs="Times New Roman"/>
                <w:color w:val="000000"/>
              </w:rPr>
              <w:t>重金属</w:t>
            </w:r>
          </w:p>
        </w:tc>
        <w:tc>
          <w:tcPr>
            <w:tcW w:w="2892" w:type="pct"/>
            <w:vAlign w:val="center"/>
          </w:tcPr>
          <w:p w14:paraId="7BFDE159">
            <w:pPr>
              <w:pStyle w:val="182"/>
              <w:rPr>
                <w:rFonts w:hint="default" w:ascii="Times New Roman" w:hAnsi="Times New Roman" w:cs="Times New Roman"/>
                <w:color w:val="000000"/>
              </w:rPr>
            </w:pPr>
            <w:r>
              <w:rPr>
                <w:rFonts w:hint="default" w:ascii="Times New Roman" w:hAnsi="Times New Roman" w:cs="Times New Roman"/>
                <w:color w:val="000000"/>
              </w:rPr>
              <w:t>总汞、总砷、铜、镍、铅、镉、六价铬</w:t>
            </w:r>
          </w:p>
        </w:tc>
        <w:tc>
          <w:tcPr>
            <w:tcW w:w="658" w:type="pct"/>
            <w:vAlign w:val="center"/>
          </w:tcPr>
          <w:p w14:paraId="55BB1CF9">
            <w:pPr>
              <w:pStyle w:val="182"/>
              <w:rPr>
                <w:rFonts w:hint="default" w:ascii="Times New Roman" w:hAnsi="Times New Roman" w:cs="Times New Roman"/>
                <w:color w:val="000000"/>
              </w:rPr>
            </w:pPr>
            <w:r>
              <w:rPr>
                <w:rFonts w:hint="default" w:ascii="Times New Roman" w:hAnsi="Times New Roman" w:cs="Times New Roman"/>
                <w:color w:val="000000"/>
              </w:rPr>
              <w:t>7</w:t>
            </w:r>
          </w:p>
        </w:tc>
      </w:tr>
    </w:tbl>
    <w:p w14:paraId="4A050689">
      <w:pPr>
        <w:ind w:firstLine="480"/>
        <w:rPr>
          <w:rFonts w:hint="default" w:ascii="Times New Roman" w:hAnsi="Times New Roman" w:cs="Times New Roman"/>
          <w:color w:val="000000"/>
        </w:rPr>
      </w:pPr>
    </w:p>
    <w:p w14:paraId="3DD888B7">
      <w:pPr>
        <w:pStyle w:val="4"/>
        <w:rPr>
          <w:rFonts w:hint="default" w:ascii="Times New Roman" w:hAnsi="Times New Roman" w:cs="Times New Roman"/>
          <w:color w:val="000000"/>
        </w:rPr>
      </w:pPr>
      <w:r>
        <w:rPr>
          <w:rFonts w:hint="default" w:ascii="Times New Roman" w:hAnsi="Times New Roman" w:cs="Times New Roman"/>
          <w:color w:val="000000"/>
        </w:rPr>
        <w:t>地下水</w:t>
      </w:r>
    </w:p>
    <w:p w14:paraId="3701B13E">
      <w:pPr>
        <w:ind w:firstLine="480"/>
        <w:rPr>
          <w:rFonts w:hint="default" w:ascii="Times New Roman" w:hAnsi="Times New Roman" w:cs="Times New Roman"/>
          <w:color w:val="000000"/>
        </w:rPr>
      </w:pPr>
      <w:r>
        <w:rPr>
          <w:rFonts w:hint="default" w:ascii="Times New Roman" w:hAnsi="Times New Roman" w:cs="Times New Roman"/>
          <w:color w:val="000000"/>
        </w:rPr>
        <w:t>依据《地下水质量标准》（GB/T14848-2017）、《地下水环境监测技术规范》（HJ 164-2020）、《工业企业土壤和地下水自行监测技术指南》（试行）（HJ1209-2021）标准规范要求，监测项目共38项，具体见</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 REF _Ref174697232 \h </w:instrText>
      </w:r>
      <w:r>
        <w:rPr>
          <w:rFonts w:hint="default" w:ascii="Times New Roman" w:hAnsi="Times New Roman" w:cs="Times New Roman"/>
          <w:color w:val="000000"/>
        </w:rPr>
        <w:fldChar w:fldCharType="separate"/>
      </w:r>
      <w:r>
        <w:rPr>
          <w:rFonts w:hint="default" w:ascii="Times New Roman" w:hAnsi="Times New Roman" w:cs="Times New Roman"/>
          <w:color w:val="000000"/>
        </w:rPr>
        <w:t>表 21</w:t>
      </w:r>
      <w:r>
        <w:rPr>
          <w:rFonts w:hint="default" w:ascii="Times New Roman" w:hAnsi="Times New Roman" w:cs="Times New Roman"/>
          <w:color w:val="000000"/>
        </w:rPr>
        <w:fldChar w:fldCharType="end"/>
      </w:r>
      <w:r>
        <w:rPr>
          <w:rFonts w:hint="default" w:ascii="Times New Roman" w:hAnsi="Times New Roman" w:cs="Times New Roman"/>
          <w:color w:val="000000"/>
        </w:rPr>
        <w:t>。</w:t>
      </w:r>
    </w:p>
    <w:p w14:paraId="56F96C6B">
      <w:pPr>
        <w:ind w:firstLine="480"/>
        <w:rPr>
          <w:rFonts w:hint="default" w:ascii="Times New Roman" w:hAnsi="Times New Roman" w:cs="Times New Roman"/>
          <w:color w:val="000000"/>
        </w:rPr>
      </w:pPr>
      <w:r>
        <w:rPr>
          <w:rFonts w:hint="default" w:ascii="Times New Roman" w:hAnsi="Times New Roman" w:cs="Times New Roman"/>
          <w:color w:val="000000"/>
        </w:rPr>
        <w:t>监测频次：2次/年。</w:t>
      </w:r>
    </w:p>
    <w:p w14:paraId="39C116FE">
      <w:pPr>
        <w:pStyle w:val="96"/>
        <w:spacing w:before="156"/>
        <w:rPr>
          <w:rFonts w:hint="default" w:ascii="Times New Roman" w:hAnsi="Times New Roman" w:cs="Times New Roman"/>
          <w:color w:val="000000"/>
        </w:rPr>
      </w:pPr>
      <w:bookmarkStart w:id="29" w:name="_Ref174697232"/>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21</w:t>
      </w:r>
      <w:r>
        <w:rPr>
          <w:rFonts w:hint="default" w:ascii="Times New Roman" w:hAnsi="Times New Roman" w:cs="Times New Roman"/>
          <w:color w:val="000000"/>
        </w:rPr>
        <w:fldChar w:fldCharType="end"/>
      </w:r>
      <w:bookmarkEnd w:id="29"/>
      <w:r>
        <w:rPr>
          <w:rFonts w:hint="default" w:ascii="Times New Roman" w:hAnsi="Times New Roman" w:cs="Times New Roman"/>
          <w:color w:val="000000"/>
        </w:rPr>
        <w:t xml:space="preserve">  本年度地下水监测指标</w:t>
      </w:r>
    </w:p>
    <w:tbl>
      <w:tblPr>
        <w:tblStyle w:val="37"/>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0"/>
        <w:gridCol w:w="2462"/>
        <w:gridCol w:w="8471"/>
        <w:gridCol w:w="1858"/>
      </w:tblGrid>
      <w:tr w14:paraId="1C422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87" w:type="pct"/>
            <w:vAlign w:val="center"/>
          </w:tcPr>
          <w:p w14:paraId="3F9BEB1C">
            <w:pPr>
              <w:pStyle w:val="99"/>
              <w:rPr>
                <w:rFonts w:hint="default" w:ascii="Times New Roman" w:hAnsi="Times New Roman" w:cs="Times New Roman"/>
                <w:color w:val="000000"/>
              </w:rPr>
            </w:pPr>
            <w:r>
              <w:rPr>
                <w:rFonts w:hint="default" w:ascii="Times New Roman" w:hAnsi="Times New Roman" w:cs="Times New Roman"/>
                <w:color w:val="000000"/>
              </w:rPr>
              <w:t>序号</w:t>
            </w:r>
          </w:p>
        </w:tc>
        <w:tc>
          <w:tcPr>
            <w:tcW w:w="868" w:type="pct"/>
            <w:vAlign w:val="center"/>
          </w:tcPr>
          <w:p w14:paraId="5B976D08">
            <w:pPr>
              <w:pStyle w:val="99"/>
              <w:rPr>
                <w:rFonts w:hint="default" w:ascii="Times New Roman" w:hAnsi="Times New Roman" w:cs="Times New Roman"/>
                <w:color w:val="000000"/>
              </w:rPr>
            </w:pPr>
            <w:r>
              <w:rPr>
                <w:rFonts w:hint="default" w:ascii="Times New Roman" w:hAnsi="Times New Roman" w:cs="Times New Roman"/>
                <w:color w:val="000000"/>
              </w:rPr>
              <w:t>指标类别</w:t>
            </w:r>
          </w:p>
        </w:tc>
        <w:tc>
          <w:tcPr>
            <w:tcW w:w="2987" w:type="pct"/>
            <w:vAlign w:val="center"/>
          </w:tcPr>
          <w:p w14:paraId="5B3EC045">
            <w:pPr>
              <w:pStyle w:val="99"/>
              <w:rPr>
                <w:rFonts w:hint="default" w:ascii="Times New Roman" w:hAnsi="Times New Roman" w:cs="Times New Roman"/>
                <w:color w:val="000000"/>
              </w:rPr>
            </w:pPr>
            <w:r>
              <w:rPr>
                <w:rFonts w:hint="default" w:ascii="Times New Roman" w:hAnsi="Times New Roman" w:cs="Times New Roman"/>
                <w:color w:val="000000"/>
              </w:rPr>
              <w:t>具体项目</w:t>
            </w:r>
          </w:p>
        </w:tc>
        <w:tc>
          <w:tcPr>
            <w:tcW w:w="655" w:type="pct"/>
            <w:vAlign w:val="center"/>
          </w:tcPr>
          <w:p w14:paraId="1162F448">
            <w:pPr>
              <w:pStyle w:val="99"/>
              <w:rPr>
                <w:rFonts w:hint="default" w:ascii="Times New Roman" w:hAnsi="Times New Roman" w:cs="Times New Roman"/>
                <w:color w:val="000000"/>
              </w:rPr>
            </w:pPr>
            <w:r>
              <w:rPr>
                <w:rFonts w:hint="default" w:ascii="Times New Roman" w:hAnsi="Times New Roman" w:cs="Times New Roman"/>
                <w:color w:val="000000"/>
              </w:rPr>
              <w:t>指标数量</w:t>
            </w:r>
          </w:p>
        </w:tc>
      </w:tr>
      <w:tr w14:paraId="6D66D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87" w:type="pct"/>
            <w:vAlign w:val="center"/>
          </w:tcPr>
          <w:p w14:paraId="2FD7981C">
            <w:pPr>
              <w:pStyle w:val="182"/>
              <w:rPr>
                <w:rFonts w:hint="default" w:ascii="Times New Roman" w:hAnsi="Times New Roman" w:cs="Times New Roman"/>
                <w:color w:val="000000"/>
              </w:rPr>
            </w:pPr>
            <w:r>
              <w:rPr>
                <w:rFonts w:hint="default" w:ascii="Times New Roman" w:hAnsi="Times New Roman" w:cs="Times New Roman"/>
                <w:color w:val="000000"/>
              </w:rPr>
              <w:t>1</w:t>
            </w:r>
          </w:p>
        </w:tc>
        <w:tc>
          <w:tcPr>
            <w:tcW w:w="868" w:type="pct"/>
            <w:vAlign w:val="center"/>
          </w:tcPr>
          <w:p w14:paraId="7CF34941">
            <w:pPr>
              <w:pStyle w:val="182"/>
              <w:rPr>
                <w:rFonts w:hint="default" w:ascii="Times New Roman" w:hAnsi="Times New Roman" w:cs="Times New Roman"/>
                <w:color w:val="000000"/>
              </w:rPr>
            </w:pPr>
            <w:r>
              <w:rPr>
                <w:rFonts w:hint="default" w:ascii="Times New Roman" w:hAnsi="Times New Roman" w:cs="Times New Roman"/>
                <w:color w:val="000000"/>
              </w:rPr>
              <w:t>感官性状及一般化学指标</w:t>
            </w:r>
          </w:p>
        </w:tc>
        <w:tc>
          <w:tcPr>
            <w:tcW w:w="2987" w:type="pct"/>
            <w:vAlign w:val="center"/>
          </w:tcPr>
          <w:p w14:paraId="1C4E2FB6">
            <w:pPr>
              <w:pStyle w:val="182"/>
              <w:rPr>
                <w:rFonts w:hint="default" w:ascii="Times New Roman" w:hAnsi="Times New Roman" w:cs="Times New Roman"/>
                <w:color w:val="000000"/>
              </w:rPr>
            </w:pPr>
            <w:r>
              <w:rPr>
                <w:rFonts w:hint="default" w:ascii="Times New Roman" w:hAnsi="Times New Roman" w:cs="Times New Roman"/>
                <w:color w:val="000000"/>
              </w:rPr>
              <w:t>色、嗅和味、浑浊度、肉眼可见物、pH、总硬度、溶解性总固体、硫酸盐、氯化物、铁、锰、铜、锌、铝、挥发性酚类、阴离子表面活性剂、耗氧量（CODMn法）、氨氮、硫化物、钠</w:t>
            </w:r>
          </w:p>
        </w:tc>
        <w:tc>
          <w:tcPr>
            <w:tcW w:w="655" w:type="pct"/>
            <w:vAlign w:val="center"/>
          </w:tcPr>
          <w:p w14:paraId="7E891E92">
            <w:pPr>
              <w:pStyle w:val="182"/>
              <w:rPr>
                <w:rFonts w:hint="default" w:ascii="Times New Roman" w:hAnsi="Times New Roman" w:cs="Times New Roman"/>
                <w:color w:val="000000"/>
              </w:rPr>
            </w:pPr>
            <w:r>
              <w:rPr>
                <w:rFonts w:hint="default" w:ascii="Times New Roman" w:hAnsi="Times New Roman" w:cs="Times New Roman"/>
                <w:color w:val="000000"/>
              </w:rPr>
              <w:t>20</w:t>
            </w:r>
          </w:p>
        </w:tc>
      </w:tr>
      <w:tr w14:paraId="0070A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87" w:type="pct"/>
            <w:vAlign w:val="center"/>
          </w:tcPr>
          <w:p w14:paraId="1D26EE21">
            <w:pPr>
              <w:pStyle w:val="182"/>
              <w:rPr>
                <w:rFonts w:hint="default" w:ascii="Times New Roman" w:hAnsi="Times New Roman" w:cs="Times New Roman"/>
                <w:color w:val="000000"/>
              </w:rPr>
            </w:pPr>
            <w:r>
              <w:rPr>
                <w:rFonts w:hint="default" w:ascii="Times New Roman" w:hAnsi="Times New Roman" w:cs="Times New Roman"/>
                <w:color w:val="000000"/>
              </w:rPr>
              <w:t>2</w:t>
            </w:r>
          </w:p>
        </w:tc>
        <w:tc>
          <w:tcPr>
            <w:tcW w:w="868" w:type="pct"/>
            <w:vAlign w:val="center"/>
          </w:tcPr>
          <w:p w14:paraId="798A2B0C">
            <w:pPr>
              <w:pStyle w:val="182"/>
              <w:rPr>
                <w:rFonts w:hint="default" w:ascii="Times New Roman" w:hAnsi="Times New Roman" w:cs="Times New Roman"/>
                <w:color w:val="000000"/>
              </w:rPr>
            </w:pPr>
            <w:r>
              <w:rPr>
                <w:rFonts w:hint="default" w:ascii="Times New Roman" w:hAnsi="Times New Roman" w:cs="Times New Roman"/>
                <w:color w:val="000000"/>
              </w:rPr>
              <w:t>毒理学指标</w:t>
            </w:r>
          </w:p>
        </w:tc>
        <w:tc>
          <w:tcPr>
            <w:tcW w:w="2987" w:type="pct"/>
            <w:vAlign w:val="center"/>
          </w:tcPr>
          <w:p w14:paraId="44A25B01">
            <w:pPr>
              <w:pStyle w:val="182"/>
              <w:rPr>
                <w:rFonts w:hint="default" w:ascii="Times New Roman" w:hAnsi="Times New Roman" w:cs="Times New Roman"/>
                <w:color w:val="000000"/>
              </w:rPr>
            </w:pPr>
            <w:r>
              <w:rPr>
                <w:rFonts w:hint="default" w:ascii="Times New Roman" w:hAnsi="Times New Roman" w:cs="Times New Roman"/>
                <w:color w:val="000000"/>
              </w:rPr>
              <w:t>亚硝酸盐、硝酸盐、氰化物、氟化物、碘化物、汞、砷、硒、镉、铬（六价）、铅、三氯甲烷、四氯化碳、苯、甲苯</w:t>
            </w:r>
          </w:p>
        </w:tc>
        <w:tc>
          <w:tcPr>
            <w:tcW w:w="655" w:type="pct"/>
            <w:vAlign w:val="center"/>
          </w:tcPr>
          <w:p w14:paraId="238A01B8">
            <w:pPr>
              <w:pStyle w:val="182"/>
              <w:rPr>
                <w:rFonts w:hint="default" w:ascii="Times New Roman" w:hAnsi="Times New Roman" w:cs="Times New Roman"/>
                <w:color w:val="000000"/>
              </w:rPr>
            </w:pPr>
            <w:r>
              <w:rPr>
                <w:rFonts w:hint="default" w:ascii="Times New Roman" w:hAnsi="Times New Roman" w:cs="Times New Roman"/>
                <w:color w:val="000000"/>
              </w:rPr>
              <w:t>15</w:t>
            </w:r>
          </w:p>
        </w:tc>
      </w:tr>
      <w:tr w14:paraId="01D72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487" w:type="pct"/>
            <w:vAlign w:val="center"/>
          </w:tcPr>
          <w:p w14:paraId="7CBD6C61">
            <w:pPr>
              <w:pStyle w:val="182"/>
              <w:rPr>
                <w:rFonts w:hint="default" w:ascii="Times New Roman" w:hAnsi="Times New Roman" w:cs="Times New Roman"/>
                <w:color w:val="000000"/>
              </w:rPr>
            </w:pPr>
            <w:r>
              <w:rPr>
                <w:rFonts w:hint="default" w:ascii="Times New Roman" w:hAnsi="Times New Roman" w:cs="Times New Roman"/>
                <w:color w:val="000000"/>
              </w:rPr>
              <w:t>3</w:t>
            </w:r>
          </w:p>
        </w:tc>
        <w:tc>
          <w:tcPr>
            <w:tcW w:w="868" w:type="pct"/>
            <w:vAlign w:val="center"/>
          </w:tcPr>
          <w:p w14:paraId="09F3C31F">
            <w:pPr>
              <w:pStyle w:val="182"/>
              <w:rPr>
                <w:rFonts w:hint="default" w:ascii="Times New Roman" w:hAnsi="Times New Roman" w:cs="Times New Roman"/>
                <w:color w:val="000000"/>
              </w:rPr>
            </w:pPr>
            <w:r>
              <w:rPr>
                <w:rFonts w:hint="default" w:ascii="Times New Roman" w:hAnsi="Times New Roman" w:cs="Times New Roman"/>
                <w:color w:val="000000"/>
              </w:rPr>
              <w:t>特征污染物</w:t>
            </w:r>
          </w:p>
        </w:tc>
        <w:tc>
          <w:tcPr>
            <w:tcW w:w="2987" w:type="pct"/>
            <w:vAlign w:val="center"/>
          </w:tcPr>
          <w:p w14:paraId="67914145">
            <w:pPr>
              <w:pStyle w:val="182"/>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w:t>
            </w:r>
          </w:p>
          <w:p w14:paraId="4A81D912">
            <w:pPr>
              <w:pStyle w:val="182"/>
              <w:rPr>
                <w:rFonts w:hint="default" w:ascii="Times New Roman" w:hAnsi="Times New Roman" w:cs="Times New Roman"/>
                <w:color w:val="000000"/>
              </w:rPr>
            </w:pPr>
            <w:r>
              <w:rPr>
                <w:rFonts w:hint="default" w:ascii="Times New Roman" w:hAnsi="Times New Roman" w:cs="Times New Roman"/>
                <w:color w:val="000000"/>
              </w:rPr>
              <w:t>石油类</w:t>
            </w:r>
          </w:p>
        </w:tc>
        <w:tc>
          <w:tcPr>
            <w:tcW w:w="655" w:type="pct"/>
            <w:vAlign w:val="center"/>
          </w:tcPr>
          <w:p w14:paraId="72715BAE">
            <w:pPr>
              <w:pStyle w:val="182"/>
              <w:rPr>
                <w:rFonts w:hint="default" w:ascii="Times New Roman" w:hAnsi="Times New Roman" w:cs="Times New Roman"/>
                <w:color w:val="000000"/>
              </w:rPr>
            </w:pPr>
            <w:r>
              <w:rPr>
                <w:rFonts w:hint="default" w:ascii="Times New Roman" w:hAnsi="Times New Roman" w:cs="Times New Roman"/>
                <w:color w:val="000000"/>
              </w:rPr>
              <w:t>3</w:t>
            </w:r>
          </w:p>
        </w:tc>
      </w:tr>
    </w:tbl>
    <w:p w14:paraId="35362F7F">
      <w:pPr>
        <w:pStyle w:val="3"/>
        <w:rPr>
          <w:rFonts w:hint="default" w:ascii="Times New Roman" w:hAnsi="Times New Roman" w:cs="Times New Roman"/>
          <w:color w:val="000000"/>
        </w:rPr>
      </w:pPr>
      <w:r>
        <w:rPr>
          <w:rFonts w:hint="default" w:ascii="Times New Roman" w:hAnsi="Times New Roman" w:cs="Times New Roman"/>
          <w:color w:val="000000"/>
        </w:rPr>
        <w:t>分析方法</w:t>
      </w:r>
    </w:p>
    <w:p w14:paraId="7AC8DAD3">
      <w:pPr>
        <w:pStyle w:val="4"/>
        <w:rPr>
          <w:rFonts w:hint="default" w:ascii="Times New Roman" w:hAnsi="Times New Roman" w:cs="Times New Roman"/>
          <w:color w:val="000000"/>
        </w:rPr>
      </w:pPr>
      <w:r>
        <w:rPr>
          <w:rFonts w:hint="default" w:ascii="Times New Roman" w:hAnsi="Times New Roman" w:cs="Times New Roman"/>
          <w:color w:val="000000"/>
        </w:rPr>
        <w:t>土壤</w:t>
      </w:r>
    </w:p>
    <w:p w14:paraId="067FD0A2">
      <w:pPr>
        <w:ind w:firstLine="480"/>
        <w:rPr>
          <w:rFonts w:hint="default" w:ascii="Times New Roman" w:hAnsi="Times New Roman" w:cs="Times New Roman"/>
          <w:color w:val="000000"/>
        </w:rPr>
      </w:pPr>
      <w:r>
        <w:rPr>
          <w:rFonts w:hint="default" w:ascii="Times New Roman" w:hAnsi="Times New Roman" w:cs="Times New Roman"/>
          <w:color w:val="000000"/>
        </w:rPr>
        <w:t>根据《土壤环境质量建设用地风险管控标准（试行）》（GB36600-2018）所列检测方法，结合国际上采用较为成熟的检测土壤样品中石油烃和挥发性有机物（VOCs）、半挥发有机物（SVOCs）等拟采用如下检测方法：</w:t>
      </w:r>
    </w:p>
    <w:p w14:paraId="7073939E">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22</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土壤检测方法</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29"/>
        <w:gridCol w:w="3709"/>
        <w:gridCol w:w="8636"/>
      </w:tblGrid>
      <w:tr w14:paraId="52452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vAlign w:val="center"/>
          </w:tcPr>
          <w:p w14:paraId="1CF2FA27">
            <w:pPr>
              <w:pStyle w:val="99"/>
              <w:rPr>
                <w:rFonts w:hint="default" w:ascii="Times New Roman" w:hAnsi="Times New Roman" w:cs="Times New Roman"/>
                <w:color w:val="000000"/>
              </w:rPr>
            </w:pPr>
            <w:r>
              <w:rPr>
                <w:rFonts w:hint="default" w:ascii="Times New Roman" w:hAnsi="Times New Roman" w:cs="Times New Roman"/>
                <w:color w:val="000000"/>
              </w:rPr>
              <w:t>序号</w:t>
            </w:r>
          </w:p>
        </w:tc>
        <w:tc>
          <w:tcPr>
            <w:tcW w:w="1308" w:type="pct"/>
            <w:vAlign w:val="center"/>
          </w:tcPr>
          <w:p w14:paraId="3073776C">
            <w:pPr>
              <w:pStyle w:val="99"/>
              <w:rPr>
                <w:rFonts w:hint="default" w:ascii="Times New Roman" w:hAnsi="Times New Roman" w:cs="Times New Roman"/>
                <w:color w:val="000000"/>
              </w:rPr>
            </w:pPr>
            <w:r>
              <w:rPr>
                <w:rFonts w:hint="default" w:ascii="Times New Roman" w:hAnsi="Times New Roman" w:cs="Times New Roman"/>
                <w:color w:val="000000"/>
              </w:rPr>
              <w:t>检测指标</w:t>
            </w:r>
          </w:p>
        </w:tc>
        <w:tc>
          <w:tcPr>
            <w:tcW w:w="3045" w:type="pct"/>
            <w:vAlign w:val="center"/>
          </w:tcPr>
          <w:p w14:paraId="58B92820">
            <w:pPr>
              <w:pStyle w:val="99"/>
              <w:rPr>
                <w:rFonts w:hint="default" w:ascii="Times New Roman" w:hAnsi="Times New Roman" w:cs="Times New Roman"/>
                <w:color w:val="000000"/>
              </w:rPr>
            </w:pPr>
            <w:r>
              <w:rPr>
                <w:rFonts w:hint="default" w:ascii="Times New Roman" w:hAnsi="Times New Roman" w:cs="Times New Roman"/>
                <w:color w:val="000000"/>
              </w:rPr>
              <w:t>检测分析方法</w:t>
            </w:r>
          </w:p>
        </w:tc>
      </w:tr>
      <w:tr w14:paraId="29C87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321BD93">
            <w:pPr>
              <w:pStyle w:val="182"/>
              <w:rPr>
                <w:rFonts w:hint="default" w:ascii="Times New Roman" w:hAnsi="Times New Roman" w:cs="Times New Roman"/>
                <w:color w:val="000000"/>
              </w:rPr>
            </w:pPr>
            <w:r>
              <w:rPr>
                <w:rFonts w:hint="default" w:ascii="Times New Roman" w:hAnsi="Times New Roman" w:cs="Times New Roman"/>
                <w:color w:val="000000"/>
              </w:rPr>
              <w:t>1</w:t>
            </w:r>
          </w:p>
        </w:tc>
        <w:tc>
          <w:tcPr>
            <w:tcW w:w="1308" w:type="pct"/>
            <w:tcBorders>
              <w:top w:val="single" w:color="auto" w:sz="4" w:space="0"/>
              <w:left w:val="single" w:color="auto" w:sz="4" w:space="0"/>
              <w:bottom w:val="single" w:color="auto" w:sz="4" w:space="0"/>
              <w:right w:val="single" w:color="auto" w:sz="4" w:space="0"/>
            </w:tcBorders>
            <w:vAlign w:val="center"/>
          </w:tcPr>
          <w:p w14:paraId="00728C58">
            <w:pPr>
              <w:pStyle w:val="182"/>
              <w:rPr>
                <w:rFonts w:hint="default" w:ascii="Times New Roman" w:hAnsi="Times New Roman" w:cs="Times New Roman"/>
                <w:color w:val="000000"/>
              </w:rPr>
            </w:pPr>
            <w:r>
              <w:rPr>
                <w:rFonts w:hint="default" w:ascii="Times New Roman" w:hAnsi="Times New Roman" w:cs="Times New Roman"/>
                <w:color w:val="000000"/>
              </w:rPr>
              <w:t>萘</w:t>
            </w:r>
          </w:p>
        </w:tc>
        <w:tc>
          <w:tcPr>
            <w:tcW w:w="3045" w:type="pct"/>
            <w:tcBorders>
              <w:top w:val="single" w:color="auto" w:sz="4" w:space="0"/>
              <w:left w:val="single" w:color="auto" w:sz="4" w:space="0"/>
              <w:bottom w:val="single" w:color="auto" w:sz="4" w:space="0"/>
              <w:right w:val="single" w:color="auto" w:sz="4" w:space="0"/>
            </w:tcBorders>
            <w:vAlign w:val="center"/>
          </w:tcPr>
          <w:p w14:paraId="457EBA93">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706BD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9DD2FF5">
            <w:pPr>
              <w:pStyle w:val="182"/>
              <w:rPr>
                <w:rFonts w:hint="default" w:ascii="Times New Roman" w:hAnsi="Times New Roman" w:cs="Times New Roman"/>
                <w:color w:val="000000"/>
              </w:rPr>
            </w:pPr>
            <w:r>
              <w:rPr>
                <w:rFonts w:hint="default" w:ascii="Times New Roman" w:hAnsi="Times New Roman" w:cs="Times New Roman"/>
                <w:color w:val="000000"/>
              </w:rPr>
              <w:t>2</w:t>
            </w:r>
          </w:p>
        </w:tc>
        <w:tc>
          <w:tcPr>
            <w:tcW w:w="1308" w:type="pct"/>
            <w:tcBorders>
              <w:top w:val="single" w:color="auto" w:sz="4" w:space="0"/>
              <w:left w:val="single" w:color="auto" w:sz="4" w:space="0"/>
              <w:bottom w:val="single" w:color="auto" w:sz="4" w:space="0"/>
              <w:right w:val="single" w:color="auto" w:sz="4" w:space="0"/>
            </w:tcBorders>
            <w:vAlign w:val="center"/>
          </w:tcPr>
          <w:p w14:paraId="058577DD">
            <w:pPr>
              <w:pStyle w:val="182"/>
              <w:rPr>
                <w:rFonts w:hint="default" w:ascii="Times New Roman" w:hAnsi="Times New Roman" w:cs="Times New Roman"/>
                <w:color w:val="000000"/>
              </w:rPr>
            </w:pPr>
            <w:r>
              <w:rPr>
                <w:rFonts w:hint="default" w:ascii="Times New Roman" w:hAnsi="Times New Roman" w:cs="Times New Roman"/>
                <w:color w:val="000000"/>
              </w:rPr>
              <w:t>茚并[1,2,3-cd]芘</w:t>
            </w:r>
          </w:p>
        </w:tc>
        <w:tc>
          <w:tcPr>
            <w:tcW w:w="3045" w:type="pct"/>
            <w:tcBorders>
              <w:top w:val="single" w:color="auto" w:sz="4" w:space="0"/>
              <w:left w:val="single" w:color="auto" w:sz="4" w:space="0"/>
              <w:bottom w:val="single" w:color="auto" w:sz="4" w:space="0"/>
              <w:right w:val="single" w:color="auto" w:sz="4" w:space="0"/>
            </w:tcBorders>
            <w:vAlign w:val="center"/>
          </w:tcPr>
          <w:p w14:paraId="6C54130D">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4684D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4D647F1">
            <w:pPr>
              <w:pStyle w:val="182"/>
              <w:rPr>
                <w:rFonts w:hint="default" w:ascii="Times New Roman" w:hAnsi="Times New Roman" w:cs="Times New Roman"/>
                <w:color w:val="000000"/>
              </w:rPr>
            </w:pPr>
            <w:r>
              <w:rPr>
                <w:rFonts w:hint="default" w:ascii="Times New Roman" w:hAnsi="Times New Roman" w:cs="Times New Roman"/>
                <w:color w:val="000000"/>
              </w:rPr>
              <w:t>3</w:t>
            </w:r>
          </w:p>
        </w:tc>
        <w:tc>
          <w:tcPr>
            <w:tcW w:w="1308" w:type="pct"/>
            <w:tcBorders>
              <w:top w:val="single" w:color="auto" w:sz="4" w:space="0"/>
              <w:left w:val="single" w:color="auto" w:sz="4" w:space="0"/>
              <w:bottom w:val="single" w:color="auto" w:sz="4" w:space="0"/>
              <w:right w:val="single" w:color="auto" w:sz="4" w:space="0"/>
            </w:tcBorders>
            <w:vAlign w:val="center"/>
          </w:tcPr>
          <w:p w14:paraId="5B92E442">
            <w:pPr>
              <w:pStyle w:val="182"/>
              <w:rPr>
                <w:rFonts w:hint="default" w:ascii="Times New Roman" w:hAnsi="Times New Roman" w:cs="Times New Roman"/>
                <w:color w:val="000000"/>
              </w:rPr>
            </w:pPr>
            <w:r>
              <w:rPr>
                <w:rFonts w:hint="default" w:ascii="Times New Roman" w:hAnsi="Times New Roman" w:cs="Times New Roman"/>
                <w:color w:val="000000"/>
              </w:rPr>
              <w:t>二苯并[a,h]蒽</w:t>
            </w:r>
          </w:p>
        </w:tc>
        <w:tc>
          <w:tcPr>
            <w:tcW w:w="3045" w:type="pct"/>
            <w:tcBorders>
              <w:top w:val="single" w:color="auto" w:sz="4" w:space="0"/>
              <w:left w:val="single" w:color="auto" w:sz="4" w:space="0"/>
              <w:bottom w:val="single" w:color="auto" w:sz="4" w:space="0"/>
              <w:right w:val="single" w:color="auto" w:sz="4" w:space="0"/>
            </w:tcBorders>
            <w:vAlign w:val="center"/>
          </w:tcPr>
          <w:p w14:paraId="2D4B8D9F">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2216C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1592D17">
            <w:pPr>
              <w:pStyle w:val="182"/>
              <w:rPr>
                <w:rFonts w:hint="default" w:ascii="Times New Roman" w:hAnsi="Times New Roman" w:cs="Times New Roman"/>
                <w:color w:val="000000"/>
              </w:rPr>
            </w:pPr>
            <w:r>
              <w:rPr>
                <w:rFonts w:hint="default" w:ascii="Times New Roman" w:hAnsi="Times New Roman" w:cs="Times New Roman"/>
                <w:color w:val="000000"/>
              </w:rPr>
              <w:t>4</w:t>
            </w:r>
          </w:p>
        </w:tc>
        <w:tc>
          <w:tcPr>
            <w:tcW w:w="1308" w:type="pct"/>
            <w:tcBorders>
              <w:top w:val="single" w:color="auto" w:sz="4" w:space="0"/>
              <w:left w:val="single" w:color="auto" w:sz="4" w:space="0"/>
              <w:bottom w:val="single" w:color="auto" w:sz="4" w:space="0"/>
              <w:right w:val="single" w:color="auto" w:sz="4" w:space="0"/>
            </w:tcBorders>
            <w:vAlign w:val="center"/>
          </w:tcPr>
          <w:p w14:paraId="0523D155">
            <w:pPr>
              <w:pStyle w:val="182"/>
              <w:rPr>
                <w:rFonts w:hint="default" w:ascii="Times New Roman" w:hAnsi="Times New Roman" w:cs="Times New Roman"/>
                <w:color w:val="000000"/>
              </w:rPr>
            </w:pPr>
            <w:r>
              <w:rPr>
                <w:rFonts w:hint="default" w:ascii="Times New Roman" w:hAnsi="Times New Roman" w:cs="Times New Roman"/>
                <w:color w:val="000000"/>
              </w:rPr>
              <w:t>䓛</w:t>
            </w:r>
          </w:p>
        </w:tc>
        <w:tc>
          <w:tcPr>
            <w:tcW w:w="3045" w:type="pct"/>
            <w:tcBorders>
              <w:top w:val="single" w:color="auto" w:sz="4" w:space="0"/>
              <w:left w:val="single" w:color="auto" w:sz="4" w:space="0"/>
              <w:bottom w:val="single" w:color="auto" w:sz="4" w:space="0"/>
              <w:right w:val="single" w:color="auto" w:sz="4" w:space="0"/>
            </w:tcBorders>
            <w:vAlign w:val="center"/>
          </w:tcPr>
          <w:p w14:paraId="4A2254AA">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7C3EE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FB90D01">
            <w:pPr>
              <w:pStyle w:val="182"/>
              <w:rPr>
                <w:rFonts w:hint="default" w:ascii="Times New Roman" w:hAnsi="Times New Roman" w:cs="Times New Roman"/>
                <w:color w:val="000000"/>
              </w:rPr>
            </w:pPr>
            <w:r>
              <w:rPr>
                <w:rFonts w:hint="default" w:ascii="Times New Roman" w:hAnsi="Times New Roman" w:cs="Times New Roman"/>
                <w:color w:val="000000"/>
              </w:rPr>
              <w:t>5</w:t>
            </w:r>
          </w:p>
        </w:tc>
        <w:tc>
          <w:tcPr>
            <w:tcW w:w="1308" w:type="pct"/>
            <w:tcBorders>
              <w:top w:val="single" w:color="auto" w:sz="4" w:space="0"/>
              <w:left w:val="single" w:color="auto" w:sz="4" w:space="0"/>
              <w:bottom w:val="single" w:color="auto" w:sz="4" w:space="0"/>
              <w:right w:val="single" w:color="auto" w:sz="4" w:space="0"/>
            </w:tcBorders>
            <w:vAlign w:val="center"/>
          </w:tcPr>
          <w:p w14:paraId="5934CEDB">
            <w:pPr>
              <w:pStyle w:val="182"/>
              <w:rPr>
                <w:rFonts w:hint="default" w:ascii="Times New Roman" w:hAnsi="Times New Roman" w:cs="Times New Roman"/>
                <w:color w:val="000000"/>
              </w:rPr>
            </w:pPr>
            <w:r>
              <w:rPr>
                <w:rFonts w:hint="default" w:ascii="Times New Roman" w:hAnsi="Times New Roman" w:cs="Times New Roman"/>
                <w:color w:val="000000"/>
              </w:rPr>
              <w:t>苯并[k]荧蒽</w:t>
            </w:r>
          </w:p>
        </w:tc>
        <w:tc>
          <w:tcPr>
            <w:tcW w:w="3045" w:type="pct"/>
            <w:tcBorders>
              <w:top w:val="single" w:color="auto" w:sz="4" w:space="0"/>
              <w:left w:val="single" w:color="auto" w:sz="4" w:space="0"/>
              <w:bottom w:val="single" w:color="auto" w:sz="4" w:space="0"/>
              <w:right w:val="single" w:color="auto" w:sz="4" w:space="0"/>
            </w:tcBorders>
            <w:vAlign w:val="center"/>
          </w:tcPr>
          <w:p w14:paraId="59F08C30">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412AB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3E80438">
            <w:pPr>
              <w:pStyle w:val="182"/>
              <w:rPr>
                <w:rFonts w:hint="default" w:ascii="Times New Roman" w:hAnsi="Times New Roman" w:cs="Times New Roman"/>
                <w:color w:val="000000"/>
              </w:rPr>
            </w:pPr>
            <w:r>
              <w:rPr>
                <w:rFonts w:hint="default" w:ascii="Times New Roman" w:hAnsi="Times New Roman" w:cs="Times New Roman"/>
                <w:color w:val="000000"/>
              </w:rPr>
              <w:t>6</w:t>
            </w:r>
          </w:p>
        </w:tc>
        <w:tc>
          <w:tcPr>
            <w:tcW w:w="1308" w:type="pct"/>
            <w:tcBorders>
              <w:top w:val="single" w:color="auto" w:sz="4" w:space="0"/>
              <w:left w:val="single" w:color="auto" w:sz="4" w:space="0"/>
              <w:bottom w:val="single" w:color="auto" w:sz="4" w:space="0"/>
              <w:right w:val="single" w:color="auto" w:sz="4" w:space="0"/>
            </w:tcBorders>
            <w:vAlign w:val="center"/>
          </w:tcPr>
          <w:p w14:paraId="46F68FDE">
            <w:pPr>
              <w:pStyle w:val="182"/>
              <w:rPr>
                <w:rFonts w:hint="default" w:ascii="Times New Roman" w:hAnsi="Times New Roman" w:cs="Times New Roman"/>
                <w:color w:val="000000"/>
              </w:rPr>
            </w:pPr>
            <w:r>
              <w:rPr>
                <w:rFonts w:hint="default" w:ascii="Times New Roman" w:hAnsi="Times New Roman" w:cs="Times New Roman"/>
                <w:color w:val="000000"/>
              </w:rPr>
              <w:t>苯并[b]荧蒽</w:t>
            </w:r>
          </w:p>
        </w:tc>
        <w:tc>
          <w:tcPr>
            <w:tcW w:w="3045" w:type="pct"/>
            <w:tcBorders>
              <w:top w:val="single" w:color="auto" w:sz="4" w:space="0"/>
              <w:left w:val="single" w:color="auto" w:sz="4" w:space="0"/>
              <w:bottom w:val="single" w:color="auto" w:sz="4" w:space="0"/>
              <w:right w:val="single" w:color="auto" w:sz="4" w:space="0"/>
            </w:tcBorders>
            <w:vAlign w:val="center"/>
          </w:tcPr>
          <w:p w14:paraId="7BFA01F9">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61482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E68F1BA">
            <w:pPr>
              <w:pStyle w:val="182"/>
              <w:rPr>
                <w:rFonts w:hint="default" w:ascii="Times New Roman" w:hAnsi="Times New Roman" w:cs="Times New Roman"/>
                <w:color w:val="000000"/>
              </w:rPr>
            </w:pPr>
            <w:r>
              <w:rPr>
                <w:rFonts w:hint="default" w:ascii="Times New Roman" w:hAnsi="Times New Roman" w:cs="Times New Roman"/>
                <w:color w:val="000000"/>
              </w:rPr>
              <w:t>7</w:t>
            </w:r>
          </w:p>
        </w:tc>
        <w:tc>
          <w:tcPr>
            <w:tcW w:w="1308" w:type="pct"/>
            <w:tcBorders>
              <w:top w:val="single" w:color="auto" w:sz="4" w:space="0"/>
              <w:left w:val="single" w:color="auto" w:sz="4" w:space="0"/>
              <w:bottom w:val="single" w:color="auto" w:sz="4" w:space="0"/>
              <w:right w:val="single" w:color="auto" w:sz="4" w:space="0"/>
            </w:tcBorders>
            <w:vAlign w:val="center"/>
          </w:tcPr>
          <w:p w14:paraId="3B0E40F1">
            <w:pPr>
              <w:pStyle w:val="182"/>
              <w:rPr>
                <w:rFonts w:hint="default" w:ascii="Times New Roman" w:hAnsi="Times New Roman" w:cs="Times New Roman"/>
                <w:color w:val="000000"/>
              </w:rPr>
            </w:pPr>
            <w:r>
              <w:rPr>
                <w:rFonts w:hint="default" w:ascii="Times New Roman" w:hAnsi="Times New Roman" w:cs="Times New Roman"/>
                <w:color w:val="000000"/>
              </w:rPr>
              <w:t>苯并[a]芘</w:t>
            </w:r>
          </w:p>
        </w:tc>
        <w:tc>
          <w:tcPr>
            <w:tcW w:w="3045" w:type="pct"/>
            <w:tcBorders>
              <w:top w:val="single" w:color="auto" w:sz="4" w:space="0"/>
              <w:left w:val="single" w:color="auto" w:sz="4" w:space="0"/>
              <w:bottom w:val="single" w:color="auto" w:sz="4" w:space="0"/>
              <w:right w:val="single" w:color="auto" w:sz="4" w:space="0"/>
            </w:tcBorders>
            <w:vAlign w:val="center"/>
          </w:tcPr>
          <w:p w14:paraId="2CDE2542">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310F6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83EC4DA">
            <w:pPr>
              <w:pStyle w:val="182"/>
              <w:rPr>
                <w:rFonts w:hint="default" w:ascii="Times New Roman" w:hAnsi="Times New Roman" w:cs="Times New Roman"/>
                <w:color w:val="000000"/>
              </w:rPr>
            </w:pPr>
            <w:r>
              <w:rPr>
                <w:rFonts w:hint="default" w:ascii="Times New Roman" w:hAnsi="Times New Roman" w:cs="Times New Roman"/>
                <w:color w:val="000000"/>
              </w:rPr>
              <w:t>8</w:t>
            </w:r>
          </w:p>
        </w:tc>
        <w:tc>
          <w:tcPr>
            <w:tcW w:w="1308" w:type="pct"/>
            <w:tcBorders>
              <w:top w:val="single" w:color="auto" w:sz="4" w:space="0"/>
              <w:left w:val="single" w:color="auto" w:sz="4" w:space="0"/>
              <w:bottom w:val="single" w:color="auto" w:sz="4" w:space="0"/>
              <w:right w:val="single" w:color="auto" w:sz="4" w:space="0"/>
            </w:tcBorders>
            <w:vAlign w:val="center"/>
          </w:tcPr>
          <w:p w14:paraId="0B129F7D">
            <w:pPr>
              <w:pStyle w:val="182"/>
              <w:rPr>
                <w:rFonts w:hint="default" w:ascii="Times New Roman" w:hAnsi="Times New Roman" w:cs="Times New Roman"/>
                <w:color w:val="000000"/>
              </w:rPr>
            </w:pPr>
            <w:r>
              <w:rPr>
                <w:rFonts w:hint="default" w:ascii="Times New Roman" w:hAnsi="Times New Roman" w:cs="Times New Roman"/>
                <w:color w:val="000000"/>
              </w:rPr>
              <w:t>苯并[a]蒽</w:t>
            </w:r>
          </w:p>
        </w:tc>
        <w:tc>
          <w:tcPr>
            <w:tcW w:w="3045" w:type="pct"/>
            <w:tcBorders>
              <w:top w:val="single" w:color="auto" w:sz="4" w:space="0"/>
              <w:left w:val="single" w:color="auto" w:sz="4" w:space="0"/>
              <w:bottom w:val="single" w:color="auto" w:sz="4" w:space="0"/>
              <w:right w:val="single" w:color="auto" w:sz="4" w:space="0"/>
            </w:tcBorders>
            <w:vAlign w:val="center"/>
          </w:tcPr>
          <w:p w14:paraId="647D2C0A">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52077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7DE0BA2">
            <w:pPr>
              <w:pStyle w:val="182"/>
              <w:rPr>
                <w:rFonts w:hint="default" w:ascii="Times New Roman" w:hAnsi="Times New Roman" w:cs="Times New Roman"/>
                <w:color w:val="000000"/>
              </w:rPr>
            </w:pPr>
            <w:r>
              <w:rPr>
                <w:rFonts w:hint="default" w:ascii="Times New Roman" w:hAnsi="Times New Roman" w:cs="Times New Roman"/>
                <w:color w:val="000000"/>
              </w:rPr>
              <w:t>9</w:t>
            </w:r>
          </w:p>
        </w:tc>
        <w:tc>
          <w:tcPr>
            <w:tcW w:w="1308" w:type="pct"/>
            <w:tcBorders>
              <w:top w:val="single" w:color="auto" w:sz="4" w:space="0"/>
              <w:left w:val="single" w:color="auto" w:sz="4" w:space="0"/>
              <w:bottom w:val="single" w:color="auto" w:sz="4" w:space="0"/>
              <w:right w:val="single" w:color="auto" w:sz="4" w:space="0"/>
            </w:tcBorders>
            <w:vAlign w:val="center"/>
          </w:tcPr>
          <w:p w14:paraId="5C711D37">
            <w:pPr>
              <w:pStyle w:val="182"/>
              <w:rPr>
                <w:rFonts w:hint="default" w:ascii="Times New Roman" w:hAnsi="Times New Roman" w:cs="Times New Roman"/>
                <w:color w:val="000000"/>
              </w:rPr>
            </w:pPr>
            <w:r>
              <w:rPr>
                <w:rFonts w:hint="default" w:ascii="Times New Roman" w:hAnsi="Times New Roman" w:cs="Times New Roman"/>
                <w:color w:val="000000"/>
              </w:rPr>
              <w:t>2-氯苯酚</w:t>
            </w:r>
          </w:p>
        </w:tc>
        <w:tc>
          <w:tcPr>
            <w:tcW w:w="3045" w:type="pct"/>
            <w:tcBorders>
              <w:top w:val="single" w:color="auto" w:sz="4" w:space="0"/>
              <w:left w:val="single" w:color="auto" w:sz="4" w:space="0"/>
              <w:bottom w:val="single" w:color="auto" w:sz="4" w:space="0"/>
              <w:right w:val="single" w:color="auto" w:sz="4" w:space="0"/>
            </w:tcBorders>
            <w:vAlign w:val="center"/>
          </w:tcPr>
          <w:p w14:paraId="7A7ABF3D">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41E74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331CB5F">
            <w:pPr>
              <w:pStyle w:val="182"/>
              <w:rPr>
                <w:rFonts w:hint="default" w:ascii="Times New Roman" w:hAnsi="Times New Roman" w:cs="Times New Roman"/>
                <w:color w:val="000000"/>
              </w:rPr>
            </w:pPr>
            <w:r>
              <w:rPr>
                <w:rFonts w:hint="default" w:ascii="Times New Roman" w:hAnsi="Times New Roman" w:cs="Times New Roman"/>
                <w:color w:val="000000"/>
              </w:rPr>
              <w:t>10</w:t>
            </w:r>
          </w:p>
        </w:tc>
        <w:tc>
          <w:tcPr>
            <w:tcW w:w="1308" w:type="pct"/>
            <w:tcBorders>
              <w:top w:val="single" w:color="auto" w:sz="4" w:space="0"/>
              <w:left w:val="single" w:color="auto" w:sz="4" w:space="0"/>
              <w:bottom w:val="single" w:color="auto" w:sz="4" w:space="0"/>
              <w:right w:val="single" w:color="auto" w:sz="4" w:space="0"/>
            </w:tcBorders>
            <w:vAlign w:val="center"/>
          </w:tcPr>
          <w:p w14:paraId="2853A207">
            <w:pPr>
              <w:pStyle w:val="182"/>
              <w:rPr>
                <w:rFonts w:hint="default" w:ascii="Times New Roman" w:hAnsi="Times New Roman" w:cs="Times New Roman"/>
                <w:color w:val="000000"/>
              </w:rPr>
            </w:pPr>
            <w:r>
              <w:rPr>
                <w:rFonts w:hint="default" w:ascii="Times New Roman" w:hAnsi="Times New Roman" w:cs="Times New Roman"/>
                <w:color w:val="000000"/>
              </w:rPr>
              <w:t>苯胺</w:t>
            </w:r>
          </w:p>
        </w:tc>
        <w:tc>
          <w:tcPr>
            <w:tcW w:w="3045" w:type="pct"/>
            <w:tcBorders>
              <w:top w:val="single" w:color="auto" w:sz="4" w:space="0"/>
              <w:left w:val="single" w:color="auto" w:sz="4" w:space="0"/>
              <w:bottom w:val="single" w:color="auto" w:sz="4" w:space="0"/>
              <w:right w:val="single" w:color="auto" w:sz="4" w:space="0"/>
            </w:tcBorders>
            <w:vAlign w:val="center"/>
          </w:tcPr>
          <w:p w14:paraId="2B7BA7F6">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657A1A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FEC93C2">
            <w:pPr>
              <w:pStyle w:val="182"/>
              <w:rPr>
                <w:rFonts w:hint="default" w:ascii="Times New Roman" w:hAnsi="Times New Roman" w:cs="Times New Roman"/>
                <w:color w:val="000000"/>
              </w:rPr>
            </w:pPr>
            <w:r>
              <w:rPr>
                <w:rFonts w:hint="default" w:ascii="Times New Roman" w:hAnsi="Times New Roman" w:cs="Times New Roman"/>
                <w:color w:val="000000"/>
              </w:rPr>
              <w:t>11</w:t>
            </w:r>
          </w:p>
        </w:tc>
        <w:tc>
          <w:tcPr>
            <w:tcW w:w="1308" w:type="pct"/>
            <w:tcBorders>
              <w:top w:val="single" w:color="auto" w:sz="4" w:space="0"/>
              <w:left w:val="single" w:color="auto" w:sz="4" w:space="0"/>
              <w:bottom w:val="single" w:color="auto" w:sz="4" w:space="0"/>
              <w:right w:val="single" w:color="auto" w:sz="4" w:space="0"/>
            </w:tcBorders>
            <w:vAlign w:val="center"/>
          </w:tcPr>
          <w:p w14:paraId="11ED67D9">
            <w:pPr>
              <w:pStyle w:val="182"/>
              <w:rPr>
                <w:rFonts w:hint="default" w:ascii="Times New Roman" w:hAnsi="Times New Roman" w:cs="Times New Roman"/>
                <w:color w:val="000000"/>
              </w:rPr>
            </w:pPr>
            <w:r>
              <w:rPr>
                <w:rFonts w:hint="default" w:ascii="Times New Roman" w:hAnsi="Times New Roman" w:cs="Times New Roman"/>
                <w:color w:val="000000"/>
              </w:rPr>
              <w:t>硝基苯</w:t>
            </w:r>
          </w:p>
        </w:tc>
        <w:tc>
          <w:tcPr>
            <w:tcW w:w="3045" w:type="pct"/>
            <w:tcBorders>
              <w:top w:val="single" w:color="auto" w:sz="4" w:space="0"/>
              <w:left w:val="single" w:color="auto" w:sz="4" w:space="0"/>
              <w:bottom w:val="single" w:color="auto" w:sz="4" w:space="0"/>
              <w:right w:val="single" w:color="auto" w:sz="4" w:space="0"/>
            </w:tcBorders>
            <w:vAlign w:val="center"/>
          </w:tcPr>
          <w:p w14:paraId="5BB5B8A9">
            <w:pPr>
              <w:pStyle w:val="182"/>
              <w:rPr>
                <w:rFonts w:hint="default" w:ascii="Times New Roman" w:hAnsi="Times New Roman" w:cs="Times New Roman"/>
                <w:color w:val="000000"/>
              </w:rPr>
            </w:pPr>
            <w:r>
              <w:rPr>
                <w:rFonts w:hint="default" w:ascii="Times New Roman" w:hAnsi="Times New Roman" w:cs="Times New Roman"/>
                <w:color w:val="000000"/>
              </w:rPr>
              <w:t>HJ834-2017（土壤和沉积物 半挥发性有机物的测定 气相色谱-质谱法）</w:t>
            </w:r>
          </w:p>
        </w:tc>
      </w:tr>
      <w:tr w14:paraId="50FCA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857FBBE">
            <w:pPr>
              <w:pStyle w:val="182"/>
              <w:rPr>
                <w:rFonts w:hint="default" w:ascii="Times New Roman" w:hAnsi="Times New Roman" w:cs="Times New Roman"/>
                <w:color w:val="000000"/>
              </w:rPr>
            </w:pPr>
            <w:r>
              <w:rPr>
                <w:rFonts w:hint="default" w:ascii="Times New Roman" w:hAnsi="Times New Roman" w:cs="Times New Roman"/>
                <w:color w:val="000000"/>
              </w:rPr>
              <w:t>12</w:t>
            </w:r>
          </w:p>
        </w:tc>
        <w:tc>
          <w:tcPr>
            <w:tcW w:w="1308" w:type="pct"/>
            <w:tcBorders>
              <w:top w:val="single" w:color="auto" w:sz="4" w:space="0"/>
              <w:left w:val="single" w:color="auto" w:sz="4" w:space="0"/>
              <w:bottom w:val="single" w:color="auto" w:sz="4" w:space="0"/>
              <w:right w:val="single" w:color="auto" w:sz="4" w:space="0"/>
            </w:tcBorders>
            <w:vAlign w:val="center"/>
          </w:tcPr>
          <w:p w14:paraId="02616DF0">
            <w:pPr>
              <w:pStyle w:val="182"/>
              <w:rPr>
                <w:rFonts w:hint="default" w:ascii="Times New Roman" w:hAnsi="Times New Roman" w:cs="Times New Roman"/>
                <w:color w:val="000000"/>
              </w:rPr>
            </w:pPr>
            <w:r>
              <w:rPr>
                <w:rFonts w:hint="default" w:ascii="Times New Roman" w:hAnsi="Times New Roman" w:cs="Times New Roman"/>
                <w:color w:val="000000"/>
              </w:rPr>
              <w:t>氯甲烷</w:t>
            </w:r>
          </w:p>
        </w:tc>
        <w:tc>
          <w:tcPr>
            <w:tcW w:w="3045" w:type="pct"/>
            <w:tcBorders>
              <w:top w:val="single" w:color="auto" w:sz="4" w:space="0"/>
              <w:left w:val="single" w:color="auto" w:sz="4" w:space="0"/>
              <w:bottom w:val="single" w:color="auto" w:sz="4" w:space="0"/>
              <w:right w:val="single" w:color="auto" w:sz="4" w:space="0"/>
            </w:tcBorders>
            <w:vAlign w:val="center"/>
          </w:tcPr>
          <w:p w14:paraId="6EC32F5B">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5A1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7652DFD">
            <w:pPr>
              <w:pStyle w:val="182"/>
              <w:rPr>
                <w:rFonts w:hint="default" w:ascii="Times New Roman" w:hAnsi="Times New Roman" w:cs="Times New Roman"/>
                <w:color w:val="000000"/>
              </w:rPr>
            </w:pPr>
            <w:r>
              <w:rPr>
                <w:rFonts w:hint="default" w:ascii="Times New Roman" w:hAnsi="Times New Roman" w:cs="Times New Roman"/>
                <w:color w:val="000000"/>
              </w:rPr>
              <w:t>13</w:t>
            </w:r>
          </w:p>
        </w:tc>
        <w:tc>
          <w:tcPr>
            <w:tcW w:w="1308" w:type="pct"/>
            <w:tcBorders>
              <w:top w:val="single" w:color="auto" w:sz="4" w:space="0"/>
              <w:left w:val="single" w:color="auto" w:sz="4" w:space="0"/>
              <w:bottom w:val="single" w:color="auto" w:sz="4" w:space="0"/>
              <w:right w:val="single" w:color="auto" w:sz="4" w:space="0"/>
            </w:tcBorders>
            <w:vAlign w:val="center"/>
          </w:tcPr>
          <w:p w14:paraId="4FA1EF44">
            <w:pPr>
              <w:pStyle w:val="182"/>
              <w:rPr>
                <w:rFonts w:hint="default" w:ascii="Times New Roman" w:hAnsi="Times New Roman" w:cs="Times New Roman"/>
                <w:color w:val="000000"/>
              </w:rPr>
            </w:pPr>
            <w:r>
              <w:rPr>
                <w:rFonts w:hint="default" w:ascii="Times New Roman" w:hAnsi="Times New Roman" w:cs="Times New Roman"/>
                <w:color w:val="000000"/>
              </w:rPr>
              <w:t>1,2-二氯苯</w:t>
            </w:r>
          </w:p>
        </w:tc>
        <w:tc>
          <w:tcPr>
            <w:tcW w:w="3045" w:type="pct"/>
            <w:tcBorders>
              <w:top w:val="single" w:color="auto" w:sz="4" w:space="0"/>
              <w:left w:val="single" w:color="auto" w:sz="4" w:space="0"/>
              <w:bottom w:val="single" w:color="auto" w:sz="4" w:space="0"/>
              <w:right w:val="single" w:color="auto" w:sz="4" w:space="0"/>
            </w:tcBorders>
            <w:vAlign w:val="center"/>
          </w:tcPr>
          <w:p w14:paraId="1264F1ED">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3903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B1BA045">
            <w:pPr>
              <w:pStyle w:val="182"/>
              <w:rPr>
                <w:rFonts w:hint="default" w:ascii="Times New Roman" w:hAnsi="Times New Roman" w:cs="Times New Roman"/>
                <w:color w:val="000000"/>
              </w:rPr>
            </w:pPr>
            <w:r>
              <w:rPr>
                <w:rFonts w:hint="default" w:ascii="Times New Roman" w:hAnsi="Times New Roman" w:cs="Times New Roman"/>
                <w:color w:val="000000"/>
              </w:rPr>
              <w:t>14</w:t>
            </w:r>
          </w:p>
        </w:tc>
        <w:tc>
          <w:tcPr>
            <w:tcW w:w="1308" w:type="pct"/>
            <w:tcBorders>
              <w:top w:val="single" w:color="auto" w:sz="4" w:space="0"/>
              <w:left w:val="single" w:color="auto" w:sz="4" w:space="0"/>
              <w:bottom w:val="single" w:color="auto" w:sz="4" w:space="0"/>
              <w:right w:val="single" w:color="auto" w:sz="4" w:space="0"/>
            </w:tcBorders>
            <w:vAlign w:val="center"/>
          </w:tcPr>
          <w:p w14:paraId="1DE05E78">
            <w:pPr>
              <w:pStyle w:val="182"/>
              <w:rPr>
                <w:rFonts w:hint="default" w:ascii="Times New Roman" w:hAnsi="Times New Roman" w:cs="Times New Roman"/>
                <w:color w:val="000000"/>
              </w:rPr>
            </w:pPr>
            <w:r>
              <w:rPr>
                <w:rFonts w:hint="default" w:ascii="Times New Roman" w:hAnsi="Times New Roman" w:cs="Times New Roman"/>
                <w:color w:val="000000"/>
              </w:rPr>
              <w:t>1,4-二氯苯</w:t>
            </w:r>
          </w:p>
        </w:tc>
        <w:tc>
          <w:tcPr>
            <w:tcW w:w="3045" w:type="pct"/>
            <w:tcBorders>
              <w:top w:val="single" w:color="auto" w:sz="4" w:space="0"/>
              <w:left w:val="single" w:color="auto" w:sz="4" w:space="0"/>
              <w:bottom w:val="single" w:color="auto" w:sz="4" w:space="0"/>
              <w:right w:val="single" w:color="auto" w:sz="4" w:space="0"/>
            </w:tcBorders>
            <w:vAlign w:val="center"/>
          </w:tcPr>
          <w:p w14:paraId="4394EE8C">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6AB4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EF0C4D6">
            <w:pPr>
              <w:pStyle w:val="182"/>
              <w:rPr>
                <w:rFonts w:hint="default" w:ascii="Times New Roman" w:hAnsi="Times New Roman" w:cs="Times New Roman"/>
                <w:color w:val="000000"/>
              </w:rPr>
            </w:pPr>
            <w:r>
              <w:rPr>
                <w:rFonts w:hint="default" w:ascii="Times New Roman" w:hAnsi="Times New Roman" w:cs="Times New Roman"/>
                <w:color w:val="000000"/>
              </w:rPr>
              <w:t>15</w:t>
            </w:r>
          </w:p>
        </w:tc>
        <w:tc>
          <w:tcPr>
            <w:tcW w:w="1308" w:type="pct"/>
            <w:tcBorders>
              <w:top w:val="single" w:color="auto" w:sz="4" w:space="0"/>
              <w:left w:val="single" w:color="auto" w:sz="4" w:space="0"/>
              <w:bottom w:val="single" w:color="auto" w:sz="4" w:space="0"/>
              <w:right w:val="single" w:color="auto" w:sz="4" w:space="0"/>
            </w:tcBorders>
            <w:vAlign w:val="center"/>
          </w:tcPr>
          <w:p w14:paraId="45BBF9E4">
            <w:pPr>
              <w:pStyle w:val="182"/>
              <w:rPr>
                <w:rFonts w:hint="default" w:ascii="Times New Roman" w:hAnsi="Times New Roman" w:cs="Times New Roman"/>
                <w:color w:val="000000"/>
              </w:rPr>
            </w:pPr>
            <w:r>
              <w:rPr>
                <w:rFonts w:hint="default" w:ascii="Times New Roman" w:hAnsi="Times New Roman" w:cs="Times New Roman"/>
                <w:color w:val="000000"/>
              </w:rPr>
              <w:t>1,2,3-三氯丙烷</w:t>
            </w:r>
          </w:p>
        </w:tc>
        <w:tc>
          <w:tcPr>
            <w:tcW w:w="3045" w:type="pct"/>
            <w:tcBorders>
              <w:top w:val="single" w:color="auto" w:sz="4" w:space="0"/>
              <w:left w:val="single" w:color="auto" w:sz="4" w:space="0"/>
              <w:bottom w:val="single" w:color="auto" w:sz="4" w:space="0"/>
              <w:right w:val="single" w:color="auto" w:sz="4" w:space="0"/>
            </w:tcBorders>
            <w:vAlign w:val="center"/>
          </w:tcPr>
          <w:p w14:paraId="576E89DA">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237EA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463AB85">
            <w:pPr>
              <w:pStyle w:val="182"/>
              <w:rPr>
                <w:rFonts w:hint="default" w:ascii="Times New Roman" w:hAnsi="Times New Roman" w:cs="Times New Roman"/>
                <w:color w:val="000000"/>
              </w:rPr>
            </w:pPr>
            <w:r>
              <w:rPr>
                <w:rFonts w:hint="default" w:ascii="Times New Roman" w:hAnsi="Times New Roman" w:cs="Times New Roman"/>
                <w:color w:val="000000"/>
              </w:rPr>
              <w:t>16</w:t>
            </w:r>
          </w:p>
        </w:tc>
        <w:tc>
          <w:tcPr>
            <w:tcW w:w="1308" w:type="pct"/>
            <w:tcBorders>
              <w:top w:val="single" w:color="auto" w:sz="4" w:space="0"/>
              <w:left w:val="single" w:color="auto" w:sz="4" w:space="0"/>
              <w:bottom w:val="single" w:color="auto" w:sz="4" w:space="0"/>
              <w:right w:val="single" w:color="auto" w:sz="4" w:space="0"/>
            </w:tcBorders>
            <w:vAlign w:val="center"/>
          </w:tcPr>
          <w:p w14:paraId="6EB7DFBC">
            <w:pPr>
              <w:pStyle w:val="182"/>
              <w:rPr>
                <w:rFonts w:hint="default" w:ascii="Times New Roman" w:hAnsi="Times New Roman" w:cs="Times New Roman"/>
                <w:color w:val="000000"/>
              </w:rPr>
            </w:pPr>
            <w:r>
              <w:rPr>
                <w:rFonts w:hint="default" w:ascii="Times New Roman" w:hAnsi="Times New Roman" w:cs="Times New Roman"/>
                <w:color w:val="000000"/>
              </w:rPr>
              <w:t>1,1,2,2-四氯乙烷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1F0F2802">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CFBA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BD3DB2E">
            <w:pPr>
              <w:pStyle w:val="182"/>
              <w:rPr>
                <w:rFonts w:hint="default" w:ascii="Times New Roman" w:hAnsi="Times New Roman" w:cs="Times New Roman"/>
                <w:color w:val="000000"/>
              </w:rPr>
            </w:pPr>
            <w:r>
              <w:rPr>
                <w:rFonts w:hint="default" w:ascii="Times New Roman" w:hAnsi="Times New Roman" w:cs="Times New Roman"/>
                <w:color w:val="000000"/>
              </w:rPr>
              <w:t>17</w:t>
            </w:r>
          </w:p>
        </w:tc>
        <w:tc>
          <w:tcPr>
            <w:tcW w:w="1308" w:type="pct"/>
            <w:tcBorders>
              <w:top w:val="single" w:color="auto" w:sz="4" w:space="0"/>
              <w:left w:val="single" w:color="auto" w:sz="4" w:space="0"/>
              <w:bottom w:val="single" w:color="auto" w:sz="4" w:space="0"/>
              <w:right w:val="single" w:color="auto" w:sz="4" w:space="0"/>
            </w:tcBorders>
            <w:vAlign w:val="center"/>
          </w:tcPr>
          <w:p w14:paraId="198C3EB8">
            <w:pPr>
              <w:pStyle w:val="182"/>
              <w:rPr>
                <w:rFonts w:hint="default" w:ascii="Times New Roman" w:hAnsi="Times New Roman" w:cs="Times New Roman"/>
                <w:color w:val="000000"/>
              </w:rPr>
            </w:pPr>
            <w:r>
              <w:rPr>
                <w:rFonts w:hint="default" w:ascii="Times New Roman" w:hAnsi="Times New Roman" w:cs="Times New Roman"/>
                <w:color w:val="000000"/>
              </w:rPr>
              <w:t>苯乙烯</w:t>
            </w:r>
          </w:p>
        </w:tc>
        <w:tc>
          <w:tcPr>
            <w:tcW w:w="3045" w:type="pct"/>
            <w:tcBorders>
              <w:top w:val="single" w:color="auto" w:sz="4" w:space="0"/>
              <w:left w:val="single" w:color="auto" w:sz="4" w:space="0"/>
              <w:bottom w:val="single" w:color="auto" w:sz="4" w:space="0"/>
              <w:right w:val="single" w:color="auto" w:sz="4" w:space="0"/>
            </w:tcBorders>
            <w:vAlign w:val="center"/>
          </w:tcPr>
          <w:p w14:paraId="344EC581">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1DC06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CB1DF34">
            <w:pPr>
              <w:pStyle w:val="182"/>
              <w:rPr>
                <w:rFonts w:hint="default" w:ascii="Times New Roman" w:hAnsi="Times New Roman" w:cs="Times New Roman"/>
                <w:color w:val="000000"/>
              </w:rPr>
            </w:pPr>
            <w:r>
              <w:rPr>
                <w:rFonts w:hint="default" w:ascii="Times New Roman" w:hAnsi="Times New Roman" w:cs="Times New Roman"/>
                <w:color w:val="000000"/>
              </w:rPr>
              <w:t>18</w:t>
            </w:r>
          </w:p>
        </w:tc>
        <w:tc>
          <w:tcPr>
            <w:tcW w:w="1308" w:type="pct"/>
            <w:tcBorders>
              <w:top w:val="single" w:color="auto" w:sz="4" w:space="0"/>
              <w:left w:val="single" w:color="auto" w:sz="4" w:space="0"/>
              <w:bottom w:val="single" w:color="auto" w:sz="4" w:space="0"/>
              <w:right w:val="single" w:color="auto" w:sz="4" w:space="0"/>
            </w:tcBorders>
            <w:vAlign w:val="center"/>
          </w:tcPr>
          <w:p w14:paraId="7ECCC6BF">
            <w:pPr>
              <w:pStyle w:val="182"/>
              <w:rPr>
                <w:rFonts w:hint="default" w:ascii="Times New Roman" w:hAnsi="Times New Roman" w:cs="Times New Roman"/>
                <w:color w:val="000000"/>
              </w:rPr>
            </w:pPr>
            <w:r>
              <w:rPr>
                <w:rFonts w:hint="default" w:ascii="Times New Roman" w:hAnsi="Times New Roman" w:cs="Times New Roman"/>
                <w:color w:val="000000"/>
              </w:rPr>
              <w:t>邻二甲苯</w:t>
            </w:r>
          </w:p>
        </w:tc>
        <w:tc>
          <w:tcPr>
            <w:tcW w:w="3045" w:type="pct"/>
            <w:tcBorders>
              <w:top w:val="single" w:color="auto" w:sz="4" w:space="0"/>
              <w:left w:val="single" w:color="auto" w:sz="4" w:space="0"/>
              <w:bottom w:val="single" w:color="auto" w:sz="4" w:space="0"/>
              <w:right w:val="single" w:color="auto" w:sz="4" w:space="0"/>
            </w:tcBorders>
            <w:vAlign w:val="center"/>
          </w:tcPr>
          <w:p w14:paraId="10F18D25">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58D713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A0A97F5">
            <w:pPr>
              <w:pStyle w:val="182"/>
              <w:rPr>
                <w:rFonts w:hint="default" w:ascii="Times New Roman" w:hAnsi="Times New Roman" w:cs="Times New Roman"/>
                <w:color w:val="000000"/>
              </w:rPr>
            </w:pPr>
            <w:r>
              <w:rPr>
                <w:rFonts w:hint="default" w:ascii="Times New Roman" w:hAnsi="Times New Roman" w:cs="Times New Roman"/>
                <w:color w:val="000000"/>
              </w:rPr>
              <w:t>19</w:t>
            </w:r>
          </w:p>
        </w:tc>
        <w:tc>
          <w:tcPr>
            <w:tcW w:w="1308" w:type="pct"/>
            <w:tcBorders>
              <w:top w:val="single" w:color="auto" w:sz="4" w:space="0"/>
              <w:left w:val="single" w:color="auto" w:sz="4" w:space="0"/>
              <w:bottom w:val="single" w:color="auto" w:sz="4" w:space="0"/>
              <w:right w:val="single" w:color="auto" w:sz="4" w:space="0"/>
            </w:tcBorders>
            <w:vAlign w:val="center"/>
          </w:tcPr>
          <w:p w14:paraId="0374803A">
            <w:pPr>
              <w:pStyle w:val="182"/>
              <w:rPr>
                <w:rFonts w:hint="default" w:ascii="Times New Roman" w:hAnsi="Times New Roman" w:cs="Times New Roman"/>
                <w:color w:val="000000"/>
              </w:rPr>
            </w:pPr>
            <w:r>
              <w:rPr>
                <w:rFonts w:hint="default" w:ascii="Times New Roman" w:hAnsi="Times New Roman" w:cs="Times New Roman"/>
                <w:color w:val="000000"/>
              </w:rPr>
              <w:t>间，对二甲苯</w:t>
            </w:r>
          </w:p>
        </w:tc>
        <w:tc>
          <w:tcPr>
            <w:tcW w:w="3045" w:type="pct"/>
            <w:tcBorders>
              <w:top w:val="single" w:color="auto" w:sz="4" w:space="0"/>
              <w:left w:val="single" w:color="auto" w:sz="4" w:space="0"/>
              <w:bottom w:val="single" w:color="auto" w:sz="4" w:space="0"/>
              <w:right w:val="single" w:color="auto" w:sz="4" w:space="0"/>
            </w:tcBorders>
            <w:vAlign w:val="center"/>
          </w:tcPr>
          <w:p w14:paraId="2767EC0A">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F7B7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E17B7DD">
            <w:pPr>
              <w:pStyle w:val="182"/>
              <w:rPr>
                <w:rFonts w:hint="default" w:ascii="Times New Roman" w:hAnsi="Times New Roman" w:cs="Times New Roman"/>
                <w:color w:val="000000"/>
              </w:rPr>
            </w:pPr>
            <w:r>
              <w:rPr>
                <w:rFonts w:hint="default" w:ascii="Times New Roman" w:hAnsi="Times New Roman" w:cs="Times New Roman"/>
                <w:color w:val="000000"/>
              </w:rPr>
              <w:t>20</w:t>
            </w:r>
          </w:p>
        </w:tc>
        <w:tc>
          <w:tcPr>
            <w:tcW w:w="1308" w:type="pct"/>
            <w:tcBorders>
              <w:top w:val="single" w:color="auto" w:sz="4" w:space="0"/>
              <w:left w:val="single" w:color="auto" w:sz="4" w:space="0"/>
              <w:bottom w:val="single" w:color="auto" w:sz="4" w:space="0"/>
              <w:right w:val="single" w:color="auto" w:sz="4" w:space="0"/>
            </w:tcBorders>
            <w:vAlign w:val="center"/>
          </w:tcPr>
          <w:p w14:paraId="7EF5669C">
            <w:pPr>
              <w:pStyle w:val="182"/>
              <w:rPr>
                <w:rFonts w:hint="default" w:ascii="Times New Roman" w:hAnsi="Times New Roman" w:cs="Times New Roman"/>
                <w:color w:val="000000"/>
              </w:rPr>
            </w:pPr>
            <w:r>
              <w:rPr>
                <w:rFonts w:hint="default" w:ascii="Times New Roman" w:hAnsi="Times New Roman" w:cs="Times New Roman"/>
                <w:color w:val="000000"/>
              </w:rPr>
              <w:t>乙苯</w:t>
            </w:r>
          </w:p>
        </w:tc>
        <w:tc>
          <w:tcPr>
            <w:tcW w:w="3045" w:type="pct"/>
            <w:tcBorders>
              <w:top w:val="single" w:color="auto" w:sz="4" w:space="0"/>
              <w:left w:val="single" w:color="auto" w:sz="4" w:space="0"/>
              <w:bottom w:val="single" w:color="auto" w:sz="4" w:space="0"/>
              <w:right w:val="single" w:color="auto" w:sz="4" w:space="0"/>
            </w:tcBorders>
            <w:vAlign w:val="center"/>
          </w:tcPr>
          <w:p w14:paraId="276E59E5">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0B0CC3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F84093C">
            <w:pPr>
              <w:pStyle w:val="182"/>
              <w:rPr>
                <w:rFonts w:hint="default" w:ascii="Times New Roman" w:hAnsi="Times New Roman" w:cs="Times New Roman"/>
                <w:color w:val="000000"/>
              </w:rPr>
            </w:pPr>
            <w:r>
              <w:rPr>
                <w:rFonts w:hint="default" w:ascii="Times New Roman" w:hAnsi="Times New Roman" w:cs="Times New Roman"/>
                <w:color w:val="000000"/>
              </w:rPr>
              <w:t>21</w:t>
            </w:r>
          </w:p>
        </w:tc>
        <w:tc>
          <w:tcPr>
            <w:tcW w:w="1308" w:type="pct"/>
            <w:tcBorders>
              <w:top w:val="single" w:color="auto" w:sz="4" w:space="0"/>
              <w:left w:val="single" w:color="auto" w:sz="4" w:space="0"/>
              <w:bottom w:val="single" w:color="auto" w:sz="4" w:space="0"/>
              <w:right w:val="single" w:color="auto" w:sz="4" w:space="0"/>
            </w:tcBorders>
            <w:vAlign w:val="center"/>
          </w:tcPr>
          <w:p w14:paraId="17631718">
            <w:pPr>
              <w:pStyle w:val="182"/>
              <w:rPr>
                <w:rFonts w:hint="default" w:ascii="Times New Roman" w:hAnsi="Times New Roman" w:cs="Times New Roman"/>
                <w:color w:val="000000"/>
              </w:rPr>
            </w:pPr>
            <w:r>
              <w:rPr>
                <w:rFonts w:hint="default" w:ascii="Times New Roman" w:hAnsi="Times New Roman" w:cs="Times New Roman"/>
                <w:color w:val="000000"/>
              </w:rPr>
              <w:t>1,1,1,2-四氯乙烷</w:t>
            </w:r>
          </w:p>
        </w:tc>
        <w:tc>
          <w:tcPr>
            <w:tcW w:w="3045" w:type="pct"/>
            <w:tcBorders>
              <w:top w:val="single" w:color="auto" w:sz="4" w:space="0"/>
              <w:left w:val="single" w:color="auto" w:sz="4" w:space="0"/>
              <w:bottom w:val="single" w:color="auto" w:sz="4" w:space="0"/>
              <w:right w:val="single" w:color="auto" w:sz="4" w:space="0"/>
            </w:tcBorders>
            <w:vAlign w:val="center"/>
          </w:tcPr>
          <w:p w14:paraId="4F79B475">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2C74B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3C5F3C8">
            <w:pPr>
              <w:pStyle w:val="182"/>
              <w:rPr>
                <w:rFonts w:hint="default" w:ascii="Times New Roman" w:hAnsi="Times New Roman" w:cs="Times New Roman"/>
                <w:color w:val="000000"/>
              </w:rPr>
            </w:pPr>
            <w:r>
              <w:rPr>
                <w:rFonts w:hint="default" w:ascii="Times New Roman" w:hAnsi="Times New Roman" w:cs="Times New Roman"/>
                <w:color w:val="000000"/>
              </w:rPr>
              <w:t>22</w:t>
            </w:r>
          </w:p>
        </w:tc>
        <w:tc>
          <w:tcPr>
            <w:tcW w:w="1308" w:type="pct"/>
            <w:tcBorders>
              <w:top w:val="single" w:color="auto" w:sz="4" w:space="0"/>
              <w:left w:val="single" w:color="auto" w:sz="4" w:space="0"/>
              <w:bottom w:val="single" w:color="auto" w:sz="4" w:space="0"/>
              <w:right w:val="single" w:color="auto" w:sz="4" w:space="0"/>
            </w:tcBorders>
            <w:vAlign w:val="center"/>
          </w:tcPr>
          <w:p w14:paraId="5C260377">
            <w:pPr>
              <w:pStyle w:val="182"/>
              <w:rPr>
                <w:rFonts w:hint="default" w:ascii="Times New Roman" w:hAnsi="Times New Roman" w:cs="Times New Roman"/>
                <w:color w:val="000000"/>
              </w:rPr>
            </w:pPr>
            <w:r>
              <w:rPr>
                <w:rFonts w:hint="default" w:ascii="Times New Roman" w:hAnsi="Times New Roman" w:cs="Times New Roman"/>
                <w:color w:val="000000"/>
              </w:rPr>
              <w:t>氯苯</w:t>
            </w:r>
          </w:p>
        </w:tc>
        <w:tc>
          <w:tcPr>
            <w:tcW w:w="3045" w:type="pct"/>
            <w:tcBorders>
              <w:top w:val="single" w:color="auto" w:sz="4" w:space="0"/>
              <w:left w:val="single" w:color="auto" w:sz="4" w:space="0"/>
              <w:bottom w:val="single" w:color="auto" w:sz="4" w:space="0"/>
              <w:right w:val="single" w:color="auto" w:sz="4" w:space="0"/>
            </w:tcBorders>
            <w:vAlign w:val="center"/>
          </w:tcPr>
          <w:p w14:paraId="395FD4D5">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39690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4DFD778">
            <w:pPr>
              <w:pStyle w:val="182"/>
              <w:rPr>
                <w:rFonts w:hint="default" w:ascii="Times New Roman" w:hAnsi="Times New Roman" w:cs="Times New Roman"/>
                <w:color w:val="000000"/>
              </w:rPr>
            </w:pPr>
            <w:r>
              <w:rPr>
                <w:rFonts w:hint="default" w:ascii="Times New Roman" w:hAnsi="Times New Roman" w:cs="Times New Roman"/>
                <w:color w:val="000000"/>
              </w:rPr>
              <w:t>23</w:t>
            </w:r>
          </w:p>
        </w:tc>
        <w:tc>
          <w:tcPr>
            <w:tcW w:w="1308" w:type="pct"/>
            <w:tcBorders>
              <w:top w:val="single" w:color="auto" w:sz="4" w:space="0"/>
              <w:left w:val="single" w:color="auto" w:sz="4" w:space="0"/>
              <w:bottom w:val="single" w:color="auto" w:sz="4" w:space="0"/>
              <w:right w:val="single" w:color="auto" w:sz="4" w:space="0"/>
            </w:tcBorders>
            <w:vAlign w:val="center"/>
          </w:tcPr>
          <w:p w14:paraId="6A59E1E5">
            <w:pPr>
              <w:pStyle w:val="182"/>
              <w:rPr>
                <w:rFonts w:hint="default" w:ascii="Times New Roman" w:hAnsi="Times New Roman" w:cs="Times New Roman"/>
                <w:color w:val="000000"/>
              </w:rPr>
            </w:pPr>
            <w:r>
              <w:rPr>
                <w:rFonts w:hint="default" w:ascii="Times New Roman" w:hAnsi="Times New Roman" w:cs="Times New Roman"/>
                <w:color w:val="000000"/>
              </w:rPr>
              <w:t>四氯乙烯</w:t>
            </w:r>
          </w:p>
        </w:tc>
        <w:tc>
          <w:tcPr>
            <w:tcW w:w="3045" w:type="pct"/>
            <w:tcBorders>
              <w:top w:val="single" w:color="auto" w:sz="4" w:space="0"/>
              <w:left w:val="single" w:color="auto" w:sz="4" w:space="0"/>
              <w:bottom w:val="single" w:color="auto" w:sz="4" w:space="0"/>
              <w:right w:val="single" w:color="auto" w:sz="4" w:space="0"/>
            </w:tcBorders>
            <w:vAlign w:val="center"/>
          </w:tcPr>
          <w:p w14:paraId="153BFD17">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39E71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D6DDE6F">
            <w:pPr>
              <w:pStyle w:val="182"/>
              <w:rPr>
                <w:rFonts w:hint="default" w:ascii="Times New Roman" w:hAnsi="Times New Roman" w:cs="Times New Roman"/>
                <w:color w:val="000000"/>
              </w:rPr>
            </w:pPr>
            <w:r>
              <w:rPr>
                <w:rFonts w:hint="default" w:ascii="Times New Roman" w:hAnsi="Times New Roman" w:cs="Times New Roman"/>
                <w:color w:val="000000"/>
              </w:rPr>
              <w:t>24</w:t>
            </w:r>
          </w:p>
        </w:tc>
        <w:tc>
          <w:tcPr>
            <w:tcW w:w="1308" w:type="pct"/>
            <w:tcBorders>
              <w:top w:val="single" w:color="auto" w:sz="4" w:space="0"/>
              <w:left w:val="single" w:color="auto" w:sz="4" w:space="0"/>
              <w:bottom w:val="single" w:color="auto" w:sz="4" w:space="0"/>
              <w:right w:val="single" w:color="auto" w:sz="4" w:space="0"/>
            </w:tcBorders>
            <w:vAlign w:val="center"/>
          </w:tcPr>
          <w:p w14:paraId="4AFB0CBC">
            <w:pPr>
              <w:pStyle w:val="182"/>
              <w:rPr>
                <w:rFonts w:hint="default" w:ascii="Times New Roman" w:hAnsi="Times New Roman" w:cs="Times New Roman"/>
                <w:color w:val="000000"/>
              </w:rPr>
            </w:pPr>
            <w:r>
              <w:rPr>
                <w:rFonts w:hint="default" w:ascii="Times New Roman" w:hAnsi="Times New Roman" w:cs="Times New Roman"/>
                <w:color w:val="000000"/>
              </w:rPr>
              <w:t>1,1,2-三氯乙烷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1C245BEB">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0C1B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1221C6D">
            <w:pPr>
              <w:pStyle w:val="182"/>
              <w:rPr>
                <w:rFonts w:hint="default" w:ascii="Times New Roman" w:hAnsi="Times New Roman" w:cs="Times New Roman"/>
                <w:color w:val="000000"/>
              </w:rPr>
            </w:pPr>
            <w:r>
              <w:rPr>
                <w:rFonts w:hint="default" w:ascii="Times New Roman" w:hAnsi="Times New Roman" w:cs="Times New Roman"/>
                <w:color w:val="000000"/>
              </w:rPr>
              <w:t>25</w:t>
            </w:r>
          </w:p>
        </w:tc>
        <w:tc>
          <w:tcPr>
            <w:tcW w:w="1308" w:type="pct"/>
            <w:tcBorders>
              <w:top w:val="single" w:color="auto" w:sz="4" w:space="0"/>
              <w:left w:val="single" w:color="auto" w:sz="4" w:space="0"/>
              <w:bottom w:val="single" w:color="auto" w:sz="4" w:space="0"/>
              <w:right w:val="single" w:color="auto" w:sz="4" w:space="0"/>
            </w:tcBorders>
            <w:vAlign w:val="center"/>
          </w:tcPr>
          <w:p w14:paraId="44A97D74">
            <w:pPr>
              <w:pStyle w:val="182"/>
              <w:rPr>
                <w:rFonts w:hint="default" w:ascii="Times New Roman" w:hAnsi="Times New Roman" w:cs="Times New Roman"/>
                <w:color w:val="000000"/>
              </w:rPr>
            </w:pPr>
            <w:r>
              <w:rPr>
                <w:rFonts w:hint="default" w:ascii="Times New Roman" w:hAnsi="Times New Roman" w:cs="Times New Roman"/>
                <w:color w:val="000000"/>
              </w:rPr>
              <w:t>甲苯</w:t>
            </w:r>
          </w:p>
        </w:tc>
        <w:tc>
          <w:tcPr>
            <w:tcW w:w="3045" w:type="pct"/>
            <w:tcBorders>
              <w:top w:val="single" w:color="auto" w:sz="4" w:space="0"/>
              <w:left w:val="single" w:color="auto" w:sz="4" w:space="0"/>
              <w:bottom w:val="single" w:color="auto" w:sz="4" w:space="0"/>
              <w:right w:val="single" w:color="auto" w:sz="4" w:space="0"/>
            </w:tcBorders>
            <w:vAlign w:val="center"/>
          </w:tcPr>
          <w:p w14:paraId="353EAEB9">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B0AF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1D82ABC">
            <w:pPr>
              <w:pStyle w:val="182"/>
              <w:rPr>
                <w:rFonts w:hint="default" w:ascii="Times New Roman" w:hAnsi="Times New Roman" w:cs="Times New Roman"/>
                <w:color w:val="000000"/>
              </w:rPr>
            </w:pPr>
            <w:r>
              <w:rPr>
                <w:rFonts w:hint="default" w:ascii="Times New Roman" w:hAnsi="Times New Roman" w:cs="Times New Roman"/>
                <w:color w:val="000000"/>
              </w:rPr>
              <w:t>26</w:t>
            </w:r>
          </w:p>
        </w:tc>
        <w:tc>
          <w:tcPr>
            <w:tcW w:w="1308" w:type="pct"/>
            <w:tcBorders>
              <w:top w:val="single" w:color="auto" w:sz="4" w:space="0"/>
              <w:left w:val="single" w:color="auto" w:sz="4" w:space="0"/>
              <w:bottom w:val="single" w:color="auto" w:sz="4" w:space="0"/>
              <w:right w:val="single" w:color="auto" w:sz="4" w:space="0"/>
            </w:tcBorders>
            <w:vAlign w:val="center"/>
          </w:tcPr>
          <w:p w14:paraId="3CEC46DD">
            <w:pPr>
              <w:pStyle w:val="182"/>
              <w:rPr>
                <w:rFonts w:hint="default" w:ascii="Times New Roman" w:hAnsi="Times New Roman" w:cs="Times New Roman"/>
                <w:color w:val="000000"/>
              </w:rPr>
            </w:pPr>
            <w:r>
              <w:rPr>
                <w:rFonts w:hint="default" w:ascii="Times New Roman" w:hAnsi="Times New Roman" w:cs="Times New Roman"/>
                <w:color w:val="000000"/>
              </w:rPr>
              <w:t>1,2-二氯丙烷</w:t>
            </w:r>
          </w:p>
        </w:tc>
        <w:tc>
          <w:tcPr>
            <w:tcW w:w="3045" w:type="pct"/>
            <w:tcBorders>
              <w:top w:val="single" w:color="auto" w:sz="4" w:space="0"/>
              <w:left w:val="single" w:color="auto" w:sz="4" w:space="0"/>
              <w:bottom w:val="single" w:color="auto" w:sz="4" w:space="0"/>
              <w:right w:val="single" w:color="auto" w:sz="4" w:space="0"/>
            </w:tcBorders>
            <w:vAlign w:val="center"/>
          </w:tcPr>
          <w:p w14:paraId="4F675A96">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B568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FEDA8D5">
            <w:pPr>
              <w:pStyle w:val="182"/>
              <w:rPr>
                <w:rFonts w:hint="default" w:ascii="Times New Roman" w:hAnsi="Times New Roman" w:cs="Times New Roman"/>
                <w:color w:val="000000"/>
              </w:rPr>
            </w:pPr>
            <w:r>
              <w:rPr>
                <w:rFonts w:hint="default" w:ascii="Times New Roman" w:hAnsi="Times New Roman" w:cs="Times New Roman"/>
                <w:color w:val="000000"/>
              </w:rPr>
              <w:t>27</w:t>
            </w:r>
          </w:p>
        </w:tc>
        <w:tc>
          <w:tcPr>
            <w:tcW w:w="1308" w:type="pct"/>
            <w:tcBorders>
              <w:top w:val="single" w:color="auto" w:sz="4" w:space="0"/>
              <w:left w:val="single" w:color="auto" w:sz="4" w:space="0"/>
              <w:bottom w:val="single" w:color="auto" w:sz="4" w:space="0"/>
              <w:right w:val="single" w:color="auto" w:sz="4" w:space="0"/>
            </w:tcBorders>
            <w:vAlign w:val="center"/>
          </w:tcPr>
          <w:p w14:paraId="5B72FAFF">
            <w:pPr>
              <w:pStyle w:val="182"/>
              <w:rPr>
                <w:rFonts w:hint="default" w:ascii="Times New Roman" w:hAnsi="Times New Roman" w:cs="Times New Roman"/>
                <w:color w:val="000000"/>
              </w:rPr>
            </w:pPr>
            <w:r>
              <w:rPr>
                <w:rFonts w:hint="default" w:ascii="Times New Roman" w:hAnsi="Times New Roman" w:cs="Times New Roman"/>
                <w:color w:val="000000"/>
              </w:rPr>
              <w:t>三氯乙烯</w:t>
            </w:r>
          </w:p>
        </w:tc>
        <w:tc>
          <w:tcPr>
            <w:tcW w:w="3045" w:type="pct"/>
            <w:tcBorders>
              <w:top w:val="single" w:color="auto" w:sz="4" w:space="0"/>
              <w:left w:val="single" w:color="auto" w:sz="4" w:space="0"/>
              <w:bottom w:val="single" w:color="auto" w:sz="4" w:space="0"/>
              <w:right w:val="single" w:color="auto" w:sz="4" w:space="0"/>
            </w:tcBorders>
            <w:vAlign w:val="center"/>
          </w:tcPr>
          <w:p w14:paraId="65140025">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7231B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0973D5D">
            <w:pPr>
              <w:pStyle w:val="182"/>
              <w:rPr>
                <w:rFonts w:hint="default" w:ascii="Times New Roman" w:hAnsi="Times New Roman" w:cs="Times New Roman"/>
                <w:color w:val="000000"/>
              </w:rPr>
            </w:pPr>
            <w:r>
              <w:rPr>
                <w:rFonts w:hint="default" w:ascii="Times New Roman" w:hAnsi="Times New Roman" w:cs="Times New Roman"/>
                <w:color w:val="000000"/>
              </w:rPr>
              <w:t>28</w:t>
            </w:r>
          </w:p>
        </w:tc>
        <w:tc>
          <w:tcPr>
            <w:tcW w:w="1308" w:type="pct"/>
            <w:tcBorders>
              <w:top w:val="single" w:color="auto" w:sz="4" w:space="0"/>
              <w:left w:val="single" w:color="auto" w:sz="4" w:space="0"/>
              <w:bottom w:val="single" w:color="auto" w:sz="4" w:space="0"/>
              <w:right w:val="single" w:color="auto" w:sz="4" w:space="0"/>
            </w:tcBorders>
            <w:vAlign w:val="center"/>
          </w:tcPr>
          <w:p w14:paraId="551A0847">
            <w:pPr>
              <w:pStyle w:val="182"/>
              <w:rPr>
                <w:rFonts w:hint="default" w:ascii="Times New Roman" w:hAnsi="Times New Roman" w:cs="Times New Roman"/>
                <w:color w:val="000000"/>
              </w:rPr>
            </w:pPr>
            <w:r>
              <w:rPr>
                <w:rFonts w:hint="default" w:ascii="Times New Roman" w:hAnsi="Times New Roman" w:cs="Times New Roman"/>
                <w:color w:val="000000"/>
              </w:rPr>
              <w:t>苯</w:t>
            </w:r>
          </w:p>
        </w:tc>
        <w:tc>
          <w:tcPr>
            <w:tcW w:w="3045" w:type="pct"/>
            <w:tcBorders>
              <w:top w:val="single" w:color="auto" w:sz="4" w:space="0"/>
              <w:left w:val="single" w:color="auto" w:sz="4" w:space="0"/>
              <w:bottom w:val="single" w:color="auto" w:sz="4" w:space="0"/>
              <w:right w:val="single" w:color="auto" w:sz="4" w:space="0"/>
            </w:tcBorders>
            <w:vAlign w:val="center"/>
          </w:tcPr>
          <w:p w14:paraId="62BC706B">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7E53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8428352">
            <w:pPr>
              <w:pStyle w:val="182"/>
              <w:rPr>
                <w:rFonts w:hint="default" w:ascii="Times New Roman" w:hAnsi="Times New Roman" w:cs="Times New Roman"/>
                <w:color w:val="000000"/>
              </w:rPr>
            </w:pPr>
            <w:r>
              <w:rPr>
                <w:rFonts w:hint="default" w:ascii="Times New Roman" w:hAnsi="Times New Roman" w:cs="Times New Roman"/>
                <w:color w:val="000000"/>
              </w:rPr>
              <w:t>29</w:t>
            </w:r>
          </w:p>
        </w:tc>
        <w:tc>
          <w:tcPr>
            <w:tcW w:w="1308" w:type="pct"/>
            <w:tcBorders>
              <w:top w:val="single" w:color="auto" w:sz="4" w:space="0"/>
              <w:left w:val="single" w:color="auto" w:sz="4" w:space="0"/>
              <w:bottom w:val="single" w:color="auto" w:sz="4" w:space="0"/>
              <w:right w:val="single" w:color="auto" w:sz="4" w:space="0"/>
            </w:tcBorders>
            <w:vAlign w:val="center"/>
          </w:tcPr>
          <w:p w14:paraId="2AB4E50A">
            <w:pPr>
              <w:pStyle w:val="182"/>
              <w:rPr>
                <w:rFonts w:hint="default" w:ascii="Times New Roman" w:hAnsi="Times New Roman" w:cs="Times New Roman"/>
                <w:color w:val="000000"/>
              </w:rPr>
            </w:pPr>
            <w:r>
              <w:rPr>
                <w:rFonts w:hint="default" w:ascii="Times New Roman" w:hAnsi="Times New Roman" w:cs="Times New Roman"/>
                <w:color w:val="000000"/>
              </w:rPr>
              <w:t>1,2-二氯乙烷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78C37B09">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7517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5356566">
            <w:pPr>
              <w:pStyle w:val="182"/>
              <w:rPr>
                <w:rFonts w:hint="default" w:ascii="Times New Roman" w:hAnsi="Times New Roman" w:cs="Times New Roman"/>
                <w:color w:val="000000"/>
              </w:rPr>
            </w:pPr>
            <w:r>
              <w:rPr>
                <w:rFonts w:hint="default" w:ascii="Times New Roman" w:hAnsi="Times New Roman" w:cs="Times New Roman"/>
                <w:color w:val="000000"/>
              </w:rPr>
              <w:t>30</w:t>
            </w:r>
          </w:p>
        </w:tc>
        <w:tc>
          <w:tcPr>
            <w:tcW w:w="1308" w:type="pct"/>
            <w:tcBorders>
              <w:top w:val="single" w:color="auto" w:sz="4" w:space="0"/>
              <w:left w:val="single" w:color="auto" w:sz="4" w:space="0"/>
              <w:bottom w:val="single" w:color="auto" w:sz="4" w:space="0"/>
              <w:right w:val="single" w:color="auto" w:sz="4" w:space="0"/>
            </w:tcBorders>
            <w:vAlign w:val="center"/>
          </w:tcPr>
          <w:p w14:paraId="1C7FEE45">
            <w:pPr>
              <w:pStyle w:val="182"/>
              <w:rPr>
                <w:rFonts w:hint="default" w:ascii="Times New Roman" w:hAnsi="Times New Roman" w:cs="Times New Roman"/>
                <w:color w:val="000000"/>
              </w:rPr>
            </w:pPr>
            <w:r>
              <w:rPr>
                <w:rFonts w:hint="default" w:ascii="Times New Roman" w:hAnsi="Times New Roman" w:cs="Times New Roman"/>
                <w:color w:val="000000"/>
              </w:rPr>
              <w:t>四氯化碳</w:t>
            </w:r>
          </w:p>
        </w:tc>
        <w:tc>
          <w:tcPr>
            <w:tcW w:w="3045" w:type="pct"/>
            <w:tcBorders>
              <w:top w:val="single" w:color="auto" w:sz="4" w:space="0"/>
              <w:left w:val="single" w:color="auto" w:sz="4" w:space="0"/>
              <w:bottom w:val="single" w:color="auto" w:sz="4" w:space="0"/>
              <w:right w:val="single" w:color="auto" w:sz="4" w:space="0"/>
            </w:tcBorders>
            <w:vAlign w:val="center"/>
          </w:tcPr>
          <w:p w14:paraId="72E49C6A">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6DF8E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B2AF87D">
            <w:pPr>
              <w:pStyle w:val="182"/>
              <w:rPr>
                <w:rFonts w:hint="default" w:ascii="Times New Roman" w:hAnsi="Times New Roman" w:cs="Times New Roman"/>
                <w:color w:val="000000"/>
              </w:rPr>
            </w:pPr>
            <w:r>
              <w:rPr>
                <w:rFonts w:hint="default" w:ascii="Times New Roman" w:hAnsi="Times New Roman" w:cs="Times New Roman"/>
                <w:color w:val="000000"/>
              </w:rPr>
              <w:t>31</w:t>
            </w:r>
          </w:p>
        </w:tc>
        <w:tc>
          <w:tcPr>
            <w:tcW w:w="1308" w:type="pct"/>
            <w:tcBorders>
              <w:top w:val="single" w:color="auto" w:sz="4" w:space="0"/>
              <w:left w:val="single" w:color="auto" w:sz="4" w:space="0"/>
              <w:bottom w:val="single" w:color="auto" w:sz="4" w:space="0"/>
              <w:right w:val="single" w:color="auto" w:sz="4" w:space="0"/>
            </w:tcBorders>
            <w:vAlign w:val="center"/>
          </w:tcPr>
          <w:p w14:paraId="5A8BA17C">
            <w:pPr>
              <w:pStyle w:val="182"/>
              <w:rPr>
                <w:rFonts w:hint="default" w:ascii="Times New Roman" w:hAnsi="Times New Roman" w:cs="Times New Roman"/>
                <w:color w:val="000000"/>
              </w:rPr>
            </w:pPr>
            <w:r>
              <w:rPr>
                <w:rFonts w:hint="default" w:ascii="Times New Roman" w:hAnsi="Times New Roman" w:cs="Times New Roman"/>
                <w:color w:val="000000"/>
              </w:rPr>
              <w:t>1,1,1-三氯乙烷</w:t>
            </w:r>
          </w:p>
        </w:tc>
        <w:tc>
          <w:tcPr>
            <w:tcW w:w="3045" w:type="pct"/>
            <w:tcBorders>
              <w:top w:val="single" w:color="auto" w:sz="4" w:space="0"/>
              <w:left w:val="single" w:color="auto" w:sz="4" w:space="0"/>
              <w:bottom w:val="single" w:color="auto" w:sz="4" w:space="0"/>
              <w:right w:val="single" w:color="auto" w:sz="4" w:space="0"/>
            </w:tcBorders>
            <w:vAlign w:val="center"/>
          </w:tcPr>
          <w:p w14:paraId="39BEF63A">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75079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0346E05">
            <w:pPr>
              <w:pStyle w:val="182"/>
              <w:rPr>
                <w:rFonts w:hint="default" w:ascii="Times New Roman" w:hAnsi="Times New Roman" w:cs="Times New Roman"/>
                <w:color w:val="000000"/>
              </w:rPr>
            </w:pPr>
            <w:r>
              <w:rPr>
                <w:rFonts w:hint="default" w:ascii="Times New Roman" w:hAnsi="Times New Roman" w:cs="Times New Roman"/>
                <w:color w:val="000000"/>
              </w:rPr>
              <w:t>32</w:t>
            </w:r>
          </w:p>
        </w:tc>
        <w:tc>
          <w:tcPr>
            <w:tcW w:w="1308" w:type="pct"/>
            <w:tcBorders>
              <w:top w:val="single" w:color="auto" w:sz="4" w:space="0"/>
              <w:left w:val="single" w:color="auto" w:sz="4" w:space="0"/>
              <w:bottom w:val="single" w:color="auto" w:sz="4" w:space="0"/>
              <w:right w:val="single" w:color="auto" w:sz="4" w:space="0"/>
            </w:tcBorders>
            <w:vAlign w:val="center"/>
          </w:tcPr>
          <w:p w14:paraId="766D6B16">
            <w:pPr>
              <w:pStyle w:val="182"/>
              <w:rPr>
                <w:rFonts w:hint="default" w:ascii="Times New Roman" w:hAnsi="Times New Roman" w:cs="Times New Roman"/>
                <w:color w:val="000000"/>
              </w:rPr>
            </w:pPr>
            <w:r>
              <w:rPr>
                <w:rFonts w:hint="default" w:ascii="Times New Roman" w:hAnsi="Times New Roman" w:cs="Times New Roman"/>
                <w:color w:val="000000"/>
              </w:rPr>
              <w:t>氯仿</w:t>
            </w:r>
          </w:p>
        </w:tc>
        <w:tc>
          <w:tcPr>
            <w:tcW w:w="3045" w:type="pct"/>
            <w:tcBorders>
              <w:top w:val="single" w:color="auto" w:sz="4" w:space="0"/>
              <w:left w:val="single" w:color="auto" w:sz="4" w:space="0"/>
              <w:bottom w:val="single" w:color="auto" w:sz="4" w:space="0"/>
              <w:right w:val="single" w:color="auto" w:sz="4" w:space="0"/>
            </w:tcBorders>
            <w:vAlign w:val="center"/>
          </w:tcPr>
          <w:p w14:paraId="5EB230D0">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1C99CB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EB34E1A">
            <w:pPr>
              <w:pStyle w:val="182"/>
              <w:rPr>
                <w:rFonts w:hint="default" w:ascii="Times New Roman" w:hAnsi="Times New Roman" w:cs="Times New Roman"/>
                <w:color w:val="000000"/>
              </w:rPr>
            </w:pPr>
            <w:r>
              <w:rPr>
                <w:rFonts w:hint="default" w:ascii="Times New Roman" w:hAnsi="Times New Roman" w:cs="Times New Roman"/>
                <w:color w:val="000000"/>
              </w:rPr>
              <w:t>33</w:t>
            </w:r>
          </w:p>
        </w:tc>
        <w:tc>
          <w:tcPr>
            <w:tcW w:w="1308" w:type="pct"/>
            <w:tcBorders>
              <w:top w:val="single" w:color="auto" w:sz="4" w:space="0"/>
              <w:left w:val="single" w:color="auto" w:sz="4" w:space="0"/>
              <w:bottom w:val="single" w:color="auto" w:sz="4" w:space="0"/>
              <w:right w:val="single" w:color="auto" w:sz="4" w:space="0"/>
            </w:tcBorders>
            <w:vAlign w:val="center"/>
          </w:tcPr>
          <w:p w14:paraId="7FC80DCA">
            <w:pPr>
              <w:pStyle w:val="182"/>
              <w:rPr>
                <w:rFonts w:hint="default" w:ascii="Times New Roman" w:hAnsi="Times New Roman" w:cs="Times New Roman"/>
                <w:color w:val="000000"/>
              </w:rPr>
            </w:pPr>
            <w:r>
              <w:rPr>
                <w:rFonts w:hint="default" w:ascii="Times New Roman" w:hAnsi="Times New Roman" w:cs="Times New Roman"/>
                <w:color w:val="000000"/>
              </w:rPr>
              <w:t>顺-1,2-二氯乙烯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38C5F020">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6BBC0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318197D">
            <w:pPr>
              <w:pStyle w:val="182"/>
              <w:rPr>
                <w:rFonts w:hint="default" w:ascii="Times New Roman" w:hAnsi="Times New Roman" w:cs="Times New Roman"/>
                <w:color w:val="000000"/>
              </w:rPr>
            </w:pPr>
            <w:r>
              <w:rPr>
                <w:rFonts w:hint="default" w:ascii="Times New Roman" w:hAnsi="Times New Roman" w:cs="Times New Roman"/>
                <w:color w:val="000000"/>
              </w:rPr>
              <w:t>34</w:t>
            </w:r>
          </w:p>
        </w:tc>
        <w:tc>
          <w:tcPr>
            <w:tcW w:w="1308" w:type="pct"/>
            <w:tcBorders>
              <w:top w:val="single" w:color="auto" w:sz="4" w:space="0"/>
              <w:left w:val="single" w:color="auto" w:sz="4" w:space="0"/>
              <w:bottom w:val="single" w:color="auto" w:sz="4" w:space="0"/>
              <w:right w:val="single" w:color="auto" w:sz="4" w:space="0"/>
            </w:tcBorders>
            <w:vAlign w:val="center"/>
          </w:tcPr>
          <w:p w14:paraId="5E96C12D">
            <w:pPr>
              <w:pStyle w:val="182"/>
              <w:rPr>
                <w:rFonts w:hint="default" w:ascii="Times New Roman" w:hAnsi="Times New Roman" w:cs="Times New Roman"/>
                <w:color w:val="000000"/>
              </w:rPr>
            </w:pPr>
            <w:r>
              <w:rPr>
                <w:rFonts w:hint="default" w:ascii="Times New Roman" w:hAnsi="Times New Roman" w:cs="Times New Roman"/>
                <w:color w:val="000000"/>
              </w:rPr>
              <w:t>1,1-二氯乙烷</w:t>
            </w:r>
          </w:p>
        </w:tc>
        <w:tc>
          <w:tcPr>
            <w:tcW w:w="3045" w:type="pct"/>
            <w:tcBorders>
              <w:top w:val="single" w:color="auto" w:sz="4" w:space="0"/>
              <w:left w:val="single" w:color="auto" w:sz="4" w:space="0"/>
              <w:bottom w:val="single" w:color="auto" w:sz="4" w:space="0"/>
              <w:right w:val="single" w:color="auto" w:sz="4" w:space="0"/>
            </w:tcBorders>
            <w:vAlign w:val="center"/>
          </w:tcPr>
          <w:p w14:paraId="587DC359">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41782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8186CE6">
            <w:pPr>
              <w:pStyle w:val="182"/>
              <w:rPr>
                <w:rFonts w:hint="default" w:ascii="Times New Roman" w:hAnsi="Times New Roman" w:cs="Times New Roman"/>
                <w:color w:val="000000"/>
              </w:rPr>
            </w:pPr>
            <w:r>
              <w:rPr>
                <w:rFonts w:hint="default" w:ascii="Times New Roman" w:hAnsi="Times New Roman" w:cs="Times New Roman"/>
                <w:color w:val="000000"/>
              </w:rPr>
              <w:t>35</w:t>
            </w:r>
          </w:p>
        </w:tc>
        <w:tc>
          <w:tcPr>
            <w:tcW w:w="1308" w:type="pct"/>
            <w:tcBorders>
              <w:top w:val="single" w:color="auto" w:sz="4" w:space="0"/>
              <w:left w:val="single" w:color="auto" w:sz="4" w:space="0"/>
              <w:bottom w:val="single" w:color="auto" w:sz="4" w:space="0"/>
              <w:right w:val="single" w:color="auto" w:sz="4" w:space="0"/>
            </w:tcBorders>
            <w:vAlign w:val="center"/>
          </w:tcPr>
          <w:p w14:paraId="4C167C03">
            <w:pPr>
              <w:pStyle w:val="182"/>
              <w:rPr>
                <w:rFonts w:hint="default" w:ascii="Times New Roman" w:hAnsi="Times New Roman" w:cs="Times New Roman"/>
                <w:color w:val="000000"/>
              </w:rPr>
            </w:pPr>
            <w:r>
              <w:rPr>
                <w:rFonts w:hint="default" w:ascii="Times New Roman" w:hAnsi="Times New Roman" w:cs="Times New Roman"/>
                <w:color w:val="000000"/>
              </w:rPr>
              <w:t>反-1,2-二氯乙烯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15A04B5F">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5393C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A2B3788">
            <w:pPr>
              <w:pStyle w:val="182"/>
              <w:rPr>
                <w:rFonts w:hint="default" w:ascii="Times New Roman" w:hAnsi="Times New Roman" w:cs="Times New Roman"/>
                <w:color w:val="000000"/>
              </w:rPr>
            </w:pPr>
            <w:r>
              <w:rPr>
                <w:rFonts w:hint="default" w:ascii="Times New Roman" w:hAnsi="Times New Roman" w:cs="Times New Roman"/>
                <w:color w:val="000000"/>
              </w:rPr>
              <w:t>36</w:t>
            </w:r>
          </w:p>
        </w:tc>
        <w:tc>
          <w:tcPr>
            <w:tcW w:w="1308" w:type="pct"/>
            <w:tcBorders>
              <w:top w:val="single" w:color="auto" w:sz="4" w:space="0"/>
              <w:left w:val="single" w:color="auto" w:sz="4" w:space="0"/>
              <w:bottom w:val="single" w:color="auto" w:sz="4" w:space="0"/>
              <w:right w:val="single" w:color="auto" w:sz="4" w:space="0"/>
            </w:tcBorders>
            <w:vAlign w:val="center"/>
          </w:tcPr>
          <w:p w14:paraId="26FE338D">
            <w:pPr>
              <w:pStyle w:val="182"/>
              <w:rPr>
                <w:rFonts w:hint="default" w:ascii="Times New Roman" w:hAnsi="Times New Roman" w:cs="Times New Roman"/>
                <w:color w:val="000000"/>
              </w:rPr>
            </w:pPr>
            <w:r>
              <w:rPr>
                <w:rFonts w:hint="default" w:ascii="Times New Roman" w:hAnsi="Times New Roman" w:cs="Times New Roman"/>
                <w:color w:val="000000"/>
              </w:rPr>
              <w:t>二氯甲烷</w:t>
            </w:r>
          </w:p>
        </w:tc>
        <w:tc>
          <w:tcPr>
            <w:tcW w:w="3045" w:type="pct"/>
            <w:tcBorders>
              <w:top w:val="single" w:color="auto" w:sz="4" w:space="0"/>
              <w:left w:val="single" w:color="auto" w:sz="4" w:space="0"/>
              <w:bottom w:val="single" w:color="auto" w:sz="4" w:space="0"/>
              <w:right w:val="single" w:color="auto" w:sz="4" w:space="0"/>
            </w:tcBorders>
            <w:vAlign w:val="center"/>
          </w:tcPr>
          <w:p w14:paraId="010C6538">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029EC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6B73B88">
            <w:pPr>
              <w:pStyle w:val="182"/>
              <w:rPr>
                <w:rFonts w:hint="default" w:ascii="Times New Roman" w:hAnsi="Times New Roman" w:cs="Times New Roman"/>
                <w:color w:val="000000"/>
              </w:rPr>
            </w:pPr>
            <w:r>
              <w:rPr>
                <w:rFonts w:hint="default" w:ascii="Times New Roman" w:hAnsi="Times New Roman" w:cs="Times New Roman"/>
                <w:color w:val="000000"/>
              </w:rPr>
              <w:t>37</w:t>
            </w:r>
          </w:p>
        </w:tc>
        <w:tc>
          <w:tcPr>
            <w:tcW w:w="1308" w:type="pct"/>
            <w:tcBorders>
              <w:top w:val="single" w:color="auto" w:sz="4" w:space="0"/>
              <w:left w:val="single" w:color="auto" w:sz="4" w:space="0"/>
              <w:bottom w:val="single" w:color="auto" w:sz="4" w:space="0"/>
              <w:right w:val="single" w:color="auto" w:sz="4" w:space="0"/>
            </w:tcBorders>
            <w:vAlign w:val="center"/>
          </w:tcPr>
          <w:p w14:paraId="1E73B350">
            <w:pPr>
              <w:pStyle w:val="182"/>
              <w:rPr>
                <w:rFonts w:hint="default" w:ascii="Times New Roman" w:hAnsi="Times New Roman" w:cs="Times New Roman"/>
                <w:color w:val="000000"/>
              </w:rPr>
            </w:pPr>
            <w:r>
              <w:rPr>
                <w:rFonts w:hint="default" w:ascii="Times New Roman" w:hAnsi="Times New Roman" w:cs="Times New Roman"/>
                <w:color w:val="000000"/>
              </w:rPr>
              <w:t>1,1-二氯乙烯</w:t>
            </w:r>
          </w:p>
        </w:tc>
        <w:tc>
          <w:tcPr>
            <w:tcW w:w="3045" w:type="pct"/>
            <w:tcBorders>
              <w:top w:val="single" w:color="auto" w:sz="4" w:space="0"/>
              <w:left w:val="single" w:color="auto" w:sz="4" w:space="0"/>
              <w:bottom w:val="single" w:color="auto" w:sz="4" w:space="0"/>
              <w:right w:val="single" w:color="auto" w:sz="4" w:space="0"/>
            </w:tcBorders>
            <w:vAlign w:val="center"/>
          </w:tcPr>
          <w:p w14:paraId="57B2D4E9">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766E2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06FAF5E">
            <w:pPr>
              <w:pStyle w:val="182"/>
              <w:rPr>
                <w:rFonts w:hint="default" w:ascii="Times New Roman" w:hAnsi="Times New Roman" w:cs="Times New Roman"/>
                <w:color w:val="000000"/>
              </w:rPr>
            </w:pPr>
            <w:r>
              <w:rPr>
                <w:rFonts w:hint="default" w:ascii="Times New Roman" w:hAnsi="Times New Roman" w:cs="Times New Roman"/>
                <w:color w:val="000000"/>
              </w:rPr>
              <w:t>38</w:t>
            </w:r>
          </w:p>
        </w:tc>
        <w:tc>
          <w:tcPr>
            <w:tcW w:w="1308" w:type="pct"/>
            <w:tcBorders>
              <w:top w:val="single" w:color="auto" w:sz="4" w:space="0"/>
              <w:left w:val="single" w:color="auto" w:sz="4" w:space="0"/>
              <w:bottom w:val="single" w:color="auto" w:sz="4" w:space="0"/>
              <w:right w:val="single" w:color="auto" w:sz="4" w:space="0"/>
            </w:tcBorders>
            <w:vAlign w:val="center"/>
          </w:tcPr>
          <w:p w14:paraId="77A770C7">
            <w:pPr>
              <w:pStyle w:val="182"/>
              <w:rPr>
                <w:rFonts w:hint="default" w:ascii="Times New Roman" w:hAnsi="Times New Roman" w:cs="Times New Roman"/>
                <w:color w:val="000000"/>
              </w:rPr>
            </w:pPr>
            <w:r>
              <w:rPr>
                <w:rFonts w:hint="default" w:ascii="Times New Roman" w:hAnsi="Times New Roman" w:cs="Times New Roman"/>
                <w:color w:val="000000"/>
              </w:rPr>
              <w:t>氯乙烯</w:t>
            </w:r>
          </w:p>
        </w:tc>
        <w:tc>
          <w:tcPr>
            <w:tcW w:w="3045" w:type="pct"/>
            <w:tcBorders>
              <w:top w:val="single" w:color="auto" w:sz="4" w:space="0"/>
              <w:left w:val="single" w:color="auto" w:sz="4" w:space="0"/>
              <w:bottom w:val="single" w:color="auto" w:sz="4" w:space="0"/>
              <w:right w:val="single" w:color="auto" w:sz="4" w:space="0"/>
            </w:tcBorders>
            <w:vAlign w:val="center"/>
          </w:tcPr>
          <w:p w14:paraId="6D9E8C02">
            <w:pPr>
              <w:pStyle w:val="182"/>
              <w:rPr>
                <w:rFonts w:hint="default" w:ascii="Times New Roman" w:hAnsi="Times New Roman" w:cs="Times New Roman"/>
                <w:color w:val="000000"/>
              </w:rPr>
            </w:pPr>
            <w:r>
              <w:rPr>
                <w:rFonts w:hint="default" w:ascii="Times New Roman" w:hAnsi="Times New Roman" w:cs="Times New Roman"/>
                <w:color w:val="000000"/>
              </w:rPr>
              <w:t>HJ605-2011（吹扫捕集/气相色谱-质谱法）</w:t>
            </w:r>
          </w:p>
        </w:tc>
      </w:tr>
      <w:tr w14:paraId="1BD48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7A560D84">
            <w:pPr>
              <w:pStyle w:val="182"/>
              <w:rPr>
                <w:rFonts w:hint="default" w:ascii="Times New Roman" w:hAnsi="Times New Roman" w:cs="Times New Roman"/>
                <w:color w:val="000000"/>
              </w:rPr>
            </w:pPr>
            <w:r>
              <w:rPr>
                <w:rFonts w:hint="default" w:ascii="Times New Roman" w:hAnsi="Times New Roman" w:cs="Times New Roman"/>
                <w:color w:val="000000"/>
              </w:rPr>
              <w:t>39</w:t>
            </w:r>
          </w:p>
        </w:tc>
        <w:tc>
          <w:tcPr>
            <w:tcW w:w="1308" w:type="pct"/>
            <w:tcBorders>
              <w:top w:val="single" w:color="auto" w:sz="4" w:space="0"/>
              <w:left w:val="single" w:color="auto" w:sz="4" w:space="0"/>
              <w:bottom w:val="single" w:color="auto" w:sz="4" w:space="0"/>
              <w:right w:val="single" w:color="auto" w:sz="4" w:space="0"/>
            </w:tcBorders>
            <w:vAlign w:val="center"/>
          </w:tcPr>
          <w:p w14:paraId="52517D8F">
            <w:pPr>
              <w:pStyle w:val="182"/>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1B4AB37D">
            <w:pPr>
              <w:pStyle w:val="182"/>
              <w:rPr>
                <w:rFonts w:hint="default" w:ascii="Times New Roman" w:hAnsi="Times New Roman" w:cs="Times New Roman"/>
                <w:color w:val="000000"/>
              </w:rPr>
            </w:pPr>
            <w:r>
              <w:rPr>
                <w:rFonts w:hint="default" w:ascii="Times New Roman" w:hAnsi="Times New Roman" w:cs="Times New Roman"/>
                <w:color w:val="000000"/>
              </w:rPr>
              <w:t>HJ 1021-2019（气相色谱法）</w:t>
            </w:r>
          </w:p>
        </w:tc>
      </w:tr>
      <w:tr w14:paraId="1D0360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429B618A">
            <w:pPr>
              <w:pStyle w:val="182"/>
              <w:rPr>
                <w:rFonts w:hint="default" w:ascii="Times New Roman" w:hAnsi="Times New Roman" w:cs="Times New Roman"/>
                <w:color w:val="000000"/>
              </w:rPr>
            </w:pPr>
            <w:r>
              <w:rPr>
                <w:rFonts w:hint="default" w:ascii="Times New Roman" w:hAnsi="Times New Roman" w:cs="Times New Roman"/>
                <w:color w:val="000000"/>
              </w:rPr>
              <w:t>40</w:t>
            </w:r>
          </w:p>
        </w:tc>
        <w:tc>
          <w:tcPr>
            <w:tcW w:w="1308" w:type="pct"/>
            <w:tcBorders>
              <w:top w:val="single" w:color="auto" w:sz="4" w:space="0"/>
              <w:left w:val="single" w:color="auto" w:sz="4" w:space="0"/>
              <w:bottom w:val="single" w:color="auto" w:sz="4" w:space="0"/>
              <w:right w:val="single" w:color="auto" w:sz="4" w:space="0"/>
            </w:tcBorders>
            <w:vAlign w:val="center"/>
          </w:tcPr>
          <w:p w14:paraId="5DF9C6D8">
            <w:pPr>
              <w:pStyle w:val="182"/>
              <w:rPr>
                <w:rFonts w:hint="default" w:ascii="Times New Roman" w:hAnsi="Times New Roman" w:cs="Times New Roman"/>
                <w:color w:val="000000"/>
              </w:rPr>
            </w:pPr>
            <w:r>
              <w:rPr>
                <w:rFonts w:hint="default" w:ascii="Times New Roman" w:hAnsi="Times New Roman" w:cs="Times New Roman"/>
                <w:color w:val="000000"/>
              </w:rPr>
              <w:t>六价铬</w:t>
            </w:r>
          </w:p>
        </w:tc>
        <w:tc>
          <w:tcPr>
            <w:tcW w:w="3045" w:type="pct"/>
            <w:tcBorders>
              <w:top w:val="single" w:color="auto" w:sz="4" w:space="0"/>
              <w:left w:val="single" w:color="auto" w:sz="4" w:space="0"/>
              <w:bottom w:val="single" w:color="auto" w:sz="4" w:space="0"/>
              <w:right w:val="single" w:color="auto" w:sz="4" w:space="0"/>
            </w:tcBorders>
            <w:vAlign w:val="center"/>
          </w:tcPr>
          <w:p w14:paraId="524E32E5">
            <w:pPr>
              <w:pStyle w:val="182"/>
              <w:rPr>
                <w:rFonts w:hint="default" w:ascii="Times New Roman" w:hAnsi="Times New Roman" w:cs="Times New Roman"/>
                <w:color w:val="000000"/>
              </w:rPr>
            </w:pPr>
            <w:r>
              <w:rPr>
                <w:rFonts w:hint="default" w:ascii="Times New Roman" w:hAnsi="Times New Roman" w:cs="Times New Roman"/>
                <w:color w:val="000000"/>
              </w:rPr>
              <w:t>HJ1082-2019（碱溶液提取-火焰原子吸收分光光度法）</w:t>
            </w:r>
          </w:p>
        </w:tc>
      </w:tr>
      <w:tr w14:paraId="0FA55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59F7189">
            <w:pPr>
              <w:pStyle w:val="182"/>
              <w:rPr>
                <w:rFonts w:hint="default" w:ascii="Times New Roman" w:hAnsi="Times New Roman" w:cs="Times New Roman"/>
                <w:color w:val="000000"/>
              </w:rPr>
            </w:pPr>
            <w:r>
              <w:rPr>
                <w:rFonts w:hint="default" w:ascii="Times New Roman" w:hAnsi="Times New Roman" w:cs="Times New Roman"/>
                <w:color w:val="000000"/>
              </w:rPr>
              <w:t>41</w:t>
            </w:r>
          </w:p>
        </w:tc>
        <w:tc>
          <w:tcPr>
            <w:tcW w:w="1308" w:type="pct"/>
            <w:tcBorders>
              <w:top w:val="single" w:color="auto" w:sz="4" w:space="0"/>
              <w:left w:val="single" w:color="auto" w:sz="4" w:space="0"/>
              <w:bottom w:val="single" w:color="auto" w:sz="4" w:space="0"/>
              <w:right w:val="single" w:color="auto" w:sz="4" w:space="0"/>
            </w:tcBorders>
            <w:vAlign w:val="center"/>
          </w:tcPr>
          <w:p w14:paraId="70D35535">
            <w:pPr>
              <w:pStyle w:val="182"/>
              <w:rPr>
                <w:rFonts w:hint="default" w:ascii="Times New Roman" w:hAnsi="Times New Roman" w:cs="Times New Roman"/>
                <w:color w:val="000000"/>
              </w:rPr>
            </w:pPr>
            <w:r>
              <w:rPr>
                <w:rFonts w:hint="default" w:ascii="Times New Roman" w:hAnsi="Times New Roman" w:cs="Times New Roman"/>
                <w:color w:val="000000"/>
              </w:rPr>
              <w:t>镍</w:t>
            </w:r>
          </w:p>
        </w:tc>
        <w:tc>
          <w:tcPr>
            <w:tcW w:w="3045" w:type="pct"/>
            <w:tcBorders>
              <w:top w:val="single" w:color="auto" w:sz="4" w:space="0"/>
              <w:left w:val="single" w:color="auto" w:sz="4" w:space="0"/>
              <w:bottom w:val="single" w:color="auto" w:sz="4" w:space="0"/>
              <w:right w:val="single" w:color="auto" w:sz="4" w:space="0"/>
            </w:tcBorders>
            <w:vAlign w:val="center"/>
          </w:tcPr>
          <w:p w14:paraId="7678B42F">
            <w:pPr>
              <w:pStyle w:val="182"/>
              <w:rPr>
                <w:rFonts w:hint="default" w:ascii="Times New Roman" w:hAnsi="Times New Roman" w:cs="Times New Roman"/>
                <w:color w:val="000000"/>
              </w:rPr>
            </w:pPr>
            <w:r>
              <w:rPr>
                <w:rFonts w:hint="default" w:ascii="Times New Roman" w:hAnsi="Times New Roman" w:cs="Times New Roman"/>
                <w:color w:val="000000"/>
              </w:rPr>
              <w:t>HJ491-2019（火焰原子吸收分光光度法）</w:t>
            </w:r>
          </w:p>
        </w:tc>
      </w:tr>
      <w:tr w14:paraId="4ED64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5540EFDB">
            <w:pPr>
              <w:pStyle w:val="182"/>
              <w:rPr>
                <w:rFonts w:hint="default" w:ascii="Times New Roman" w:hAnsi="Times New Roman" w:cs="Times New Roman"/>
                <w:color w:val="000000"/>
              </w:rPr>
            </w:pPr>
            <w:r>
              <w:rPr>
                <w:rFonts w:hint="default" w:ascii="Times New Roman" w:hAnsi="Times New Roman" w:cs="Times New Roman"/>
                <w:color w:val="000000"/>
              </w:rPr>
              <w:t>42</w:t>
            </w:r>
          </w:p>
        </w:tc>
        <w:tc>
          <w:tcPr>
            <w:tcW w:w="1308" w:type="pct"/>
            <w:tcBorders>
              <w:top w:val="single" w:color="auto" w:sz="4" w:space="0"/>
              <w:left w:val="single" w:color="auto" w:sz="4" w:space="0"/>
              <w:bottom w:val="single" w:color="auto" w:sz="4" w:space="0"/>
              <w:right w:val="single" w:color="auto" w:sz="4" w:space="0"/>
            </w:tcBorders>
            <w:vAlign w:val="center"/>
          </w:tcPr>
          <w:p w14:paraId="373E77BB">
            <w:pPr>
              <w:pStyle w:val="182"/>
              <w:rPr>
                <w:rFonts w:hint="default" w:ascii="Times New Roman" w:hAnsi="Times New Roman" w:cs="Times New Roman"/>
                <w:color w:val="000000"/>
              </w:rPr>
            </w:pPr>
            <w:r>
              <w:rPr>
                <w:rFonts w:hint="default" w:ascii="Times New Roman" w:hAnsi="Times New Roman" w:cs="Times New Roman"/>
                <w:color w:val="000000"/>
              </w:rPr>
              <w:t>镉</w:t>
            </w:r>
          </w:p>
        </w:tc>
        <w:tc>
          <w:tcPr>
            <w:tcW w:w="3045" w:type="pct"/>
            <w:tcBorders>
              <w:top w:val="single" w:color="auto" w:sz="4" w:space="0"/>
              <w:left w:val="single" w:color="auto" w:sz="4" w:space="0"/>
              <w:bottom w:val="single" w:color="auto" w:sz="4" w:space="0"/>
              <w:right w:val="single" w:color="auto" w:sz="4" w:space="0"/>
            </w:tcBorders>
            <w:vAlign w:val="center"/>
          </w:tcPr>
          <w:p w14:paraId="72840C3C">
            <w:pPr>
              <w:pStyle w:val="182"/>
              <w:rPr>
                <w:rFonts w:hint="default" w:ascii="Times New Roman" w:hAnsi="Times New Roman" w:cs="Times New Roman"/>
                <w:color w:val="000000"/>
              </w:rPr>
            </w:pPr>
            <w:r>
              <w:rPr>
                <w:rFonts w:hint="default" w:ascii="Times New Roman" w:hAnsi="Times New Roman" w:cs="Times New Roman"/>
                <w:color w:val="000000"/>
              </w:rPr>
              <w:t>GB/T17141-1997（石墨炉原子吸收分光光度法）</w:t>
            </w:r>
          </w:p>
        </w:tc>
      </w:tr>
      <w:tr w14:paraId="006772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0DAF818D">
            <w:pPr>
              <w:pStyle w:val="182"/>
              <w:rPr>
                <w:rFonts w:hint="default" w:ascii="Times New Roman" w:hAnsi="Times New Roman" w:cs="Times New Roman"/>
                <w:color w:val="000000"/>
              </w:rPr>
            </w:pPr>
            <w:r>
              <w:rPr>
                <w:rFonts w:hint="default" w:ascii="Times New Roman" w:hAnsi="Times New Roman" w:cs="Times New Roman"/>
                <w:color w:val="000000"/>
              </w:rPr>
              <w:t>43</w:t>
            </w:r>
          </w:p>
        </w:tc>
        <w:tc>
          <w:tcPr>
            <w:tcW w:w="1308" w:type="pct"/>
            <w:tcBorders>
              <w:top w:val="single" w:color="auto" w:sz="4" w:space="0"/>
              <w:left w:val="single" w:color="auto" w:sz="4" w:space="0"/>
              <w:bottom w:val="single" w:color="auto" w:sz="4" w:space="0"/>
              <w:right w:val="single" w:color="auto" w:sz="4" w:space="0"/>
            </w:tcBorders>
            <w:vAlign w:val="center"/>
          </w:tcPr>
          <w:p w14:paraId="2109AA22">
            <w:pPr>
              <w:pStyle w:val="182"/>
              <w:rPr>
                <w:rFonts w:hint="default" w:ascii="Times New Roman" w:hAnsi="Times New Roman" w:cs="Times New Roman"/>
                <w:color w:val="000000"/>
              </w:rPr>
            </w:pPr>
            <w:r>
              <w:rPr>
                <w:rFonts w:hint="default" w:ascii="Times New Roman" w:hAnsi="Times New Roman" w:cs="Times New Roman"/>
                <w:color w:val="000000"/>
              </w:rPr>
              <w:t>铅</w:t>
            </w:r>
          </w:p>
        </w:tc>
        <w:tc>
          <w:tcPr>
            <w:tcW w:w="3045" w:type="pct"/>
            <w:tcBorders>
              <w:top w:val="single" w:color="auto" w:sz="4" w:space="0"/>
              <w:left w:val="single" w:color="auto" w:sz="4" w:space="0"/>
              <w:bottom w:val="single" w:color="auto" w:sz="4" w:space="0"/>
              <w:right w:val="single" w:color="auto" w:sz="4" w:space="0"/>
            </w:tcBorders>
            <w:vAlign w:val="center"/>
          </w:tcPr>
          <w:p w14:paraId="0AD09EC4">
            <w:pPr>
              <w:pStyle w:val="182"/>
              <w:rPr>
                <w:rFonts w:hint="default" w:ascii="Times New Roman" w:hAnsi="Times New Roman" w:cs="Times New Roman"/>
                <w:color w:val="000000"/>
              </w:rPr>
            </w:pPr>
            <w:r>
              <w:rPr>
                <w:rFonts w:hint="default" w:ascii="Times New Roman" w:hAnsi="Times New Roman" w:cs="Times New Roman"/>
                <w:color w:val="000000"/>
              </w:rPr>
              <w:t>GB/T17141-1997（石墨炉原子吸收分光光度法）</w:t>
            </w:r>
          </w:p>
        </w:tc>
      </w:tr>
      <w:tr w14:paraId="2F1DE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B9EE79F">
            <w:pPr>
              <w:pStyle w:val="182"/>
              <w:rPr>
                <w:rFonts w:hint="default" w:ascii="Times New Roman" w:hAnsi="Times New Roman" w:cs="Times New Roman"/>
                <w:color w:val="000000"/>
              </w:rPr>
            </w:pPr>
            <w:r>
              <w:rPr>
                <w:rFonts w:hint="default" w:ascii="Times New Roman" w:hAnsi="Times New Roman" w:cs="Times New Roman"/>
                <w:color w:val="000000"/>
              </w:rPr>
              <w:t>44</w:t>
            </w:r>
          </w:p>
        </w:tc>
        <w:tc>
          <w:tcPr>
            <w:tcW w:w="1308" w:type="pct"/>
            <w:tcBorders>
              <w:top w:val="single" w:color="auto" w:sz="4" w:space="0"/>
              <w:left w:val="single" w:color="auto" w:sz="4" w:space="0"/>
              <w:bottom w:val="single" w:color="auto" w:sz="4" w:space="0"/>
              <w:right w:val="single" w:color="auto" w:sz="4" w:space="0"/>
            </w:tcBorders>
            <w:vAlign w:val="center"/>
          </w:tcPr>
          <w:p w14:paraId="3A286E91">
            <w:pPr>
              <w:pStyle w:val="182"/>
              <w:rPr>
                <w:rFonts w:hint="default" w:ascii="Times New Roman" w:hAnsi="Times New Roman" w:cs="Times New Roman"/>
                <w:color w:val="000000"/>
              </w:rPr>
            </w:pPr>
            <w:r>
              <w:rPr>
                <w:rFonts w:hint="default" w:ascii="Times New Roman" w:hAnsi="Times New Roman" w:cs="Times New Roman"/>
                <w:color w:val="000000"/>
              </w:rPr>
              <w:t>铜</w:t>
            </w:r>
          </w:p>
        </w:tc>
        <w:tc>
          <w:tcPr>
            <w:tcW w:w="3045" w:type="pct"/>
            <w:tcBorders>
              <w:top w:val="single" w:color="auto" w:sz="4" w:space="0"/>
              <w:left w:val="single" w:color="auto" w:sz="4" w:space="0"/>
              <w:bottom w:val="single" w:color="auto" w:sz="4" w:space="0"/>
              <w:right w:val="single" w:color="auto" w:sz="4" w:space="0"/>
            </w:tcBorders>
            <w:vAlign w:val="center"/>
          </w:tcPr>
          <w:p w14:paraId="3C26948E">
            <w:pPr>
              <w:pStyle w:val="182"/>
              <w:rPr>
                <w:rFonts w:hint="default" w:ascii="Times New Roman" w:hAnsi="Times New Roman" w:cs="Times New Roman"/>
                <w:color w:val="000000"/>
              </w:rPr>
            </w:pPr>
            <w:r>
              <w:rPr>
                <w:rFonts w:hint="default" w:ascii="Times New Roman" w:hAnsi="Times New Roman" w:cs="Times New Roman"/>
                <w:color w:val="000000"/>
              </w:rPr>
              <w:t>HJ491-2019（火焰原子吸收分光光度法）</w:t>
            </w:r>
          </w:p>
        </w:tc>
      </w:tr>
      <w:tr w14:paraId="6A022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29B22FDD">
            <w:pPr>
              <w:pStyle w:val="182"/>
              <w:rPr>
                <w:rFonts w:hint="default" w:ascii="Times New Roman" w:hAnsi="Times New Roman" w:cs="Times New Roman"/>
                <w:color w:val="000000"/>
              </w:rPr>
            </w:pPr>
            <w:r>
              <w:rPr>
                <w:rFonts w:hint="default" w:ascii="Times New Roman" w:hAnsi="Times New Roman" w:cs="Times New Roman"/>
                <w:color w:val="000000"/>
              </w:rPr>
              <w:t>45</w:t>
            </w:r>
          </w:p>
        </w:tc>
        <w:tc>
          <w:tcPr>
            <w:tcW w:w="1308" w:type="pct"/>
            <w:tcBorders>
              <w:top w:val="single" w:color="auto" w:sz="4" w:space="0"/>
              <w:left w:val="single" w:color="auto" w:sz="4" w:space="0"/>
              <w:bottom w:val="single" w:color="auto" w:sz="4" w:space="0"/>
              <w:right w:val="single" w:color="auto" w:sz="4" w:space="0"/>
            </w:tcBorders>
            <w:vAlign w:val="center"/>
          </w:tcPr>
          <w:p w14:paraId="33E30B5A">
            <w:pPr>
              <w:pStyle w:val="182"/>
              <w:rPr>
                <w:rFonts w:hint="default" w:ascii="Times New Roman" w:hAnsi="Times New Roman" w:cs="Times New Roman"/>
                <w:color w:val="000000"/>
              </w:rPr>
            </w:pPr>
            <w:r>
              <w:rPr>
                <w:rFonts w:hint="default" w:ascii="Times New Roman" w:hAnsi="Times New Roman" w:cs="Times New Roman"/>
                <w:color w:val="000000"/>
              </w:rPr>
              <w:t>总砷</w:t>
            </w:r>
          </w:p>
        </w:tc>
        <w:tc>
          <w:tcPr>
            <w:tcW w:w="3045" w:type="pct"/>
            <w:tcBorders>
              <w:top w:val="single" w:color="auto" w:sz="4" w:space="0"/>
              <w:left w:val="single" w:color="auto" w:sz="4" w:space="0"/>
              <w:bottom w:val="single" w:color="auto" w:sz="4" w:space="0"/>
              <w:right w:val="single" w:color="auto" w:sz="4" w:space="0"/>
            </w:tcBorders>
            <w:vAlign w:val="center"/>
          </w:tcPr>
          <w:p w14:paraId="28373BE9">
            <w:pPr>
              <w:pStyle w:val="182"/>
              <w:rPr>
                <w:rFonts w:hint="default" w:ascii="Times New Roman" w:hAnsi="Times New Roman" w:cs="Times New Roman"/>
                <w:color w:val="000000"/>
              </w:rPr>
            </w:pPr>
            <w:r>
              <w:rPr>
                <w:rFonts w:hint="default" w:ascii="Times New Roman" w:hAnsi="Times New Roman" w:cs="Times New Roman"/>
                <w:color w:val="000000"/>
              </w:rPr>
              <w:t>GB/T22105.2-2008（原子荧光法）</w:t>
            </w:r>
          </w:p>
        </w:tc>
      </w:tr>
      <w:tr w14:paraId="6EED1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6F9263D5">
            <w:pPr>
              <w:pStyle w:val="182"/>
              <w:rPr>
                <w:rFonts w:hint="default" w:ascii="Times New Roman" w:hAnsi="Times New Roman" w:cs="Times New Roman"/>
                <w:color w:val="000000"/>
              </w:rPr>
            </w:pPr>
            <w:r>
              <w:rPr>
                <w:rFonts w:hint="default" w:ascii="Times New Roman" w:hAnsi="Times New Roman" w:cs="Times New Roman"/>
                <w:color w:val="000000"/>
              </w:rPr>
              <w:t>46</w:t>
            </w:r>
          </w:p>
        </w:tc>
        <w:tc>
          <w:tcPr>
            <w:tcW w:w="1308" w:type="pct"/>
            <w:tcBorders>
              <w:top w:val="single" w:color="auto" w:sz="4" w:space="0"/>
              <w:left w:val="single" w:color="auto" w:sz="4" w:space="0"/>
              <w:bottom w:val="single" w:color="auto" w:sz="4" w:space="0"/>
              <w:right w:val="single" w:color="auto" w:sz="4" w:space="0"/>
            </w:tcBorders>
            <w:vAlign w:val="center"/>
          </w:tcPr>
          <w:p w14:paraId="5E0CC9EE">
            <w:pPr>
              <w:pStyle w:val="182"/>
              <w:rPr>
                <w:rFonts w:hint="default" w:ascii="Times New Roman" w:hAnsi="Times New Roman" w:cs="Times New Roman"/>
                <w:color w:val="000000"/>
              </w:rPr>
            </w:pPr>
            <w:r>
              <w:rPr>
                <w:rFonts w:hint="default" w:ascii="Times New Roman" w:hAnsi="Times New Roman" w:cs="Times New Roman"/>
                <w:color w:val="000000"/>
              </w:rPr>
              <w:t>总汞</w:t>
            </w:r>
          </w:p>
        </w:tc>
        <w:tc>
          <w:tcPr>
            <w:tcW w:w="3045" w:type="pct"/>
            <w:tcBorders>
              <w:top w:val="single" w:color="auto" w:sz="4" w:space="0"/>
              <w:left w:val="single" w:color="auto" w:sz="4" w:space="0"/>
              <w:bottom w:val="single" w:color="auto" w:sz="4" w:space="0"/>
              <w:right w:val="single" w:color="auto" w:sz="4" w:space="0"/>
            </w:tcBorders>
            <w:vAlign w:val="center"/>
          </w:tcPr>
          <w:p w14:paraId="2BAB8A80">
            <w:pPr>
              <w:pStyle w:val="182"/>
              <w:rPr>
                <w:rFonts w:hint="default" w:ascii="Times New Roman" w:hAnsi="Times New Roman" w:cs="Times New Roman"/>
                <w:color w:val="000000"/>
              </w:rPr>
            </w:pPr>
            <w:r>
              <w:rPr>
                <w:rFonts w:hint="default" w:ascii="Times New Roman" w:hAnsi="Times New Roman" w:cs="Times New Roman"/>
                <w:color w:val="000000"/>
              </w:rPr>
              <w:t>GB/T22105.1-2008（原子荧光法）</w:t>
            </w:r>
          </w:p>
        </w:tc>
      </w:tr>
      <w:tr w14:paraId="17FF3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19BAD196">
            <w:pPr>
              <w:pStyle w:val="182"/>
              <w:rPr>
                <w:rFonts w:hint="default" w:ascii="Times New Roman" w:hAnsi="Times New Roman" w:cs="Times New Roman"/>
                <w:color w:val="000000"/>
              </w:rPr>
            </w:pPr>
            <w:r>
              <w:rPr>
                <w:rFonts w:hint="default" w:ascii="Times New Roman" w:hAnsi="Times New Roman" w:cs="Times New Roman"/>
                <w:color w:val="000000"/>
              </w:rPr>
              <w:t>47</w:t>
            </w:r>
          </w:p>
        </w:tc>
        <w:tc>
          <w:tcPr>
            <w:tcW w:w="1308" w:type="pct"/>
            <w:tcBorders>
              <w:top w:val="single" w:color="auto" w:sz="4" w:space="0"/>
              <w:left w:val="single" w:color="auto" w:sz="4" w:space="0"/>
              <w:bottom w:val="single" w:color="auto" w:sz="4" w:space="0"/>
              <w:right w:val="single" w:color="auto" w:sz="4" w:space="0"/>
            </w:tcBorders>
            <w:vAlign w:val="center"/>
          </w:tcPr>
          <w:p w14:paraId="2F07156D">
            <w:pPr>
              <w:pStyle w:val="182"/>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6</w:t>
            </w:r>
            <w:r>
              <w:rPr>
                <w:rFonts w:hint="default" w:ascii="Times New Roman" w:hAnsi="Times New Roman" w:cs="Times New Roman"/>
                <w:color w:val="000000"/>
              </w:rPr>
              <w:t>-C</w:t>
            </w:r>
            <w:r>
              <w:rPr>
                <w:rFonts w:hint="default" w:ascii="Times New Roman" w:hAnsi="Times New Roman" w:cs="Times New Roman"/>
                <w:color w:val="000000"/>
                <w:vertAlign w:val="subscript"/>
              </w:rPr>
              <w:t>9</w:t>
            </w:r>
            <w:r>
              <w:rPr>
                <w:rFonts w:hint="default" w:ascii="Times New Roman" w:hAnsi="Times New Roman" w:cs="Times New Roman"/>
                <w:color w:val="000000"/>
              </w:rPr>
              <w:t>）</w:t>
            </w:r>
          </w:p>
        </w:tc>
        <w:tc>
          <w:tcPr>
            <w:tcW w:w="3045" w:type="pct"/>
            <w:tcBorders>
              <w:top w:val="single" w:color="auto" w:sz="4" w:space="0"/>
              <w:left w:val="single" w:color="auto" w:sz="4" w:space="0"/>
              <w:bottom w:val="single" w:color="auto" w:sz="4" w:space="0"/>
              <w:right w:val="single" w:color="auto" w:sz="4" w:space="0"/>
            </w:tcBorders>
            <w:vAlign w:val="center"/>
          </w:tcPr>
          <w:p w14:paraId="3DCDB756">
            <w:pPr>
              <w:pStyle w:val="182"/>
              <w:rPr>
                <w:rFonts w:hint="default" w:ascii="Times New Roman" w:hAnsi="Times New Roman" w:cs="Times New Roman"/>
                <w:color w:val="000000"/>
              </w:rPr>
            </w:pPr>
            <w:r>
              <w:rPr>
                <w:rFonts w:hint="default" w:ascii="Times New Roman" w:hAnsi="Times New Roman" w:cs="Times New Roman"/>
                <w:color w:val="000000"/>
              </w:rPr>
              <w:t>HJ1020-2019（吹扫捕集/气相色谱法）</w:t>
            </w:r>
          </w:p>
        </w:tc>
      </w:tr>
      <w:tr w14:paraId="1846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645" w:type="pct"/>
            <w:tcBorders>
              <w:top w:val="single" w:color="auto" w:sz="4" w:space="0"/>
              <w:left w:val="single" w:color="auto" w:sz="4" w:space="0"/>
              <w:bottom w:val="single" w:color="auto" w:sz="4" w:space="0"/>
              <w:right w:val="single" w:color="auto" w:sz="4" w:space="0"/>
            </w:tcBorders>
            <w:vAlign w:val="center"/>
          </w:tcPr>
          <w:p w14:paraId="34BB5371">
            <w:pPr>
              <w:pStyle w:val="182"/>
              <w:rPr>
                <w:rFonts w:hint="default" w:ascii="Times New Roman" w:hAnsi="Times New Roman" w:cs="Times New Roman"/>
                <w:color w:val="000000"/>
              </w:rPr>
            </w:pPr>
            <w:r>
              <w:rPr>
                <w:rFonts w:hint="default" w:ascii="Times New Roman" w:hAnsi="Times New Roman" w:cs="Times New Roman"/>
                <w:color w:val="000000"/>
              </w:rPr>
              <w:t>48</w:t>
            </w:r>
          </w:p>
        </w:tc>
        <w:tc>
          <w:tcPr>
            <w:tcW w:w="1308" w:type="pct"/>
            <w:tcBorders>
              <w:top w:val="single" w:color="auto" w:sz="4" w:space="0"/>
              <w:left w:val="single" w:color="auto" w:sz="4" w:space="0"/>
              <w:bottom w:val="single" w:color="auto" w:sz="4" w:space="0"/>
              <w:right w:val="single" w:color="auto" w:sz="4" w:space="0"/>
            </w:tcBorders>
            <w:vAlign w:val="center"/>
          </w:tcPr>
          <w:p w14:paraId="117CD9DD">
            <w:pPr>
              <w:pStyle w:val="182"/>
              <w:rPr>
                <w:rFonts w:hint="default" w:ascii="Times New Roman" w:hAnsi="Times New Roman" w:cs="Times New Roman"/>
                <w:color w:val="000000"/>
              </w:rPr>
            </w:pPr>
            <w:r>
              <w:rPr>
                <w:rFonts w:hint="default" w:ascii="Times New Roman" w:hAnsi="Times New Roman" w:cs="Times New Roman"/>
                <w:color w:val="000000"/>
              </w:rPr>
              <w:t>石油类</w:t>
            </w:r>
          </w:p>
        </w:tc>
        <w:tc>
          <w:tcPr>
            <w:tcW w:w="3045" w:type="pct"/>
            <w:tcBorders>
              <w:top w:val="single" w:color="auto" w:sz="4" w:space="0"/>
              <w:left w:val="single" w:color="auto" w:sz="4" w:space="0"/>
              <w:bottom w:val="single" w:color="auto" w:sz="4" w:space="0"/>
              <w:right w:val="single" w:color="auto" w:sz="4" w:space="0"/>
            </w:tcBorders>
            <w:vAlign w:val="center"/>
          </w:tcPr>
          <w:p w14:paraId="7DBEB585">
            <w:pPr>
              <w:pStyle w:val="182"/>
              <w:rPr>
                <w:rFonts w:hint="default" w:ascii="Times New Roman" w:hAnsi="Times New Roman" w:cs="Times New Roman"/>
                <w:color w:val="000000"/>
              </w:rPr>
            </w:pPr>
            <w:r>
              <w:rPr>
                <w:rFonts w:hint="default" w:ascii="Times New Roman" w:hAnsi="Times New Roman" w:cs="Times New Roman"/>
                <w:color w:val="000000"/>
              </w:rPr>
              <w:t>HJ1051-2019（红外分光光度法）</w:t>
            </w:r>
          </w:p>
        </w:tc>
      </w:tr>
    </w:tbl>
    <w:p w14:paraId="684FEF83">
      <w:pPr>
        <w:pStyle w:val="4"/>
        <w:rPr>
          <w:rFonts w:hint="default" w:ascii="Times New Roman" w:hAnsi="Times New Roman" w:cs="Times New Roman"/>
          <w:color w:val="000000"/>
        </w:rPr>
      </w:pPr>
      <w:r>
        <w:rPr>
          <w:rFonts w:hint="default" w:ascii="Times New Roman" w:hAnsi="Times New Roman" w:cs="Times New Roman"/>
          <w:color w:val="000000"/>
        </w:rPr>
        <w:t>地下水</w:t>
      </w:r>
    </w:p>
    <w:p w14:paraId="5DA46D39">
      <w:pPr>
        <w:ind w:firstLine="480"/>
        <w:rPr>
          <w:rFonts w:hint="default" w:ascii="Times New Roman" w:hAnsi="Times New Roman" w:cs="Times New Roman"/>
          <w:color w:val="000000"/>
        </w:rPr>
      </w:pPr>
      <w:r>
        <w:rPr>
          <w:rFonts w:hint="default" w:ascii="Times New Roman" w:hAnsi="Times New Roman" w:cs="Times New Roman"/>
          <w:color w:val="000000"/>
        </w:rPr>
        <w:t>根据《地下水质量标准》（GB/T14848-2017）要求的常规指标，及《排污单位自行监测技术指南陆上石油天然气开采工业》，考虑到油田的行业特征，拟采用如下检测方法：</w:t>
      </w:r>
    </w:p>
    <w:p w14:paraId="07FF0E7C">
      <w:pPr>
        <w:pStyle w:val="96"/>
        <w:spacing w:before="156"/>
        <w:rPr>
          <w:rFonts w:hint="default" w:ascii="Times New Roman" w:hAnsi="Times New Roman" w:cs="Times New Roman"/>
          <w:color w:val="000000"/>
        </w:rPr>
      </w:pPr>
      <w:r>
        <w:rPr>
          <w:rFonts w:hint="default" w:ascii="Times New Roman" w:hAnsi="Times New Roman" w:cs="Times New Roman"/>
          <w:color w:val="000000"/>
        </w:rPr>
        <w:t xml:space="preserve">表 </w:t>
      </w:r>
      <w:r>
        <w:rPr>
          <w:rFonts w:hint="default" w:ascii="Times New Roman" w:hAnsi="Times New Roman" w:cs="Times New Roman"/>
          <w:color w:val="000000"/>
        </w:rPr>
        <w:fldChar w:fldCharType="begin"/>
      </w:r>
      <w:r>
        <w:rPr>
          <w:rFonts w:hint="default" w:ascii="Times New Roman" w:hAnsi="Times New Roman" w:cs="Times New Roman"/>
          <w:color w:val="000000"/>
        </w:rPr>
        <w:instrText xml:space="preserve">SEQ 表 \* ARABIC</w:instrText>
      </w:r>
      <w:r>
        <w:rPr>
          <w:rFonts w:hint="default" w:ascii="Times New Roman" w:hAnsi="Times New Roman" w:cs="Times New Roman"/>
          <w:color w:val="000000"/>
        </w:rPr>
        <w:fldChar w:fldCharType="separate"/>
      </w:r>
      <w:r>
        <w:rPr>
          <w:rFonts w:hint="default" w:ascii="Times New Roman" w:hAnsi="Times New Roman" w:cs="Times New Roman"/>
          <w:color w:val="000000"/>
        </w:rPr>
        <w:t>23</w:t>
      </w:r>
      <w:r>
        <w:rPr>
          <w:rFonts w:hint="default" w:ascii="Times New Roman" w:hAnsi="Times New Roman" w:cs="Times New Roman"/>
          <w:color w:val="000000"/>
        </w:rPr>
        <w:fldChar w:fldCharType="end"/>
      </w:r>
      <w:r>
        <w:rPr>
          <w:rFonts w:hint="default" w:ascii="Times New Roman" w:hAnsi="Times New Roman" w:cs="Times New Roman"/>
          <w:color w:val="000000"/>
        </w:rPr>
        <w:t xml:space="preserve">  地下水监测方法一览表</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3416"/>
        <w:gridCol w:w="9397"/>
      </w:tblGrid>
      <w:tr w14:paraId="3102C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480" w:type="pct"/>
            <w:vAlign w:val="center"/>
          </w:tcPr>
          <w:p w14:paraId="5EDB584D">
            <w:pPr>
              <w:pStyle w:val="99"/>
              <w:rPr>
                <w:rFonts w:hint="default" w:ascii="Times New Roman" w:hAnsi="Times New Roman" w:cs="Times New Roman"/>
                <w:color w:val="000000"/>
              </w:rPr>
            </w:pPr>
            <w:r>
              <w:rPr>
                <w:rFonts w:hint="default" w:ascii="Times New Roman" w:hAnsi="Times New Roman" w:cs="Times New Roman"/>
                <w:color w:val="000000"/>
              </w:rPr>
              <w:t>序号</w:t>
            </w:r>
          </w:p>
        </w:tc>
        <w:tc>
          <w:tcPr>
            <w:tcW w:w="1205" w:type="pct"/>
            <w:vAlign w:val="center"/>
          </w:tcPr>
          <w:p w14:paraId="1FD77716">
            <w:pPr>
              <w:pStyle w:val="99"/>
              <w:rPr>
                <w:rFonts w:hint="default" w:ascii="Times New Roman" w:hAnsi="Times New Roman" w:cs="Times New Roman"/>
                <w:color w:val="000000"/>
              </w:rPr>
            </w:pPr>
            <w:r>
              <w:rPr>
                <w:rFonts w:hint="default" w:ascii="Times New Roman" w:hAnsi="Times New Roman" w:cs="Times New Roman"/>
                <w:color w:val="000000"/>
              </w:rPr>
              <w:t>检测指标</w:t>
            </w:r>
          </w:p>
        </w:tc>
        <w:tc>
          <w:tcPr>
            <w:tcW w:w="3315" w:type="pct"/>
            <w:vAlign w:val="center"/>
          </w:tcPr>
          <w:p w14:paraId="28005D29">
            <w:pPr>
              <w:pStyle w:val="99"/>
              <w:rPr>
                <w:rFonts w:hint="default" w:ascii="Times New Roman" w:hAnsi="Times New Roman" w:cs="Times New Roman"/>
                <w:color w:val="000000"/>
              </w:rPr>
            </w:pPr>
            <w:r>
              <w:rPr>
                <w:rFonts w:hint="default" w:ascii="Times New Roman" w:hAnsi="Times New Roman" w:cs="Times New Roman"/>
                <w:color w:val="000000"/>
              </w:rPr>
              <w:t>检测分析方法</w:t>
            </w:r>
          </w:p>
        </w:tc>
      </w:tr>
      <w:tr w14:paraId="37053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20E9078">
            <w:pPr>
              <w:pStyle w:val="182"/>
              <w:rPr>
                <w:rFonts w:hint="default" w:ascii="Times New Roman" w:hAnsi="Times New Roman" w:cs="Times New Roman"/>
                <w:color w:val="000000"/>
              </w:rPr>
            </w:pPr>
            <w:r>
              <w:rPr>
                <w:rFonts w:hint="default" w:ascii="Times New Roman" w:hAnsi="Times New Roman" w:cs="Times New Roman"/>
                <w:color w:val="000000"/>
              </w:rPr>
              <w:t>1</w:t>
            </w:r>
          </w:p>
        </w:tc>
        <w:tc>
          <w:tcPr>
            <w:tcW w:w="1205" w:type="pct"/>
            <w:tcBorders>
              <w:top w:val="single" w:color="auto" w:sz="4" w:space="0"/>
              <w:left w:val="single" w:color="auto" w:sz="4" w:space="0"/>
              <w:bottom w:val="single" w:color="auto" w:sz="4" w:space="0"/>
              <w:right w:val="single" w:color="auto" w:sz="4" w:space="0"/>
            </w:tcBorders>
            <w:vAlign w:val="center"/>
          </w:tcPr>
          <w:p w14:paraId="13C92DD4">
            <w:pPr>
              <w:pStyle w:val="182"/>
              <w:rPr>
                <w:rFonts w:hint="default" w:ascii="Times New Roman" w:hAnsi="Times New Roman" w:cs="Times New Roman"/>
                <w:color w:val="000000"/>
              </w:rPr>
            </w:pPr>
            <w:r>
              <w:rPr>
                <w:rFonts w:hint="default" w:ascii="Times New Roman" w:hAnsi="Times New Roman" w:cs="Times New Roman"/>
                <w:color w:val="000000"/>
              </w:rPr>
              <w:t>溶解性总固体</w:t>
            </w:r>
          </w:p>
        </w:tc>
        <w:tc>
          <w:tcPr>
            <w:tcW w:w="3315" w:type="pct"/>
            <w:tcBorders>
              <w:top w:val="single" w:color="auto" w:sz="4" w:space="0"/>
              <w:left w:val="single" w:color="auto" w:sz="4" w:space="0"/>
              <w:bottom w:val="single" w:color="auto" w:sz="4" w:space="0"/>
              <w:right w:val="single" w:color="auto" w:sz="4" w:space="0"/>
            </w:tcBorders>
            <w:vAlign w:val="center"/>
          </w:tcPr>
          <w:p w14:paraId="27EFD683">
            <w:pPr>
              <w:pStyle w:val="182"/>
              <w:rPr>
                <w:rFonts w:hint="default" w:ascii="Times New Roman" w:hAnsi="Times New Roman" w:cs="Times New Roman"/>
                <w:color w:val="000000"/>
              </w:rPr>
            </w:pPr>
            <w:r>
              <w:rPr>
                <w:rFonts w:hint="default" w:ascii="Times New Roman" w:hAnsi="Times New Roman" w:cs="Times New Roman"/>
                <w:color w:val="000000"/>
              </w:rPr>
              <w:t>《水和废水监测分析方法（第四版）》（重量法）</w:t>
            </w:r>
          </w:p>
        </w:tc>
      </w:tr>
      <w:tr w14:paraId="48A0F1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jc w:val="center"/>
        </w:trPr>
        <w:tc>
          <w:tcPr>
            <w:tcW w:w="480" w:type="pct"/>
            <w:tcBorders>
              <w:top w:val="single" w:color="auto" w:sz="4" w:space="0"/>
              <w:left w:val="single" w:color="auto" w:sz="4" w:space="0"/>
              <w:bottom w:val="single" w:color="auto" w:sz="4" w:space="0"/>
              <w:right w:val="single" w:color="auto" w:sz="4" w:space="0"/>
            </w:tcBorders>
            <w:vAlign w:val="center"/>
          </w:tcPr>
          <w:p w14:paraId="5E39C57A">
            <w:pPr>
              <w:pStyle w:val="182"/>
              <w:rPr>
                <w:rFonts w:hint="default" w:ascii="Times New Roman" w:hAnsi="Times New Roman" w:cs="Times New Roman"/>
                <w:color w:val="000000"/>
              </w:rPr>
            </w:pPr>
            <w:r>
              <w:rPr>
                <w:rFonts w:hint="default" w:ascii="Times New Roman" w:hAnsi="Times New Roman" w:cs="Times New Roman"/>
                <w:color w:val="000000"/>
              </w:rPr>
              <w:t>2</w:t>
            </w:r>
          </w:p>
        </w:tc>
        <w:tc>
          <w:tcPr>
            <w:tcW w:w="1205" w:type="pct"/>
            <w:tcBorders>
              <w:top w:val="single" w:color="auto" w:sz="4" w:space="0"/>
              <w:left w:val="single" w:color="auto" w:sz="4" w:space="0"/>
              <w:bottom w:val="single" w:color="auto" w:sz="4" w:space="0"/>
              <w:right w:val="single" w:color="auto" w:sz="4" w:space="0"/>
            </w:tcBorders>
            <w:vAlign w:val="center"/>
          </w:tcPr>
          <w:p w14:paraId="6959C0A5">
            <w:pPr>
              <w:pStyle w:val="182"/>
              <w:rPr>
                <w:rFonts w:hint="default" w:ascii="Times New Roman" w:hAnsi="Times New Roman" w:cs="Times New Roman"/>
                <w:color w:val="000000"/>
              </w:rPr>
            </w:pPr>
            <w:r>
              <w:rPr>
                <w:rFonts w:hint="default" w:ascii="Times New Roman" w:hAnsi="Times New Roman" w:cs="Times New Roman"/>
                <w:color w:val="000000"/>
              </w:rPr>
              <w:t>甲苯</w:t>
            </w:r>
          </w:p>
        </w:tc>
        <w:tc>
          <w:tcPr>
            <w:tcW w:w="3315" w:type="pct"/>
            <w:tcBorders>
              <w:top w:val="single" w:color="auto" w:sz="4" w:space="0"/>
              <w:left w:val="single" w:color="auto" w:sz="4" w:space="0"/>
              <w:bottom w:val="single" w:color="auto" w:sz="4" w:space="0"/>
              <w:right w:val="single" w:color="auto" w:sz="4" w:space="0"/>
            </w:tcBorders>
            <w:vAlign w:val="center"/>
          </w:tcPr>
          <w:p w14:paraId="3340664A">
            <w:pPr>
              <w:pStyle w:val="182"/>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HJ639-2012</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挥发性有机物的测定 吹扫捕集/气相色谱-质谱法</w:t>
            </w:r>
            <w:r>
              <w:rPr>
                <w:rFonts w:hint="eastAsia" w:ascii="Times New Roman" w:hAnsi="Times New Roman" w:cs="Times New Roman"/>
                <w:color w:val="000000"/>
                <w:highlight w:val="none"/>
                <w:lang w:eastAsia="zh-CN"/>
              </w:rPr>
              <w:t>》</w:t>
            </w:r>
          </w:p>
        </w:tc>
      </w:tr>
      <w:tr w14:paraId="220AF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15927E6">
            <w:pPr>
              <w:pStyle w:val="182"/>
              <w:rPr>
                <w:rFonts w:hint="default" w:ascii="Times New Roman" w:hAnsi="Times New Roman" w:cs="Times New Roman"/>
                <w:color w:val="000000"/>
              </w:rPr>
            </w:pPr>
            <w:r>
              <w:rPr>
                <w:rFonts w:hint="default" w:ascii="Times New Roman" w:hAnsi="Times New Roman" w:cs="Times New Roman"/>
                <w:color w:val="000000"/>
              </w:rPr>
              <w:t>3</w:t>
            </w:r>
          </w:p>
        </w:tc>
        <w:tc>
          <w:tcPr>
            <w:tcW w:w="1205" w:type="pct"/>
            <w:tcBorders>
              <w:top w:val="single" w:color="auto" w:sz="4" w:space="0"/>
              <w:left w:val="single" w:color="auto" w:sz="4" w:space="0"/>
              <w:bottom w:val="single" w:color="auto" w:sz="4" w:space="0"/>
              <w:right w:val="single" w:color="auto" w:sz="4" w:space="0"/>
            </w:tcBorders>
            <w:vAlign w:val="center"/>
          </w:tcPr>
          <w:p w14:paraId="345C8097">
            <w:pPr>
              <w:pStyle w:val="182"/>
              <w:rPr>
                <w:rFonts w:hint="default" w:ascii="Times New Roman" w:hAnsi="Times New Roman" w:cs="Times New Roman"/>
                <w:color w:val="000000"/>
              </w:rPr>
            </w:pPr>
            <w:r>
              <w:rPr>
                <w:rFonts w:hint="default" w:ascii="Times New Roman" w:hAnsi="Times New Roman" w:cs="Times New Roman"/>
                <w:color w:val="000000"/>
              </w:rPr>
              <w:t>苯</w:t>
            </w:r>
          </w:p>
        </w:tc>
        <w:tc>
          <w:tcPr>
            <w:tcW w:w="3315" w:type="pct"/>
            <w:tcBorders>
              <w:top w:val="single" w:color="auto" w:sz="4" w:space="0"/>
              <w:left w:val="single" w:color="auto" w:sz="4" w:space="0"/>
              <w:bottom w:val="single" w:color="auto" w:sz="4" w:space="0"/>
              <w:right w:val="single" w:color="auto" w:sz="4" w:space="0"/>
            </w:tcBorders>
            <w:vAlign w:val="center"/>
          </w:tcPr>
          <w:p w14:paraId="5BBDF91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HJ639-2012</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挥发性有机物的测定 吹扫捕集/气相色谱-质谱法</w:t>
            </w:r>
            <w:r>
              <w:rPr>
                <w:rFonts w:hint="eastAsia" w:ascii="Times New Roman" w:hAnsi="Times New Roman" w:cs="Times New Roman"/>
                <w:color w:val="000000"/>
                <w:highlight w:val="none"/>
                <w:lang w:eastAsia="zh-CN"/>
              </w:rPr>
              <w:t>》</w:t>
            </w:r>
          </w:p>
        </w:tc>
      </w:tr>
      <w:tr w14:paraId="76F04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91B1CEE">
            <w:pPr>
              <w:pStyle w:val="182"/>
              <w:rPr>
                <w:rFonts w:hint="default" w:ascii="Times New Roman" w:hAnsi="Times New Roman" w:cs="Times New Roman"/>
                <w:color w:val="000000"/>
              </w:rPr>
            </w:pPr>
            <w:r>
              <w:rPr>
                <w:rFonts w:hint="default" w:ascii="Times New Roman" w:hAnsi="Times New Roman" w:cs="Times New Roman"/>
                <w:color w:val="000000"/>
              </w:rPr>
              <w:t>4</w:t>
            </w:r>
          </w:p>
        </w:tc>
        <w:tc>
          <w:tcPr>
            <w:tcW w:w="1205" w:type="pct"/>
            <w:tcBorders>
              <w:top w:val="single" w:color="auto" w:sz="4" w:space="0"/>
              <w:left w:val="single" w:color="auto" w:sz="4" w:space="0"/>
              <w:bottom w:val="single" w:color="auto" w:sz="4" w:space="0"/>
              <w:right w:val="single" w:color="auto" w:sz="4" w:space="0"/>
            </w:tcBorders>
            <w:vAlign w:val="center"/>
          </w:tcPr>
          <w:p w14:paraId="40319CD2">
            <w:pPr>
              <w:pStyle w:val="182"/>
              <w:rPr>
                <w:rFonts w:hint="default" w:ascii="Times New Roman" w:hAnsi="Times New Roman" w:cs="Times New Roman"/>
                <w:color w:val="000000"/>
              </w:rPr>
            </w:pPr>
            <w:r>
              <w:rPr>
                <w:rFonts w:hint="default" w:ascii="Times New Roman" w:hAnsi="Times New Roman" w:cs="Times New Roman"/>
                <w:color w:val="000000"/>
              </w:rPr>
              <w:t>四氯化碳</w:t>
            </w:r>
          </w:p>
        </w:tc>
        <w:tc>
          <w:tcPr>
            <w:tcW w:w="3315" w:type="pct"/>
            <w:tcBorders>
              <w:top w:val="single" w:color="auto" w:sz="4" w:space="0"/>
              <w:left w:val="single" w:color="auto" w:sz="4" w:space="0"/>
              <w:bottom w:val="single" w:color="auto" w:sz="4" w:space="0"/>
              <w:right w:val="single" w:color="auto" w:sz="4" w:space="0"/>
            </w:tcBorders>
            <w:vAlign w:val="center"/>
          </w:tcPr>
          <w:p w14:paraId="4A59ED4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HJ639-2012</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挥发性有机物的测定 吹扫捕集/气相色谱-质谱法</w:t>
            </w:r>
            <w:r>
              <w:rPr>
                <w:rFonts w:hint="eastAsia" w:ascii="Times New Roman" w:hAnsi="Times New Roman" w:cs="Times New Roman"/>
                <w:color w:val="000000"/>
                <w:highlight w:val="none"/>
                <w:lang w:eastAsia="zh-CN"/>
              </w:rPr>
              <w:t>》</w:t>
            </w:r>
          </w:p>
        </w:tc>
      </w:tr>
      <w:tr w14:paraId="42DC87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AD76062">
            <w:pPr>
              <w:pStyle w:val="182"/>
              <w:rPr>
                <w:rFonts w:hint="default" w:ascii="Times New Roman" w:hAnsi="Times New Roman" w:cs="Times New Roman"/>
                <w:color w:val="000000"/>
              </w:rPr>
            </w:pPr>
            <w:r>
              <w:rPr>
                <w:rFonts w:hint="default" w:ascii="Times New Roman" w:hAnsi="Times New Roman" w:cs="Times New Roman"/>
                <w:color w:val="000000"/>
              </w:rPr>
              <w:t>5</w:t>
            </w:r>
          </w:p>
        </w:tc>
        <w:tc>
          <w:tcPr>
            <w:tcW w:w="1205" w:type="pct"/>
            <w:tcBorders>
              <w:top w:val="single" w:color="auto" w:sz="4" w:space="0"/>
              <w:left w:val="single" w:color="auto" w:sz="4" w:space="0"/>
              <w:bottom w:val="single" w:color="auto" w:sz="4" w:space="0"/>
              <w:right w:val="single" w:color="auto" w:sz="4" w:space="0"/>
            </w:tcBorders>
            <w:vAlign w:val="center"/>
          </w:tcPr>
          <w:p w14:paraId="33997CA0">
            <w:pPr>
              <w:pStyle w:val="182"/>
              <w:rPr>
                <w:rFonts w:hint="default" w:ascii="Times New Roman" w:hAnsi="Times New Roman" w:cs="Times New Roman"/>
                <w:color w:val="000000"/>
              </w:rPr>
            </w:pPr>
            <w:r>
              <w:rPr>
                <w:rFonts w:hint="default" w:ascii="Times New Roman" w:hAnsi="Times New Roman" w:cs="Times New Roman"/>
                <w:color w:val="000000"/>
              </w:rPr>
              <w:t>三氯甲烷</w:t>
            </w:r>
          </w:p>
        </w:tc>
        <w:tc>
          <w:tcPr>
            <w:tcW w:w="3315" w:type="pct"/>
            <w:tcBorders>
              <w:top w:val="single" w:color="auto" w:sz="4" w:space="0"/>
              <w:left w:val="single" w:color="auto" w:sz="4" w:space="0"/>
              <w:bottom w:val="single" w:color="auto" w:sz="4" w:space="0"/>
              <w:right w:val="single" w:color="auto" w:sz="4" w:space="0"/>
            </w:tcBorders>
            <w:vAlign w:val="center"/>
          </w:tcPr>
          <w:p w14:paraId="224EC4B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HJ639-2012</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挥发性有机物的测定 吹扫捕集/气相色谱-质谱法</w:t>
            </w:r>
            <w:r>
              <w:rPr>
                <w:rFonts w:hint="eastAsia" w:ascii="Times New Roman" w:hAnsi="Times New Roman" w:cs="Times New Roman"/>
                <w:color w:val="000000"/>
                <w:highlight w:val="none"/>
                <w:lang w:eastAsia="zh-CN"/>
              </w:rPr>
              <w:t>》</w:t>
            </w:r>
          </w:p>
        </w:tc>
      </w:tr>
      <w:tr w14:paraId="0C558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146309C">
            <w:pPr>
              <w:pStyle w:val="182"/>
              <w:rPr>
                <w:rFonts w:hint="default" w:ascii="Times New Roman" w:hAnsi="Times New Roman" w:cs="Times New Roman"/>
                <w:color w:val="000000"/>
              </w:rPr>
            </w:pPr>
            <w:r>
              <w:rPr>
                <w:rFonts w:hint="default" w:ascii="Times New Roman" w:hAnsi="Times New Roman" w:cs="Times New Roman"/>
                <w:color w:val="000000"/>
              </w:rPr>
              <w:t>6</w:t>
            </w:r>
          </w:p>
        </w:tc>
        <w:tc>
          <w:tcPr>
            <w:tcW w:w="1205" w:type="pct"/>
            <w:tcBorders>
              <w:top w:val="single" w:color="auto" w:sz="4" w:space="0"/>
              <w:left w:val="single" w:color="auto" w:sz="4" w:space="0"/>
              <w:bottom w:val="single" w:color="auto" w:sz="4" w:space="0"/>
              <w:right w:val="single" w:color="auto" w:sz="4" w:space="0"/>
            </w:tcBorders>
            <w:vAlign w:val="center"/>
          </w:tcPr>
          <w:p w14:paraId="1CC3899F">
            <w:pPr>
              <w:pStyle w:val="182"/>
              <w:rPr>
                <w:rFonts w:hint="default" w:ascii="Times New Roman" w:hAnsi="Times New Roman" w:cs="Times New Roman"/>
                <w:color w:val="000000"/>
              </w:rPr>
            </w:pPr>
            <w:r>
              <w:rPr>
                <w:rFonts w:hint="default" w:ascii="Times New Roman" w:hAnsi="Times New Roman" w:cs="Times New Roman"/>
                <w:color w:val="000000"/>
              </w:rPr>
              <w:t>石油烃（C</w:t>
            </w:r>
            <w:r>
              <w:rPr>
                <w:rFonts w:hint="default" w:ascii="Times New Roman" w:hAnsi="Times New Roman" w:cs="Times New Roman"/>
                <w:color w:val="000000"/>
                <w:vertAlign w:val="subscript"/>
              </w:rPr>
              <w:t>10</w:t>
            </w:r>
            <w:r>
              <w:rPr>
                <w:rFonts w:hint="default" w:ascii="Times New Roman" w:hAnsi="Times New Roman" w:cs="Times New Roman"/>
                <w:color w:val="000000"/>
              </w:rPr>
              <w:t>-C</w:t>
            </w:r>
            <w:r>
              <w:rPr>
                <w:rFonts w:hint="default" w:ascii="Times New Roman" w:hAnsi="Times New Roman" w:cs="Times New Roman"/>
                <w:color w:val="000000"/>
                <w:vertAlign w:val="subscript"/>
              </w:rPr>
              <w:t>40</w:t>
            </w:r>
            <w:r>
              <w:rPr>
                <w:rFonts w:hint="default" w:ascii="Times New Roman" w:hAnsi="Times New Roman" w:cs="Times New Roman"/>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14834E0A">
            <w:pPr>
              <w:pStyle w:val="182"/>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HJ894-2017</w:t>
            </w:r>
            <w:r>
              <w:rPr>
                <w:rFonts w:hint="eastAsia" w:ascii="Times New Roman" w:hAnsi="Times New Roman" w:cs="Times New Roman"/>
                <w:color w:val="000000"/>
                <w:highlight w:val="none"/>
                <w:lang w:eastAsia="zh-CN"/>
              </w:rPr>
              <w:t>《</w:t>
            </w:r>
            <w:r>
              <w:rPr>
                <w:rFonts w:hint="eastAsia" w:ascii="Times New Roman" w:hAnsi="Times New Roman" w:cs="Times New Roman"/>
                <w:color w:val="000000"/>
                <w:highlight w:val="none"/>
                <w:lang w:val="en-US" w:eastAsia="zh-CN"/>
              </w:rPr>
              <w:t>水质 可萃取石油烃</w:t>
            </w:r>
            <w:r>
              <w:rPr>
                <w:rFonts w:hint="default" w:ascii="Times New Roman" w:hAnsi="Times New Roman" w:cs="Times New Roman"/>
                <w:color w:val="000000"/>
                <w:highlight w:val="none"/>
              </w:rPr>
              <w:t>（C</w:t>
            </w:r>
            <w:r>
              <w:rPr>
                <w:rFonts w:hint="default" w:ascii="Times New Roman" w:hAnsi="Times New Roman" w:cs="Times New Roman"/>
                <w:color w:val="000000"/>
                <w:highlight w:val="none"/>
                <w:vertAlign w:val="subscript"/>
              </w:rPr>
              <w:t>10</w:t>
            </w:r>
            <w:r>
              <w:rPr>
                <w:rFonts w:hint="default" w:ascii="Times New Roman" w:hAnsi="Times New Roman" w:cs="Times New Roman"/>
                <w:color w:val="000000"/>
                <w:highlight w:val="none"/>
              </w:rPr>
              <w:t>-C</w:t>
            </w:r>
            <w:r>
              <w:rPr>
                <w:rFonts w:hint="default" w:ascii="Times New Roman" w:hAnsi="Times New Roman" w:cs="Times New Roman"/>
                <w:color w:val="000000"/>
                <w:highlight w:val="none"/>
                <w:vertAlign w:val="subscript"/>
              </w:rPr>
              <w:t>40</w:t>
            </w: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 xml:space="preserve">的测定 </w:t>
            </w:r>
            <w:r>
              <w:rPr>
                <w:rFonts w:hint="default" w:ascii="Times New Roman" w:hAnsi="Times New Roman" w:cs="Times New Roman"/>
                <w:color w:val="000000"/>
                <w:highlight w:val="none"/>
              </w:rPr>
              <w:t>气相色谱法</w:t>
            </w:r>
            <w:r>
              <w:rPr>
                <w:rFonts w:hint="eastAsia" w:ascii="Times New Roman" w:hAnsi="Times New Roman" w:cs="Times New Roman"/>
                <w:color w:val="000000"/>
                <w:highlight w:val="none"/>
                <w:lang w:eastAsia="zh-CN"/>
              </w:rPr>
              <w:t>》</w:t>
            </w:r>
          </w:p>
        </w:tc>
      </w:tr>
      <w:tr w14:paraId="5EF29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9515F25">
            <w:pPr>
              <w:pStyle w:val="182"/>
              <w:rPr>
                <w:rFonts w:hint="default" w:ascii="Times New Roman" w:hAnsi="Times New Roman" w:cs="Times New Roman"/>
                <w:color w:val="000000"/>
              </w:rPr>
            </w:pPr>
            <w:r>
              <w:rPr>
                <w:rFonts w:hint="default" w:ascii="Times New Roman" w:hAnsi="Times New Roman" w:cs="Times New Roman"/>
                <w:color w:val="000000"/>
              </w:rPr>
              <w:t>7</w:t>
            </w:r>
          </w:p>
        </w:tc>
        <w:tc>
          <w:tcPr>
            <w:tcW w:w="1205" w:type="pct"/>
            <w:tcBorders>
              <w:top w:val="single" w:color="auto" w:sz="4" w:space="0"/>
              <w:left w:val="single" w:color="auto" w:sz="4" w:space="0"/>
              <w:bottom w:val="single" w:color="auto" w:sz="4" w:space="0"/>
              <w:right w:val="single" w:color="auto" w:sz="4" w:space="0"/>
            </w:tcBorders>
            <w:vAlign w:val="center"/>
          </w:tcPr>
          <w:p w14:paraId="51BBE5A8">
            <w:pPr>
              <w:pStyle w:val="182"/>
              <w:rPr>
                <w:rFonts w:hint="default" w:ascii="Times New Roman" w:hAnsi="Times New Roman" w:cs="Times New Roman"/>
                <w:color w:val="000000"/>
              </w:rPr>
            </w:pPr>
            <w:r>
              <w:rPr>
                <w:rFonts w:hint="default" w:ascii="Times New Roman" w:hAnsi="Times New Roman" w:cs="Times New Roman"/>
                <w:color w:val="000000"/>
              </w:rPr>
              <w:t>锰</w:t>
            </w:r>
          </w:p>
        </w:tc>
        <w:tc>
          <w:tcPr>
            <w:tcW w:w="3315" w:type="pct"/>
            <w:tcBorders>
              <w:top w:val="single" w:color="auto" w:sz="4" w:space="0"/>
              <w:left w:val="single" w:color="auto" w:sz="4" w:space="0"/>
              <w:bottom w:val="single" w:color="auto" w:sz="4" w:space="0"/>
              <w:right w:val="single" w:color="auto" w:sz="4" w:space="0"/>
            </w:tcBorders>
            <w:vAlign w:val="center"/>
          </w:tcPr>
          <w:p w14:paraId="3066485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 776-2015</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32种元素的测定 电感耦合等离子体发射光谱法</w:t>
            </w:r>
            <w:r>
              <w:rPr>
                <w:rFonts w:hint="eastAsia" w:ascii="Times New Roman" w:hAnsi="Times New Roman" w:cs="Times New Roman"/>
                <w:color w:val="000000"/>
                <w:highlight w:val="none"/>
                <w:lang w:eastAsia="zh-CN"/>
              </w:rPr>
              <w:t>》</w:t>
            </w:r>
          </w:p>
        </w:tc>
      </w:tr>
      <w:tr w14:paraId="0D78F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C3A0DE9">
            <w:pPr>
              <w:pStyle w:val="182"/>
              <w:rPr>
                <w:rFonts w:hint="default" w:ascii="Times New Roman" w:hAnsi="Times New Roman" w:cs="Times New Roman"/>
                <w:color w:val="000000"/>
              </w:rPr>
            </w:pPr>
            <w:r>
              <w:rPr>
                <w:rFonts w:hint="default" w:ascii="Times New Roman" w:hAnsi="Times New Roman" w:cs="Times New Roman"/>
                <w:color w:val="000000"/>
              </w:rPr>
              <w:t>8</w:t>
            </w:r>
          </w:p>
        </w:tc>
        <w:tc>
          <w:tcPr>
            <w:tcW w:w="1205" w:type="pct"/>
            <w:tcBorders>
              <w:top w:val="single" w:color="auto" w:sz="4" w:space="0"/>
              <w:left w:val="single" w:color="auto" w:sz="4" w:space="0"/>
              <w:bottom w:val="single" w:color="auto" w:sz="4" w:space="0"/>
              <w:right w:val="single" w:color="auto" w:sz="4" w:space="0"/>
            </w:tcBorders>
            <w:vAlign w:val="center"/>
          </w:tcPr>
          <w:p w14:paraId="7A347790">
            <w:pPr>
              <w:pStyle w:val="182"/>
              <w:rPr>
                <w:rFonts w:hint="default" w:ascii="Times New Roman" w:hAnsi="Times New Roman" w:cs="Times New Roman"/>
                <w:color w:val="000000"/>
              </w:rPr>
            </w:pPr>
            <w:r>
              <w:rPr>
                <w:rFonts w:hint="default" w:ascii="Times New Roman" w:hAnsi="Times New Roman" w:cs="Times New Roman"/>
                <w:color w:val="000000"/>
              </w:rPr>
              <w:t>铁</w:t>
            </w:r>
          </w:p>
        </w:tc>
        <w:tc>
          <w:tcPr>
            <w:tcW w:w="3315" w:type="pct"/>
            <w:tcBorders>
              <w:top w:val="single" w:color="auto" w:sz="4" w:space="0"/>
              <w:left w:val="single" w:color="auto" w:sz="4" w:space="0"/>
              <w:bottom w:val="single" w:color="auto" w:sz="4" w:space="0"/>
              <w:right w:val="single" w:color="auto" w:sz="4" w:space="0"/>
            </w:tcBorders>
            <w:vAlign w:val="center"/>
          </w:tcPr>
          <w:p w14:paraId="49DBB9E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 776-2015</w:t>
            </w:r>
            <w:r>
              <w:rPr>
                <w:rFonts w:hint="eastAsia" w:cs="Times New Roman"/>
                <w:color w:val="000000"/>
                <w:highlight w:val="none"/>
                <w:lang w:eastAsia="zh-CN"/>
              </w:rPr>
              <w:t>《</w:t>
            </w:r>
            <w:r>
              <w:rPr>
                <w:rFonts w:hint="default" w:ascii="Times New Roman" w:hAnsi="Times New Roman" w:cs="Times New Roman"/>
                <w:color w:val="000000"/>
                <w:highlight w:val="none"/>
              </w:rPr>
              <w:t>水质 32种元素的测定 电感耦合等离子体发射光谱法</w:t>
            </w:r>
            <w:r>
              <w:rPr>
                <w:rFonts w:hint="eastAsia" w:cs="Times New Roman"/>
                <w:color w:val="000000"/>
                <w:highlight w:val="none"/>
                <w:lang w:eastAsia="zh-CN"/>
              </w:rPr>
              <w:t>》</w:t>
            </w:r>
          </w:p>
        </w:tc>
      </w:tr>
      <w:tr w14:paraId="4D907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3E6AEDF">
            <w:pPr>
              <w:pStyle w:val="182"/>
              <w:rPr>
                <w:rFonts w:hint="default" w:ascii="Times New Roman" w:hAnsi="Times New Roman" w:cs="Times New Roman"/>
                <w:color w:val="000000"/>
              </w:rPr>
            </w:pPr>
            <w:r>
              <w:rPr>
                <w:rFonts w:hint="default" w:ascii="Times New Roman" w:hAnsi="Times New Roman" w:cs="Times New Roman"/>
                <w:color w:val="000000"/>
              </w:rPr>
              <w:t>9</w:t>
            </w:r>
          </w:p>
        </w:tc>
        <w:tc>
          <w:tcPr>
            <w:tcW w:w="1205" w:type="pct"/>
            <w:tcBorders>
              <w:top w:val="single" w:color="auto" w:sz="4" w:space="0"/>
              <w:left w:val="single" w:color="auto" w:sz="4" w:space="0"/>
              <w:bottom w:val="single" w:color="auto" w:sz="4" w:space="0"/>
              <w:right w:val="single" w:color="auto" w:sz="4" w:space="0"/>
            </w:tcBorders>
            <w:vAlign w:val="center"/>
          </w:tcPr>
          <w:p w14:paraId="73CF98AB">
            <w:pPr>
              <w:pStyle w:val="182"/>
              <w:rPr>
                <w:rFonts w:hint="default" w:ascii="Times New Roman" w:hAnsi="Times New Roman" w:cs="Times New Roman"/>
                <w:color w:val="000000"/>
              </w:rPr>
            </w:pPr>
            <w:r>
              <w:rPr>
                <w:rFonts w:hint="default" w:ascii="Times New Roman" w:hAnsi="Times New Roman" w:cs="Times New Roman"/>
                <w:color w:val="000000"/>
              </w:rPr>
              <w:t>镉</w:t>
            </w:r>
          </w:p>
        </w:tc>
        <w:tc>
          <w:tcPr>
            <w:tcW w:w="3315" w:type="pct"/>
            <w:tcBorders>
              <w:top w:val="single" w:color="auto" w:sz="4" w:space="0"/>
              <w:left w:val="single" w:color="auto" w:sz="4" w:space="0"/>
              <w:bottom w:val="single" w:color="auto" w:sz="4" w:space="0"/>
              <w:right w:val="single" w:color="auto" w:sz="4" w:space="0"/>
            </w:tcBorders>
            <w:vAlign w:val="center"/>
          </w:tcPr>
          <w:p w14:paraId="7E20DB78">
            <w:pPr>
              <w:pStyle w:val="182"/>
              <w:rPr>
                <w:rFonts w:hint="default" w:ascii="Times New Roman" w:hAnsi="Times New Roman" w:eastAsia="宋体" w:cs="Times New Roman"/>
                <w:color w:val="000000"/>
                <w:highlight w:val="none"/>
              </w:rPr>
            </w:pPr>
            <w:r>
              <w:rPr>
                <w:rFonts w:hint="default" w:ascii="Times New Roman" w:hAnsi="Times New Roman" w:eastAsia="宋体" w:cs="Times New Roman"/>
                <w:color w:val="000000"/>
                <w:highlight w:val="none"/>
              </w:rPr>
              <w:t>HJ 776-2015</w:t>
            </w:r>
            <w:r>
              <w:rPr>
                <w:rFonts w:hint="eastAsia" w:ascii="Times New Roman" w:hAnsi="Times New Roman" w:eastAsia="宋体" w:cs="Times New Roman"/>
                <w:color w:val="000000"/>
                <w:highlight w:val="none"/>
                <w:lang w:eastAsia="zh-CN"/>
              </w:rPr>
              <w:t>《</w:t>
            </w:r>
            <w:r>
              <w:rPr>
                <w:rFonts w:hint="default" w:ascii="Times New Roman" w:hAnsi="Times New Roman" w:eastAsia="宋体" w:cs="Times New Roman"/>
                <w:color w:val="000000"/>
                <w:highlight w:val="none"/>
              </w:rPr>
              <w:t>水质 32种元素的测定 电感耦合等离子体发射光谱法</w:t>
            </w:r>
            <w:r>
              <w:rPr>
                <w:rFonts w:hint="eastAsia" w:ascii="Times New Roman" w:hAnsi="Times New Roman" w:eastAsia="宋体" w:cs="Times New Roman"/>
                <w:color w:val="000000"/>
                <w:highlight w:val="none"/>
                <w:lang w:eastAsia="zh-CN"/>
              </w:rPr>
              <w:t>》</w:t>
            </w:r>
          </w:p>
        </w:tc>
      </w:tr>
      <w:tr w14:paraId="46BF4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9D0EC65">
            <w:pPr>
              <w:pStyle w:val="182"/>
              <w:rPr>
                <w:rFonts w:hint="default" w:ascii="Times New Roman" w:hAnsi="Times New Roman" w:cs="Times New Roman"/>
                <w:color w:val="000000"/>
              </w:rPr>
            </w:pPr>
            <w:r>
              <w:rPr>
                <w:rFonts w:hint="default" w:ascii="Times New Roman" w:hAnsi="Times New Roman" w:cs="Times New Roman"/>
                <w:color w:val="000000"/>
              </w:rPr>
              <w:t>10</w:t>
            </w:r>
          </w:p>
        </w:tc>
        <w:tc>
          <w:tcPr>
            <w:tcW w:w="1205" w:type="pct"/>
            <w:tcBorders>
              <w:top w:val="single" w:color="auto" w:sz="4" w:space="0"/>
              <w:left w:val="single" w:color="auto" w:sz="4" w:space="0"/>
              <w:bottom w:val="single" w:color="auto" w:sz="4" w:space="0"/>
              <w:right w:val="single" w:color="auto" w:sz="4" w:space="0"/>
            </w:tcBorders>
            <w:vAlign w:val="center"/>
          </w:tcPr>
          <w:p w14:paraId="1F09BF80">
            <w:pPr>
              <w:pStyle w:val="182"/>
              <w:rPr>
                <w:rFonts w:hint="default" w:ascii="Times New Roman" w:hAnsi="Times New Roman" w:cs="Times New Roman"/>
                <w:color w:val="000000"/>
              </w:rPr>
            </w:pPr>
            <w:r>
              <w:rPr>
                <w:rFonts w:hint="default" w:ascii="Times New Roman" w:hAnsi="Times New Roman" w:cs="Times New Roman"/>
                <w:color w:val="000000"/>
              </w:rPr>
              <w:t>锌</w:t>
            </w:r>
          </w:p>
        </w:tc>
        <w:tc>
          <w:tcPr>
            <w:tcW w:w="3315" w:type="pct"/>
            <w:tcBorders>
              <w:top w:val="single" w:color="auto" w:sz="4" w:space="0"/>
              <w:left w:val="single" w:color="auto" w:sz="4" w:space="0"/>
              <w:bottom w:val="single" w:color="auto" w:sz="4" w:space="0"/>
              <w:right w:val="single" w:color="auto" w:sz="4" w:space="0"/>
            </w:tcBorders>
            <w:vAlign w:val="center"/>
          </w:tcPr>
          <w:p w14:paraId="54045F0D">
            <w:pPr>
              <w:pStyle w:val="182"/>
              <w:rPr>
                <w:rFonts w:hint="default" w:ascii="Times New Roman" w:hAnsi="Times New Roman" w:eastAsia="宋体" w:cs="Times New Roman"/>
                <w:color w:val="000000"/>
                <w:highlight w:val="none"/>
              </w:rPr>
            </w:pPr>
            <w:r>
              <w:rPr>
                <w:rFonts w:hint="default" w:ascii="Times New Roman" w:hAnsi="Times New Roman" w:eastAsia="宋体" w:cs="Times New Roman"/>
                <w:color w:val="000000"/>
                <w:highlight w:val="none"/>
              </w:rPr>
              <w:t>HJ 776-2015</w:t>
            </w:r>
            <w:r>
              <w:rPr>
                <w:rFonts w:hint="eastAsia" w:ascii="Times New Roman" w:hAnsi="Times New Roman" w:eastAsia="宋体" w:cs="Times New Roman"/>
                <w:color w:val="000000"/>
                <w:highlight w:val="none"/>
                <w:lang w:eastAsia="zh-CN"/>
              </w:rPr>
              <w:t>《</w:t>
            </w:r>
            <w:r>
              <w:rPr>
                <w:rFonts w:hint="default" w:ascii="Times New Roman" w:hAnsi="Times New Roman" w:eastAsia="宋体" w:cs="Times New Roman"/>
                <w:color w:val="000000"/>
                <w:highlight w:val="none"/>
              </w:rPr>
              <w:t>水质 32种元素的测定 电感耦合等离子体发射光谱法</w:t>
            </w:r>
            <w:r>
              <w:rPr>
                <w:rFonts w:hint="eastAsia" w:ascii="Times New Roman" w:hAnsi="Times New Roman" w:eastAsia="宋体" w:cs="Times New Roman"/>
                <w:color w:val="000000"/>
                <w:highlight w:val="none"/>
                <w:lang w:eastAsia="zh-CN"/>
              </w:rPr>
              <w:t>》</w:t>
            </w:r>
          </w:p>
        </w:tc>
      </w:tr>
      <w:tr w14:paraId="0EE65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459391D">
            <w:pPr>
              <w:pStyle w:val="182"/>
              <w:rPr>
                <w:rFonts w:hint="default" w:ascii="Times New Roman" w:hAnsi="Times New Roman" w:cs="Times New Roman"/>
                <w:color w:val="000000"/>
              </w:rPr>
            </w:pPr>
            <w:r>
              <w:rPr>
                <w:rFonts w:hint="default" w:ascii="Times New Roman" w:hAnsi="Times New Roman" w:cs="Times New Roman"/>
                <w:color w:val="000000"/>
              </w:rPr>
              <w:t>11</w:t>
            </w:r>
          </w:p>
        </w:tc>
        <w:tc>
          <w:tcPr>
            <w:tcW w:w="1205" w:type="pct"/>
            <w:tcBorders>
              <w:top w:val="single" w:color="auto" w:sz="4" w:space="0"/>
              <w:left w:val="single" w:color="auto" w:sz="4" w:space="0"/>
              <w:bottom w:val="single" w:color="auto" w:sz="4" w:space="0"/>
              <w:right w:val="single" w:color="auto" w:sz="4" w:space="0"/>
            </w:tcBorders>
            <w:vAlign w:val="center"/>
          </w:tcPr>
          <w:p w14:paraId="5DF0EB0B">
            <w:pPr>
              <w:pStyle w:val="182"/>
              <w:rPr>
                <w:rFonts w:hint="default" w:ascii="Times New Roman" w:hAnsi="Times New Roman" w:cs="Times New Roman"/>
                <w:color w:val="000000"/>
              </w:rPr>
            </w:pPr>
            <w:r>
              <w:rPr>
                <w:rFonts w:hint="default" w:ascii="Times New Roman" w:hAnsi="Times New Roman" w:cs="Times New Roman"/>
                <w:color w:val="000000"/>
              </w:rPr>
              <w:t>铅</w:t>
            </w:r>
          </w:p>
        </w:tc>
        <w:tc>
          <w:tcPr>
            <w:tcW w:w="3315" w:type="pct"/>
            <w:tcBorders>
              <w:top w:val="single" w:color="auto" w:sz="4" w:space="0"/>
              <w:left w:val="single" w:color="auto" w:sz="4" w:space="0"/>
              <w:bottom w:val="single" w:color="auto" w:sz="4" w:space="0"/>
              <w:right w:val="single" w:color="auto" w:sz="4" w:space="0"/>
            </w:tcBorders>
            <w:vAlign w:val="center"/>
          </w:tcPr>
          <w:p w14:paraId="7E75F935">
            <w:pPr>
              <w:pStyle w:val="182"/>
              <w:rPr>
                <w:rFonts w:hint="default" w:ascii="Times New Roman" w:hAnsi="Times New Roman" w:eastAsia="宋体" w:cs="Times New Roman"/>
                <w:color w:val="000000"/>
                <w:highlight w:val="none"/>
              </w:rPr>
            </w:pPr>
            <w:r>
              <w:rPr>
                <w:rFonts w:hint="default" w:ascii="Times New Roman" w:hAnsi="Times New Roman" w:eastAsia="宋体" w:cs="Times New Roman"/>
                <w:color w:val="000000"/>
                <w:highlight w:val="none"/>
              </w:rPr>
              <w:t>HJ 776-2015</w:t>
            </w:r>
            <w:r>
              <w:rPr>
                <w:rFonts w:hint="eastAsia" w:ascii="Times New Roman" w:hAnsi="Times New Roman" w:eastAsia="宋体" w:cs="Times New Roman"/>
                <w:color w:val="000000"/>
                <w:highlight w:val="none"/>
                <w:lang w:eastAsia="zh-CN"/>
              </w:rPr>
              <w:t>《</w:t>
            </w:r>
            <w:r>
              <w:rPr>
                <w:rFonts w:hint="default" w:ascii="Times New Roman" w:hAnsi="Times New Roman" w:eastAsia="宋体" w:cs="Times New Roman"/>
                <w:color w:val="000000"/>
                <w:highlight w:val="none"/>
              </w:rPr>
              <w:t>水质 32种元素的测定 电感耦合等离子体发射光谱法</w:t>
            </w:r>
            <w:r>
              <w:rPr>
                <w:rFonts w:hint="eastAsia" w:ascii="Times New Roman" w:hAnsi="Times New Roman" w:eastAsia="宋体" w:cs="Times New Roman"/>
                <w:color w:val="000000"/>
                <w:highlight w:val="none"/>
                <w:lang w:eastAsia="zh-CN"/>
              </w:rPr>
              <w:t>》</w:t>
            </w:r>
          </w:p>
        </w:tc>
      </w:tr>
      <w:tr w14:paraId="5EC90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6601A90">
            <w:pPr>
              <w:pStyle w:val="182"/>
              <w:rPr>
                <w:rFonts w:hint="default" w:ascii="Times New Roman" w:hAnsi="Times New Roman" w:cs="Times New Roman"/>
                <w:color w:val="000000"/>
              </w:rPr>
            </w:pPr>
            <w:r>
              <w:rPr>
                <w:rFonts w:hint="default" w:ascii="Times New Roman" w:hAnsi="Times New Roman" w:cs="Times New Roman"/>
                <w:color w:val="000000"/>
              </w:rPr>
              <w:t>12</w:t>
            </w:r>
          </w:p>
        </w:tc>
        <w:tc>
          <w:tcPr>
            <w:tcW w:w="1205" w:type="pct"/>
            <w:tcBorders>
              <w:top w:val="single" w:color="auto" w:sz="4" w:space="0"/>
              <w:left w:val="single" w:color="auto" w:sz="4" w:space="0"/>
              <w:bottom w:val="single" w:color="auto" w:sz="4" w:space="0"/>
              <w:right w:val="single" w:color="auto" w:sz="4" w:space="0"/>
            </w:tcBorders>
            <w:vAlign w:val="center"/>
          </w:tcPr>
          <w:p w14:paraId="1FE7CCE6">
            <w:pPr>
              <w:pStyle w:val="182"/>
              <w:rPr>
                <w:rFonts w:hint="default" w:ascii="Times New Roman" w:hAnsi="Times New Roman" w:cs="Times New Roman"/>
                <w:color w:val="000000"/>
              </w:rPr>
            </w:pPr>
            <w:r>
              <w:rPr>
                <w:rFonts w:hint="default" w:ascii="Times New Roman" w:hAnsi="Times New Roman" w:cs="Times New Roman"/>
                <w:color w:val="000000"/>
              </w:rPr>
              <w:t>铜</w:t>
            </w:r>
          </w:p>
        </w:tc>
        <w:tc>
          <w:tcPr>
            <w:tcW w:w="3315" w:type="pct"/>
            <w:tcBorders>
              <w:top w:val="single" w:color="auto" w:sz="4" w:space="0"/>
              <w:left w:val="single" w:color="auto" w:sz="4" w:space="0"/>
              <w:bottom w:val="single" w:color="auto" w:sz="4" w:space="0"/>
              <w:right w:val="single" w:color="auto" w:sz="4" w:space="0"/>
            </w:tcBorders>
            <w:vAlign w:val="center"/>
          </w:tcPr>
          <w:p w14:paraId="1AAC4B14">
            <w:pPr>
              <w:pStyle w:val="182"/>
              <w:rPr>
                <w:rFonts w:hint="default" w:ascii="Times New Roman" w:hAnsi="Times New Roman" w:eastAsia="宋体" w:cs="Times New Roman"/>
                <w:color w:val="000000"/>
                <w:highlight w:val="none"/>
              </w:rPr>
            </w:pPr>
            <w:r>
              <w:rPr>
                <w:rFonts w:hint="default" w:ascii="Times New Roman" w:hAnsi="Times New Roman" w:eastAsia="宋体" w:cs="Times New Roman"/>
                <w:color w:val="000000"/>
                <w:highlight w:val="none"/>
              </w:rPr>
              <w:t>HJ 776-2015</w:t>
            </w:r>
            <w:r>
              <w:rPr>
                <w:rFonts w:hint="eastAsia" w:ascii="Times New Roman" w:hAnsi="Times New Roman" w:eastAsia="宋体" w:cs="Times New Roman"/>
                <w:color w:val="000000"/>
                <w:highlight w:val="none"/>
                <w:lang w:eastAsia="zh-CN"/>
              </w:rPr>
              <w:t>《</w:t>
            </w:r>
            <w:r>
              <w:rPr>
                <w:rFonts w:hint="default" w:ascii="Times New Roman" w:hAnsi="Times New Roman" w:eastAsia="宋体" w:cs="Times New Roman"/>
                <w:color w:val="000000"/>
                <w:highlight w:val="none"/>
              </w:rPr>
              <w:t>水质 32种元素的测定 电感耦合等离子体发射光谱法</w:t>
            </w:r>
            <w:r>
              <w:rPr>
                <w:rFonts w:hint="eastAsia" w:ascii="Times New Roman" w:hAnsi="Times New Roman" w:eastAsia="宋体" w:cs="Times New Roman"/>
                <w:color w:val="000000"/>
                <w:highlight w:val="none"/>
                <w:lang w:eastAsia="zh-CN"/>
              </w:rPr>
              <w:t>》</w:t>
            </w:r>
          </w:p>
        </w:tc>
      </w:tr>
      <w:tr w14:paraId="2805B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15B9040">
            <w:pPr>
              <w:pStyle w:val="182"/>
              <w:rPr>
                <w:rFonts w:hint="default" w:ascii="Times New Roman" w:hAnsi="Times New Roman" w:cs="Times New Roman"/>
                <w:color w:val="000000"/>
              </w:rPr>
            </w:pPr>
            <w:r>
              <w:rPr>
                <w:rFonts w:hint="default" w:ascii="Times New Roman" w:hAnsi="Times New Roman" w:cs="Times New Roman"/>
                <w:color w:val="000000"/>
              </w:rPr>
              <w:t>13</w:t>
            </w:r>
          </w:p>
        </w:tc>
        <w:tc>
          <w:tcPr>
            <w:tcW w:w="1205" w:type="pct"/>
            <w:tcBorders>
              <w:top w:val="single" w:color="auto" w:sz="4" w:space="0"/>
              <w:left w:val="single" w:color="auto" w:sz="4" w:space="0"/>
              <w:bottom w:val="single" w:color="auto" w:sz="4" w:space="0"/>
              <w:right w:val="single" w:color="auto" w:sz="4" w:space="0"/>
            </w:tcBorders>
            <w:vAlign w:val="center"/>
          </w:tcPr>
          <w:p w14:paraId="10B9C9B6">
            <w:pPr>
              <w:pStyle w:val="182"/>
              <w:rPr>
                <w:rFonts w:hint="default" w:ascii="Times New Roman" w:hAnsi="Times New Roman" w:cs="Times New Roman"/>
                <w:color w:val="000000"/>
              </w:rPr>
            </w:pPr>
            <w:r>
              <w:rPr>
                <w:rFonts w:hint="default" w:ascii="Times New Roman" w:hAnsi="Times New Roman" w:cs="Times New Roman"/>
                <w:color w:val="000000"/>
              </w:rPr>
              <w:t>钠</w:t>
            </w:r>
          </w:p>
        </w:tc>
        <w:tc>
          <w:tcPr>
            <w:tcW w:w="3315" w:type="pct"/>
            <w:tcBorders>
              <w:top w:val="single" w:color="auto" w:sz="4" w:space="0"/>
              <w:left w:val="single" w:color="auto" w:sz="4" w:space="0"/>
              <w:bottom w:val="single" w:color="auto" w:sz="4" w:space="0"/>
              <w:right w:val="single" w:color="auto" w:sz="4" w:space="0"/>
            </w:tcBorders>
            <w:vAlign w:val="center"/>
          </w:tcPr>
          <w:p w14:paraId="427BF228">
            <w:pPr>
              <w:pStyle w:val="182"/>
              <w:rPr>
                <w:rFonts w:hint="default" w:ascii="Times New Roman" w:hAnsi="Times New Roman" w:cs="Times New Roman"/>
                <w:color w:val="000000"/>
                <w:highlight w:val="none"/>
              </w:rPr>
            </w:pPr>
            <w:r>
              <w:rPr>
                <w:rFonts w:hint="default" w:ascii="Times New Roman" w:hAnsi="Times New Roman" w:eastAsia="宋体" w:cs="Times New Roman"/>
                <w:color w:val="000000"/>
                <w:highlight w:val="none"/>
              </w:rPr>
              <w:t>HJ 776-2015</w:t>
            </w:r>
            <w:r>
              <w:rPr>
                <w:rFonts w:hint="eastAsia" w:ascii="Times New Roman" w:hAnsi="Times New Roman" w:eastAsia="宋体" w:cs="Times New Roman"/>
                <w:color w:val="000000"/>
                <w:highlight w:val="none"/>
                <w:lang w:eastAsia="zh-CN"/>
              </w:rPr>
              <w:t>《</w:t>
            </w:r>
            <w:r>
              <w:rPr>
                <w:rFonts w:hint="default" w:ascii="Times New Roman" w:hAnsi="Times New Roman" w:eastAsia="宋体" w:cs="Times New Roman"/>
                <w:color w:val="000000"/>
                <w:highlight w:val="none"/>
              </w:rPr>
              <w:t>水质 32种元素的测定 电感耦合等离子体发射光谱法</w:t>
            </w:r>
            <w:r>
              <w:rPr>
                <w:rFonts w:hint="eastAsia" w:ascii="Times New Roman" w:hAnsi="Times New Roman" w:eastAsia="宋体" w:cs="Times New Roman"/>
                <w:color w:val="000000"/>
                <w:highlight w:val="none"/>
                <w:lang w:eastAsia="zh-CN"/>
              </w:rPr>
              <w:t>》</w:t>
            </w:r>
          </w:p>
        </w:tc>
      </w:tr>
      <w:tr w14:paraId="2A24A4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DE5005D">
            <w:pPr>
              <w:pStyle w:val="182"/>
              <w:rPr>
                <w:rFonts w:hint="default" w:ascii="Times New Roman" w:hAnsi="Times New Roman" w:cs="Times New Roman"/>
                <w:color w:val="000000"/>
              </w:rPr>
            </w:pPr>
            <w:r>
              <w:rPr>
                <w:rFonts w:hint="default" w:ascii="Times New Roman" w:hAnsi="Times New Roman" w:cs="Times New Roman"/>
                <w:color w:val="000000"/>
              </w:rPr>
              <w:t>14</w:t>
            </w:r>
          </w:p>
        </w:tc>
        <w:tc>
          <w:tcPr>
            <w:tcW w:w="1205" w:type="pct"/>
            <w:tcBorders>
              <w:top w:val="single" w:color="auto" w:sz="4" w:space="0"/>
              <w:left w:val="single" w:color="auto" w:sz="4" w:space="0"/>
              <w:bottom w:val="single" w:color="auto" w:sz="4" w:space="0"/>
              <w:right w:val="single" w:color="auto" w:sz="4" w:space="0"/>
            </w:tcBorders>
            <w:vAlign w:val="center"/>
          </w:tcPr>
          <w:p w14:paraId="554BF2E9">
            <w:pPr>
              <w:pStyle w:val="182"/>
              <w:rPr>
                <w:rFonts w:hint="default" w:ascii="Times New Roman" w:hAnsi="Times New Roman" w:cs="Times New Roman"/>
                <w:color w:val="000000"/>
              </w:rPr>
            </w:pPr>
            <w:r>
              <w:rPr>
                <w:rFonts w:hint="default" w:ascii="Times New Roman" w:hAnsi="Times New Roman" w:cs="Times New Roman"/>
                <w:color w:val="000000"/>
              </w:rPr>
              <w:t>汞</w:t>
            </w:r>
          </w:p>
        </w:tc>
        <w:tc>
          <w:tcPr>
            <w:tcW w:w="3315" w:type="pct"/>
            <w:tcBorders>
              <w:top w:val="single" w:color="auto" w:sz="4" w:space="0"/>
              <w:left w:val="single" w:color="auto" w:sz="4" w:space="0"/>
              <w:bottom w:val="single" w:color="auto" w:sz="4" w:space="0"/>
              <w:right w:val="single" w:color="auto" w:sz="4" w:space="0"/>
            </w:tcBorders>
            <w:vAlign w:val="center"/>
          </w:tcPr>
          <w:p w14:paraId="5DB2A9B0">
            <w:pPr>
              <w:pStyle w:val="182"/>
              <w:rPr>
                <w:rFonts w:hint="default" w:ascii="Times New Roman" w:hAnsi="Times New Roman" w:cs="Times New Roman"/>
                <w:color w:val="000000"/>
                <w:highlight w:val="none"/>
              </w:rPr>
            </w:pPr>
            <w:r>
              <w:rPr>
                <w:color w:val="auto"/>
                <w:sz w:val="21"/>
                <w:highlight w:val="none"/>
              </w:rPr>
              <w:t>HJ 694-2014《水质 汞、砷、硒、铋和锑的测定 原子荧光法》</w:t>
            </w:r>
          </w:p>
        </w:tc>
      </w:tr>
      <w:tr w14:paraId="4EA1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ADA9F3B">
            <w:pPr>
              <w:pStyle w:val="182"/>
              <w:rPr>
                <w:rFonts w:hint="default" w:ascii="Times New Roman" w:hAnsi="Times New Roman" w:cs="Times New Roman"/>
                <w:color w:val="000000"/>
              </w:rPr>
            </w:pPr>
            <w:r>
              <w:rPr>
                <w:rFonts w:hint="default" w:ascii="Times New Roman" w:hAnsi="Times New Roman" w:cs="Times New Roman"/>
                <w:color w:val="000000"/>
              </w:rPr>
              <w:t>15</w:t>
            </w:r>
          </w:p>
        </w:tc>
        <w:tc>
          <w:tcPr>
            <w:tcW w:w="1205" w:type="pct"/>
            <w:tcBorders>
              <w:top w:val="single" w:color="auto" w:sz="4" w:space="0"/>
              <w:left w:val="single" w:color="auto" w:sz="4" w:space="0"/>
              <w:bottom w:val="single" w:color="auto" w:sz="4" w:space="0"/>
              <w:right w:val="single" w:color="auto" w:sz="4" w:space="0"/>
            </w:tcBorders>
            <w:vAlign w:val="center"/>
          </w:tcPr>
          <w:p w14:paraId="101B770C">
            <w:pPr>
              <w:pStyle w:val="182"/>
              <w:rPr>
                <w:rFonts w:hint="default" w:ascii="Times New Roman" w:hAnsi="Times New Roman" w:cs="Times New Roman"/>
                <w:color w:val="000000"/>
              </w:rPr>
            </w:pPr>
            <w:r>
              <w:rPr>
                <w:rFonts w:hint="default" w:ascii="Times New Roman" w:hAnsi="Times New Roman" w:cs="Times New Roman"/>
                <w:color w:val="000000"/>
              </w:rPr>
              <w:t>砷</w:t>
            </w:r>
          </w:p>
        </w:tc>
        <w:tc>
          <w:tcPr>
            <w:tcW w:w="3315" w:type="pct"/>
            <w:tcBorders>
              <w:top w:val="single" w:color="auto" w:sz="4" w:space="0"/>
              <w:left w:val="single" w:color="auto" w:sz="4" w:space="0"/>
              <w:bottom w:val="single" w:color="auto" w:sz="4" w:space="0"/>
              <w:right w:val="single" w:color="auto" w:sz="4" w:space="0"/>
            </w:tcBorders>
            <w:vAlign w:val="center"/>
          </w:tcPr>
          <w:p w14:paraId="08B2CE52">
            <w:pPr>
              <w:pStyle w:val="182"/>
              <w:rPr>
                <w:rFonts w:hint="default" w:ascii="Times New Roman" w:hAnsi="Times New Roman" w:cs="Times New Roman"/>
                <w:color w:val="000000"/>
                <w:highlight w:val="none"/>
              </w:rPr>
            </w:pPr>
            <w:r>
              <w:rPr>
                <w:color w:val="auto"/>
                <w:sz w:val="21"/>
                <w:highlight w:val="none"/>
              </w:rPr>
              <w:t>HJ 694-2014《水质 汞、砷、硒、铋和锑的测定 原子荧光法》</w:t>
            </w:r>
          </w:p>
        </w:tc>
      </w:tr>
      <w:tr w14:paraId="075808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146C879">
            <w:pPr>
              <w:pStyle w:val="182"/>
              <w:rPr>
                <w:rFonts w:hint="default" w:ascii="Times New Roman" w:hAnsi="Times New Roman" w:cs="Times New Roman"/>
                <w:color w:val="000000"/>
              </w:rPr>
            </w:pPr>
            <w:r>
              <w:rPr>
                <w:rFonts w:hint="default" w:ascii="Times New Roman" w:hAnsi="Times New Roman" w:cs="Times New Roman"/>
                <w:color w:val="000000"/>
              </w:rPr>
              <w:t>16</w:t>
            </w:r>
          </w:p>
        </w:tc>
        <w:tc>
          <w:tcPr>
            <w:tcW w:w="1205" w:type="pct"/>
            <w:tcBorders>
              <w:top w:val="single" w:color="auto" w:sz="4" w:space="0"/>
              <w:left w:val="single" w:color="auto" w:sz="4" w:space="0"/>
              <w:bottom w:val="single" w:color="auto" w:sz="4" w:space="0"/>
              <w:right w:val="single" w:color="auto" w:sz="4" w:space="0"/>
            </w:tcBorders>
            <w:vAlign w:val="center"/>
          </w:tcPr>
          <w:p w14:paraId="03858681">
            <w:pPr>
              <w:pStyle w:val="182"/>
              <w:rPr>
                <w:rFonts w:hint="default" w:ascii="Times New Roman" w:hAnsi="Times New Roman" w:cs="Times New Roman"/>
                <w:color w:val="000000"/>
              </w:rPr>
            </w:pPr>
            <w:r>
              <w:rPr>
                <w:rFonts w:hint="default" w:ascii="Times New Roman" w:hAnsi="Times New Roman" w:cs="Times New Roman"/>
                <w:color w:val="000000"/>
              </w:rPr>
              <w:t>六价铬</w:t>
            </w:r>
          </w:p>
        </w:tc>
        <w:tc>
          <w:tcPr>
            <w:tcW w:w="3315" w:type="pct"/>
            <w:tcBorders>
              <w:top w:val="single" w:color="auto" w:sz="4" w:space="0"/>
              <w:left w:val="single" w:color="auto" w:sz="4" w:space="0"/>
              <w:bottom w:val="single" w:color="auto" w:sz="4" w:space="0"/>
              <w:right w:val="single" w:color="auto" w:sz="4" w:space="0"/>
            </w:tcBorders>
            <w:vAlign w:val="center"/>
          </w:tcPr>
          <w:p w14:paraId="3485AD59">
            <w:pPr>
              <w:pStyle w:val="182"/>
              <w:rPr>
                <w:rFonts w:hint="default" w:ascii="Times New Roman" w:hAnsi="Times New Roman" w:cs="Times New Roman"/>
                <w:color w:val="000000"/>
                <w:highlight w:val="none"/>
              </w:rPr>
            </w:pPr>
            <w:r>
              <w:rPr>
                <w:color w:val="auto"/>
                <w:sz w:val="21"/>
                <w:highlight w:val="none"/>
              </w:rPr>
              <w:t>GB 7467-87《水质 六价铬的测定 二苯碳酰二肼分光光度法》</w:t>
            </w:r>
          </w:p>
        </w:tc>
      </w:tr>
      <w:tr w14:paraId="45404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57564F4D">
            <w:pPr>
              <w:pStyle w:val="182"/>
              <w:rPr>
                <w:rFonts w:hint="default" w:ascii="Times New Roman" w:hAnsi="Times New Roman" w:cs="Times New Roman"/>
                <w:color w:val="000000"/>
              </w:rPr>
            </w:pPr>
            <w:r>
              <w:rPr>
                <w:rFonts w:hint="default" w:ascii="Times New Roman" w:hAnsi="Times New Roman" w:cs="Times New Roman"/>
                <w:color w:val="000000"/>
              </w:rPr>
              <w:t>17</w:t>
            </w:r>
          </w:p>
        </w:tc>
        <w:tc>
          <w:tcPr>
            <w:tcW w:w="1205" w:type="pct"/>
            <w:tcBorders>
              <w:top w:val="single" w:color="auto" w:sz="4" w:space="0"/>
              <w:left w:val="single" w:color="auto" w:sz="4" w:space="0"/>
              <w:bottom w:val="single" w:color="auto" w:sz="4" w:space="0"/>
              <w:right w:val="single" w:color="auto" w:sz="4" w:space="0"/>
            </w:tcBorders>
            <w:vAlign w:val="center"/>
          </w:tcPr>
          <w:p w14:paraId="252D2AF8">
            <w:pPr>
              <w:pStyle w:val="182"/>
              <w:rPr>
                <w:rFonts w:hint="default" w:ascii="Times New Roman" w:hAnsi="Times New Roman" w:cs="Times New Roman"/>
                <w:color w:val="000000"/>
              </w:rPr>
            </w:pPr>
            <w:r>
              <w:rPr>
                <w:rFonts w:hint="default" w:ascii="Times New Roman" w:hAnsi="Times New Roman" w:cs="Times New Roman"/>
                <w:color w:val="000000"/>
              </w:rPr>
              <w:t>石油类</w:t>
            </w:r>
          </w:p>
        </w:tc>
        <w:tc>
          <w:tcPr>
            <w:tcW w:w="3315" w:type="pct"/>
            <w:tcBorders>
              <w:top w:val="single" w:color="auto" w:sz="4" w:space="0"/>
              <w:left w:val="single" w:color="auto" w:sz="4" w:space="0"/>
              <w:bottom w:val="single" w:color="auto" w:sz="4" w:space="0"/>
              <w:right w:val="single" w:color="auto" w:sz="4" w:space="0"/>
            </w:tcBorders>
            <w:vAlign w:val="center"/>
          </w:tcPr>
          <w:p w14:paraId="50D63872">
            <w:pPr>
              <w:pStyle w:val="182"/>
              <w:rPr>
                <w:rFonts w:hint="default" w:ascii="Times New Roman" w:hAnsi="Times New Roman" w:cs="Times New Roman"/>
                <w:color w:val="000000"/>
                <w:highlight w:val="none"/>
              </w:rPr>
            </w:pPr>
            <w:r>
              <w:rPr>
                <w:color w:val="auto"/>
                <w:sz w:val="21"/>
                <w:highlight w:val="none"/>
              </w:rPr>
              <w:t>HJ 970 - 2018《水质 石油类的测定 紫外分光光度法（试行）》</w:t>
            </w:r>
          </w:p>
        </w:tc>
      </w:tr>
      <w:tr w14:paraId="5EA12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E817435">
            <w:pPr>
              <w:pStyle w:val="182"/>
              <w:rPr>
                <w:rFonts w:hint="default" w:ascii="Times New Roman" w:hAnsi="Times New Roman" w:cs="Times New Roman"/>
                <w:color w:val="000000"/>
              </w:rPr>
            </w:pPr>
            <w:r>
              <w:rPr>
                <w:rFonts w:hint="default" w:ascii="Times New Roman" w:hAnsi="Times New Roman" w:cs="Times New Roman"/>
                <w:color w:val="000000"/>
              </w:rPr>
              <w:t>18</w:t>
            </w:r>
          </w:p>
        </w:tc>
        <w:tc>
          <w:tcPr>
            <w:tcW w:w="1205" w:type="pct"/>
            <w:tcBorders>
              <w:top w:val="single" w:color="auto" w:sz="4" w:space="0"/>
              <w:left w:val="single" w:color="auto" w:sz="4" w:space="0"/>
              <w:bottom w:val="single" w:color="auto" w:sz="4" w:space="0"/>
              <w:right w:val="single" w:color="auto" w:sz="4" w:space="0"/>
            </w:tcBorders>
            <w:vAlign w:val="center"/>
          </w:tcPr>
          <w:p w14:paraId="5753ECC5">
            <w:pPr>
              <w:pStyle w:val="182"/>
              <w:rPr>
                <w:rFonts w:hint="default" w:ascii="Times New Roman" w:hAnsi="Times New Roman" w:cs="Times New Roman"/>
                <w:color w:val="000000"/>
              </w:rPr>
            </w:pPr>
            <w:r>
              <w:rPr>
                <w:rFonts w:hint="default" w:ascii="Times New Roman" w:hAnsi="Times New Roman" w:cs="Times New Roman"/>
                <w:color w:val="000000"/>
              </w:rPr>
              <w:t>硫化物</w:t>
            </w:r>
          </w:p>
        </w:tc>
        <w:tc>
          <w:tcPr>
            <w:tcW w:w="3315" w:type="pct"/>
            <w:tcBorders>
              <w:top w:val="single" w:color="auto" w:sz="4" w:space="0"/>
              <w:left w:val="single" w:color="auto" w:sz="4" w:space="0"/>
              <w:bottom w:val="single" w:color="auto" w:sz="4" w:space="0"/>
              <w:right w:val="single" w:color="auto" w:sz="4" w:space="0"/>
            </w:tcBorders>
            <w:vAlign w:val="center"/>
          </w:tcPr>
          <w:p w14:paraId="49AF2166">
            <w:pPr>
              <w:pStyle w:val="182"/>
              <w:rPr>
                <w:rFonts w:hint="eastAsia" w:ascii="Times New Roman" w:hAnsi="Times New Roman" w:eastAsia="宋体" w:cs="Times New Roman"/>
                <w:color w:val="000000"/>
                <w:lang w:eastAsia="zh-CN"/>
              </w:rPr>
            </w:pPr>
            <w:r>
              <w:rPr>
                <w:rFonts w:hint="default" w:ascii="Times New Roman" w:hAnsi="Times New Roman" w:cs="Times New Roman"/>
                <w:color w:val="000000"/>
              </w:rPr>
              <w:t>HJ 1226-2021</w:t>
            </w:r>
            <w:r>
              <w:rPr>
                <w:rFonts w:hint="eastAsia" w:ascii="Times New Roman" w:hAnsi="Times New Roman" w:cs="Times New Roman"/>
                <w:color w:val="000000"/>
                <w:lang w:eastAsia="zh-CN"/>
              </w:rPr>
              <w:t>《</w:t>
            </w:r>
            <w:r>
              <w:rPr>
                <w:color w:val="auto"/>
                <w:sz w:val="21"/>
              </w:rPr>
              <w:t>水质 硫化物的测定 亚甲蓝分光光度法</w:t>
            </w:r>
            <w:r>
              <w:rPr>
                <w:rFonts w:hint="eastAsia" w:ascii="Times New Roman" w:hAnsi="Times New Roman" w:cs="Times New Roman"/>
                <w:color w:val="000000"/>
                <w:lang w:eastAsia="zh-CN"/>
              </w:rPr>
              <w:t>》</w:t>
            </w:r>
          </w:p>
        </w:tc>
      </w:tr>
      <w:tr w14:paraId="553D9C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825F0C8">
            <w:pPr>
              <w:pStyle w:val="182"/>
              <w:rPr>
                <w:rFonts w:hint="default" w:ascii="Times New Roman" w:hAnsi="Times New Roman" w:cs="Times New Roman"/>
                <w:color w:val="000000"/>
              </w:rPr>
            </w:pPr>
            <w:r>
              <w:rPr>
                <w:rFonts w:hint="default" w:ascii="Times New Roman" w:hAnsi="Times New Roman" w:cs="Times New Roman"/>
                <w:color w:val="000000"/>
              </w:rPr>
              <w:t>19</w:t>
            </w:r>
          </w:p>
        </w:tc>
        <w:tc>
          <w:tcPr>
            <w:tcW w:w="1205" w:type="pct"/>
            <w:tcBorders>
              <w:top w:val="single" w:color="auto" w:sz="4" w:space="0"/>
              <w:left w:val="single" w:color="auto" w:sz="4" w:space="0"/>
              <w:bottom w:val="single" w:color="auto" w:sz="4" w:space="0"/>
              <w:right w:val="single" w:color="auto" w:sz="4" w:space="0"/>
            </w:tcBorders>
            <w:vAlign w:val="center"/>
          </w:tcPr>
          <w:p w14:paraId="129314DB">
            <w:pPr>
              <w:pStyle w:val="182"/>
              <w:rPr>
                <w:rFonts w:hint="default" w:ascii="Times New Roman" w:hAnsi="Times New Roman" w:cs="Times New Roman"/>
                <w:color w:val="000000"/>
              </w:rPr>
            </w:pPr>
            <w:r>
              <w:rPr>
                <w:rFonts w:hint="default" w:ascii="Times New Roman" w:hAnsi="Times New Roman" w:cs="Times New Roman"/>
                <w:color w:val="000000"/>
              </w:rPr>
              <w:t>阴离子表面活性剂</w:t>
            </w:r>
          </w:p>
        </w:tc>
        <w:tc>
          <w:tcPr>
            <w:tcW w:w="3315" w:type="pct"/>
            <w:tcBorders>
              <w:top w:val="single" w:color="auto" w:sz="4" w:space="0"/>
              <w:left w:val="single" w:color="auto" w:sz="4" w:space="0"/>
              <w:bottom w:val="single" w:color="auto" w:sz="4" w:space="0"/>
              <w:right w:val="single" w:color="auto" w:sz="4" w:space="0"/>
            </w:tcBorders>
            <w:vAlign w:val="center"/>
          </w:tcPr>
          <w:p w14:paraId="2F93D420">
            <w:pPr>
              <w:pStyle w:val="182"/>
              <w:rPr>
                <w:rFonts w:hint="default" w:ascii="Times New Roman" w:hAnsi="Times New Roman" w:cs="Times New Roman"/>
                <w:color w:val="000000"/>
              </w:rPr>
            </w:pPr>
            <w:r>
              <w:rPr>
                <w:rFonts w:hint="default" w:ascii="Times New Roman" w:hAnsi="Times New Roman" w:cs="Times New Roman"/>
                <w:color w:val="000000"/>
              </w:rPr>
              <w:t>GB/T 7494-1987（亚甲蓝分光光度法）</w:t>
            </w:r>
          </w:p>
        </w:tc>
      </w:tr>
      <w:tr w14:paraId="390C5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7B541C2">
            <w:pPr>
              <w:pStyle w:val="182"/>
              <w:rPr>
                <w:rFonts w:hint="default" w:ascii="Times New Roman" w:hAnsi="Times New Roman" w:cs="Times New Roman"/>
                <w:color w:val="000000"/>
              </w:rPr>
            </w:pPr>
            <w:r>
              <w:rPr>
                <w:rFonts w:hint="default" w:ascii="Times New Roman" w:hAnsi="Times New Roman" w:cs="Times New Roman"/>
                <w:color w:val="000000"/>
              </w:rPr>
              <w:t>20</w:t>
            </w:r>
          </w:p>
        </w:tc>
        <w:tc>
          <w:tcPr>
            <w:tcW w:w="1205" w:type="pct"/>
            <w:tcBorders>
              <w:top w:val="single" w:color="auto" w:sz="4" w:space="0"/>
              <w:left w:val="single" w:color="auto" w:sz="4" w:space="0"/>
              <w:bottom w:val="single" w:color="auto" w:sz="4" w:space="0"/>
              <w:right w:val="single" w:color="auto" w:sz="4" w:space="0"/>
            </w:tcBorders>
            <w:vAlign w:val="center"/>
          </w:tcPr>
          <w:p w14:paraId="3FA88EC9">
            <w:pPr>
              <w:pStyle w:val="182"/>
              <w:rPr>
                <w:rFonts w:hint="default" w:ascii="Times New Roman" w:hAnsi="Times New Roman" w:cs="Times New Roman"/>
                <w:color w:val="000000"/>
              </w:rPr>
            </w:pPr>
            <w:r>
              <w:rPr>
                <w:rFonts w:hint="default" w:ascii="Times New Roman" w:hAnsi="Times New Roman" w:cs="Times New Roman"/>
                <w:color w:val="000000"/>
              </w:rPr>
              <w:t>挥发酚</w:t>
            </w:r>
          </w:p>
        </w:tc>
        <w:tc>
          <w:tcPr>
            <w:tcW w:w="3315" w:type="pct"/>
            <w:tcBorders>
              <w:top w:val="single" w:color="auto" w:sz="4" w:space="0"/>
              <w:left w:val="single" w:color="auto" w:sz="4" w:space="0"/>
              <w:bottom w:val="single" w:color="auto" w:sz="4" w:space="0"/>
              <w:right w:val="single" w:color="auto" w:sz="4" w:space="0"/>
            </w:tcBorders>
            <w:vAlign w:val="center"/>
          </w:tcPr>
          <w:p w14:paraId="407A90A8">
            <w:pPr>
              <w:pStyle w:val="182"/>
              <w:rPr>
                <w:rFonts w:hint="default" w:ascii="Times New Roman" w:hAnsi="Times New Roman" w:cs="Times New Roman"/>
                <w:color w:val="000000"/>
              </w:rPr>
            </w:pPr>
            <w:r>
              <w:rPr>
                <w:rFonts w:hint="default" w:ascii="Times New Roman" w:hAnsi="Times New Roman" w:cs="Times New Roman"/>
                <w:color w:val="000000"/>
              </w:rPr>
              <w:t>HJ 503-2009（4-氨基安替比林分光光度法 -萃取法）</w:t>
            </w:r>
          </w:p>
        </w:tc>
      </w:tr>
      <w:tr w14:paraId="4EDA0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A4510FC">
            <w:pPr>
              <w:pStyle w:val="182"/>
              <w:rPr>
                <w:rFonts w:hint="default" w:ascii="Times New Roman" w:hAnsi="Times New Roman" w:cs="Times New Roman"/>
                <w:color w:val="000000"/>
              </w:rPr>
            </w:pPr>
            <w:r>
              <w:rPr>
                <w:rFonts w:hint="default" w:ascii="Times New Roman" w:hAnsi="Times New Roman" w:cs="Times New Roman"/>
                <w:color w:val="000000"/>
              </w:rPr>
              <w:t>21</w:t>
            </w:r>
          </w:p>
        </w:tc>
        <w:tc>
          <w:tcPr>
            <w:tcW w:w="1205" w:type="pct"/>
            <w:tcBorders>
              <w:top w:val="single" w:color="auto" w:sz="4" w:space="0"/>
              <w:left w:val="single" w:color="auto" w:sz="4" w:space="0"/>
              <w:bottom w:val="single" w:color="auto" w:sz="4" w:space="0"/>
              <w:right w:val="single" w:color="auto" w:sz="4" w:space="0"/>
            </w:tcBorders>
            <w:vAlign w:val="center"/>
          </w:tcPr>
          <w:p w14:paraId="36A96AC4">
            <w:pPr>
              <w:pStyle w:val="182"/>
              <w:rPr>
                <w:rFonts w:hint="default" w:ascii="Times New Roman" w:hAnsi="Times New Roman" w:cs="Times New Roman"/>
                <w:color w:val="000000"/>
              </w:rPr>
            </w:pPr>
            <w:r>
              <w:rPr>
                <w:rFonts w:hint="default" w:ascii="Times New Roman" w:hAnsi="Times New Roman" w:cs="Times New Roman"/>
                <w:color w:val="000000"/>
              </w:rPr>
              <w:t>氰化物</w:t>
            </w:r>
          </w:p>
        </w:tc>
        <w:tc>
          <w:tcPr>
            <w:tcW w:w="3315" w:type="pct"/>
            <w:tcBorders>
              <w:top w:val="single" w:color="auto" w:sz="4" w:space="0"/>
              <w:left w:val="single" w:color="auto" w:sz="4" w:space="0"/>
              <w:bottom w:val="single" w:color="auto" w:sz="4" w:space="0"/>
              <w:right w:val="single" w:color="auto" w:sz="4" w:space="0"/>
            </w:tcBorders>
            <w:vAlign w:val="center"/>
          </w:tcPr>
          <w:p w14:paraId="1C71A52A">
            <w:pPr>
              <w:pStyle w:val="182"/>
              <w:rPr>
                <w:rFonts w:hint="default" w:ascii="Times New Roman" w:hAnsi="Times New Roman" w:cs="Times New Roman"/>
                <w:color w:val="000000"/>
              </w:rPr>
            </w:pPr>
            <w:r>
              <w:rPr>
                <w:rFonts w:hint="default" w:ascii="Times New Roman" w:hAnsi="Times New Roman" w:cs="Times New Roman"/>
                <w:color w:val="000000"/>
              </w:rPr>
              <w:t>HJ 484-2009（异烟酸-吡唑啉酮分光光度法）</w:t>
            </w:r>
          </w:p>
        </w:tc>
      </w:tr>
      <w:tr w14:paraId="0FD7E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E1BBF70">
            <w:pPr>
              <w:pStyle w:val="182"/>
              <w:rPr>
                <w:rFonts w:hint="default" w:ascii="Times New Roman" w:hAnsi="Times New Roman" w:cs="Times New Roman"/>
                <w:color w:val="000000"/>
              </w:rPr>
            </w:pPr>
            <w:r>
              <w:rPr>
                <w:rFonts w:hint="default" w:ascii="Times New Roman" w:hAnsi="Times New Roman" w:cs="Times New Roman"/>
                <w:color w:val="000000"/>
              </w:rPr>
              <w:t>22</w:t>
            </w:r>
          </w:p>
        </w:tc>
        <w:tc>
          <w:tcPr>
            <w:tcW w:w="1205" w:type="pct"/>
            <w:tcBorders>
              <w:top w:val="single" w:color="auto" w:sz="4" w:space="0"/>
              <w:left w:val="single" w:color="auto" w:sz="4" w:space="0"/>
              <w:bottom w:val="single" w:color="auto" w:sz="4" w:space="0"/>
              <w:right w:val="single" w:color="auto" w:sz="4" w:space="0"/>
            </w:tcBorders>
            <w:vAlign w:val="center"/>
          </w:tcPr>
          <w:p w14:paraId="298BFF9C">
            <w:pPr>
              <w:pStyle w:val="182"/>
              <w:rPr>
                <w:rFonts w:hint="default" w:ascii="Times New Roman" w:hAnsi="Times New Roman" w:cs="Times New Roman"/>
                <w:color w:val="000000"/>
              </w:rPr>
            </w:pPr>
            <w:r>
              <w:rPr>
                <w:rFonts w:hint="default" w:ascii="Times New Roman" w:hAnsi="Times New Roman" w:cs="Times New Roman"/>
                <w:color w:val="000000"/>
              </w:rPr>
              <w:t>氟化物</w:t>
            </w:r>
          </w:p>
        </w:tc>
        <w:tc>
          <w:tcPr>
            <w:tcW w:w="3315" w:type="pct"/>
            <w:tcBorders>
              <w:top w:val="single" w:color="auto" w:sz="4" w:space="0"/>
              <w:left w:val="single" w:color="auto" w:sz="4" w:space="0"/>
              <w:bottom w:val="single" w:color="auto" w:sz="4" w:space="0"/>
              <w:right w:val="single" w:color="auto" w:sz="4" w:space="0"/>
            </w:tcBorders>
            <w:vAlign w:val="center"/>
          </w:tcPr>
          <w:p w14:paraId="7AD9C7EE">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GB 7484-87《水质氟化物的测定  离子选择电极法》</w:t>
            </w:r>
          </w:p>
        </w:tc>
      </w:tr>
      <w:tr w14:paraId="7D5196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7F30F5E">
            <w:pPr>
              <w:pStyle w:val="182"/>
              <w:rPr>
                <w:rFonts w:hint="default" w:ascii="Times New Roman" w:hAnsi="Times New Roman" w:cs="Times New Roman"/>
                <w:color w:val="000000"/>
              </w:rPr>
            </w:pPr>
            <w:r>
              <w:rPr>
                <w:rFonts w:hint="default" w:ascii="Times New Roman" w:hAnsi="Times New Roman" w:cs="Times New Roman"/>
                <w:color w:val="000000"/>
              </w:rPr>
              <w:t>23</w:t>
            </w:r>
          </w:p>
        </w:tc>
        <w:tc>
          <w:tcPr>
            <w:tcW w:w="1205" w:type="pct"/>
            <w:tcBorders>
              <w:top w:val="single" w:color="auto" w:sz="4" w:space="0"/>
              <w:left w:val="single" w:color="auto" w:sz="4" w:space="0"/>
              <w:bottom w:val="single" w:color="auto" w:sz="4" w:space="0"/>
              <w:right w:val="single" w:color="auto" w:sz="4" w:space="0"/>
            </w:tcBorders>
            <w:vAlign w:val="center"/>
          </w:tcPr>
          <w:p w14:paraId="72A16C80">
            <w:pPr>
              <w:pStyle w:val="182"/>
              <w:rPr>
                <w:rFonts w:hint="default" w:ascii="Times New Roman" w:hAnsi="Times New Roman" w:cs="Times New Roman"/>
                <w:color w:val="000000"/>
              </w:rPr>
            </w:pPr>
            <w:r>
              <w:rPr>
                <w:rFonts w:hint="default" w:ascii="Times New Roman" w:hAnsi="Times New Roman" w:cs="Times New Roman"/>
                <w:color w:val="000000"/>
              </w:rPr>
              <w:t>亚硝酸盐氮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35CC6529">
            <w:pPr>
              <w:pStyle w:val="182"/>
              <w:rPr>
                <w:rFonts w:hint="default" w:ascii="Times New Roman" w:hAnsi="Times New Roman" w:cs="Times New Roman"/>
                <w:color w:val="000000"/>
                <w:highlight w:val="none"/>
              </w:rPr>
            </w:pPr>
            <w:r>
              <w:rPr>
                <w:rFonts w:hint="eastAsia"/>
                <w:color w:val="auto"/>
                <w:sz w:val="21"/>
                <w:highlight w:val="none"/>
              </w:rPr>
              <w:t>HJ 84-2016</w:t>
            </w:r>
            <w:r>
              <w:rPr>
                <w:rFonts w:hint="eastAsia"/>
                <w:color w:val="auto"/>
                <w:sz w:val="21"/>
                <w:highlight w:val="none"/>
                <w:lang w:eastAsia="zh-CN"/>
              </w:rPr>
              <w:t>《</w:t>
            </w:r>
            <w:r>
              <w:rPr>
                <w:rFonts w:hint="eastAsia"/>
                <w:color w:val="auto"/>
                <w:sz w:val="21"/>
                <w:highlight w:val="none"/>
              </w:rPr>
              <w:t>水质 无机阴离子( F</w:t>
            </w:r>
            <w:r>
              <w:rPr>
                <w:rFonts w:hint="eastAsia"/>
                <w:color w:val="auto"/>
                <w:sz w:val="21"/>
                <w:highlight w:val="none"/>
                <w:vertAlign w:val="superscript"/>
                <w:lang w:val="en-US" w:eastAsia="zh-CN"/>
              </w:rPr>
              <w:t>-</w:t>
            </w:r>
            <w:r>
              <w:rPr>
                <w:rFonts w:hint="eastAsia"/>
                <w:color w:val="auto"/>
                <w:sz w:val="21"/>
                <w:highlight w:val="none"/>
              </w:rPr>
              <w:t>、Cl</w:t>
            </w:r>
            <w:r>
              <w:rPr>
                <w:rFonts w:hint="eastAsia"/>
                <w:color w:val="auto"/>
                <w:sz w:val="21"/>
                <w:highlight w:val="none"/>
                <w:vertAlign w:val="superscript"/>
                <w:lang w:val="en-US" w:eastAsia="zh-CN"/>
              </w:rPr>
              <w:t>-</w:t>
            </w:r>
            <w:r>
              <w:rPr>
                <w:rFonts w:hint="eastAsia"/>
                <w:color w:val="auto"/>
                <w:sz w:val="21"/>
                <w:highlight w:val="none"/>
              </w:rPr>
              <w:t>、NO</w:t>
            </w:r>
            <w:r>
              <w:rPr>
                <w:rFonts w:hint="eastAsia"/>
                <w:color w:val="auto"/>
                <w:sz w:val="21"/>
                <w:highlight w:val="none"/>
                <w:vertAlign w:val="superscript"/>
              </w:rPr>
              <w:t>2-</w:t>
            </w:r>
            <w:r>
              <w:rPr>
                <w:rFonts w:hint="eastAsia"/>
                <w:color w:val="auto"/>
                <w:sz w:val="21"/>
                <w:highlight w:val="none"/>
              </w:rPr>
              <w:t>、Br-、NO</w:t>
            </w:r>
            <w:r>
              <w:rPr>
                <w:rFonts w:hint="eastAsia"/>
                <w:color w:val="auto"/>
                <w:sz w:val="21"/>
                <w:highlight w:val="none"/>
                <w:vertAlign w:val="superscript"/>
              </w:rPr>
              <w:t>3-</w:t>
            </w:r>
            <w:r>
              <w:rPr>
                <w:rFonts w:hint="eastAsia"/>
                <w:color w:val="auto"/>
                <w:sz w:val="21"/>
                <w:highlight w:val="none"/>
              </w:rPr>
              <w:t>、PO</w:t>
            </w:r>
            <w:r>
              <w:rPr>
                <w:rFonts w:hint="eastAsia"/>
                <w:color w:val="auto"/>
                <w:sz w:val="21"/>
                <w:highlight w:val="none"/>
                <w:vertAlign w:val="subscript"/>
              </w:rPr>
              <w:t>4</w:t>
            </w:r>
            <w:r>
              <w:rPr>
                <w:rFonts w:hint="eastAsia"/>
                <w:color w:val="auto"/>
                <w:sz w:val="21"/>
                <w:highlight w:val="none"/>
                <w:vertAlign w:val="superscript"/>
              </w:rPr>
              <w:t>3-</w:t>
            </w:r>
            <w:r>
              <w:rPr>
                <w:rFonts w:hint="eastAsia"/>
                <w:color w:val="auto"/>
                <w:sz w:val="21"/>
                <w:highlight w:val="none"/>
              </w:rPr>
              <w:t>、SO</w:t>
            </w:r>
            <w:r>
              <w:rPr>
                <w:rFonts w:hint="eastAsia"/>
                <w:color w:val="auto"/>
                <w:sz w:val="21"/>
                <w:highlight w:val="none"/>
                <w:vertAlign w:val="subscript"/>
              </w:rPr>
              <w:t>3</w:t>
            </w:r>
            <w:r>
              <w:rPr>
                <w:rFonts w:hint="eastAsia"/>
                <w:color w:val="auto"/>
                <w:sz w:val="21"/>
                <w:highlight w:val="none"/>
                <w:vertAlign w:val="superscript"/>
              </w:rPr>
              <w:t>2-</w:t>
            </w:r>
            <w:r>
              <w:rPr>
                <w:rFonts w:hint="eastAsia"/>
                <w:color w:val="auto"/>
                <w:sz w:val="21"/>
                <w:highlight w:val="none"/>
              </w:rPr>
              <w:t>、SO</w:t>
            </w:r>
            <w:r>
              <w:rPr>
                <w:rFonts w:hint="eastAsia"/>
                <w:color w:val="auto"/>
                <w:sz w:val="21"/>
                <w:highlight w:val="none"/>
                <w:vertAlign w:val="subscript"/>
              </w:rPr>
              <w:t>4</w:t>
            </w:r>
            <w:r>
              <w:rPr>
                <w:rFonts w:hint="eastAsia"/>
                <w:color w:val="auto"/>
                <w:sz w:val="21"/>
                <w:highlight w:val="none"/>
                <w:vertAlign w:val="superscript"/>
              </w:rPr>
              <w:t>2-</w:t>
            </w:r>
            <w:r>
              <w:rPr>
                <w:rFonts w:hint="eastAsia"/>
                <w:color w:val="auto"/>
                <w:sz w:val="21"/>
                <w:highlight w:val="none"/>
              </w:rPr>
              <w:t>)的测定 离子色谱法</w:t>
            </w:r>
            <w:r>
              <w:rPr>
                <w:rFonts w:hint="eastAsia"/>
                <w:color w:val="auto"/>
                <w:sz w:val="21"/>
                <w:highlight w:val="none"/>
                <w:lang w:eastAsia="zh-CN"/>
              </w:rPr>
              <w:t>》</w:t>
            </w:r>
          </w:p>
        </w:tc>
      </w:tr>
      <w:tr w14:paraId="1D606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E0F7C2A">
            <w:pPr>
              <w:pStyle w:val="182"/>
              <w:rPr>
                <w:rFonts w:hint="default" w:ascii="Times New Roman" w:hAnsi="Times New Roman" w:cs="Times New Roman"/>
                <w:color w:val="000000"/>
              </w:rPr>
            </w:pPr>
            <w:r>
              <w:rPr>
                <w:rFonts w:hint="default" w:ascii="Times New Roman" w:hAnsi="Times New Roman" w:cs="Times New Roman"/>
                <w:color w:val="000000"/>
              </w:rPr>
              <w:t>24</w:t>
            </w:r>
          </w:p>
        </w:tc>
        <w:tc>
          <w:tcPr>
            <w:tcW w:w="1205" w:type="pct"/>
            <w:tcBorders>
              <w:top w:val="single" w:color="auto" w:sz="4" w:space="0"/>
              <w:left w:val="single" w:color="auto" w:sz="4" w:space="0"/>
              <w:bottom w:val="single" w:color="auto" w:sz="4" w:space="0"/>
              <w:right w:val="single" w:color="auto" w:sz="4" w:space="0"/>
            </w:tcBorders>
            <w:vAlign w:val="center"/>
          </w:tcPr>
          <w:p w14:paraId="731B2C00">
            <w:pPr>
              <w:pStyle w:val="182"/>
              <w:rPr>
                <w:rFonts w:hint="default" w:ascii="Times New Roman" w:hAnsi="Times New Roman" w:cs="Times New Roman"/>
                <w:color w:val="000000"/>
              </w:rPr>
            </w:pPr>
            <w:r>
              <w:rPr>
                <w:rFonts w:hint="default" w:ascii="Times New Roman" w:hAnsi="Times New Roman" w:cs="Times New Roman"/>
                <w:color w:val="000000"/>
              </w:rPr>
              <w:t>氨氮</w:t>
            </w:r>
          </w:p>
        </w:tc>
        <w:tc>
          <w:tcPr>
            <w:tcW w:w="3315" w:type="pct"/>
            <w:tcBorders>
              <w:top w:val="single" w:color="auto" w:sz="4" w:space="0"/>
              <w:left w:val="single" w:color="auto" w:sz="4" w:space="0"/>
              <w:bottom w:val="single" w:color="auto" w:sz="4" w:space="0"/>
              <w:right w:val="single" w:color="auto" w:sz="4" w:space="0"/>
            </w:tcBorders>
            <w:vAlign w:val="center"/>
          </w:tcPr>
          <w:p w14:paraId="7473E68C">
            <w:pPr>
              <w:pStyle w:val="182"/>
              <w:rPr>
                <w:rFonts w:hint="default" w:ascii="Times New Roman" w:hAnsi="Times New Roman" w:cs="Times New Roman"/>
                <w:color w:val="000000"/>
              </w:rPr>
            </w:pPr>
            <w:r>
              <w:rPr>
                <w:rFonts w:hint="default" w:ascii="Times New Roman" w:hAnsi="Times New Roman" w:cs="Times New Roman"/>
                <w:color w:val="000000"/>
              </w:rPr>
              <w:t>HJ535-2009（纳氏试剂分光光度法）</w:t>
            </w:r>
          </w:p>
        </w:tc>
      </w:tr>
      <w:tr w14:paraId="4E671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76C2B1F">
            <w:pPr>
              <w:pStyle w:val="182"/>
              <w:rPr>
                <w:rFonts w:hint="default" w:ascii="Times New Roman" w:hAnsi="Times New Roman" w:cs="Times New Roman"/>
                <w:color w:val="000000"/>
              </w:rPr>
            </w:pPr>
            <w:r>
              <w:rPr>
                <w:rFonts w:hint="default" w:ascii="Times New Roman" w:hAnsi="Times New Roman" w:cs="Times New Roman"/>
                <w:color w:val="000000"/>
              </w:rPr>
              <w:t>25</w:t>
            </w:r>
          </w:p>
        </w:tc>
        <w:tc>
          <w:tcPr>
            <w:tcW w:w="1205" w:type="pct"/>
            <w:tcBorders>
              <w:top w:val="single" w:color="auto" w:sz="4" w:space="0"/>
              <w:left w:val="single" w:color="auto" w:sz="4" w:space="0"/>
              <w:bottom w:val="single" w:color="auto" w:sz="4" w:space="0"/>
              <w:right w:val="single" w:color="auto" w:sz="4" w:space="0"/>
            </w:tcBorders>
            <w:vAlign w:val="center"/>
          </w:tcPr>
          <w:p w14:paraId="2BBEF1AB">
            <w:pPr>
              <w:pStyle w:val="182"/>
              <w:rPr>
                <w:rFonts w:hint="default" w:ascii="Times New Roman" w:hAnsi="Times New Roman" w:cs="Times New Roman"/>
                <w:color w:val="000000"/>
              </w:rPr>
            </w:pPr>
            <w:r>
              <w:rPr>
                <w:rFonts w:hint="default" w:ascii="Times New Roman" w:hAnsi="Times New Roman" w:cs="Times New Roman"/>
                <w:color w:val="000000"/>
              </w:rPr>
              <w:t>高锰酸盐指数</w:t>
            </w:r>
          </w:p>
        </w:tc>
        <w:tc>
          <w:tcPr>
            <w:tcW w:w="3315" w:type="pct"/>
            <w:tcBorders>
              <w:top w:val="single" w:color="auto" w:sz="4" w:space="0"/>
              <w:left w:val="single" w:color="auto" w:sz="4" w:space="0"/>
              <w:bottom w:val="single" w:color="auto" w:sz="4" w:space="0"/>
              <w:right w:val="single" w:color="auto" w:sz="4" w:space="0"/>
            </w:tcBorders>
            <w:vAlign w:val="center"/>
          </w:tcPr>
          <w:p w14:paraId="574A09CE">
            <w:pPr>
              <w:pStyle w:val="182"/>
              <w:rPr>
                <w:rFonts w:hint="default" w:ascii="Times New Roman" w:hAnsi="Times New Roman" w:cs="Times New Roman"/>
                <w:color w:val="000000"/>
              </w:rPr>
            </w:pPr>
            <w:r>
              <w:rPr>
                <w:rFonts w:hint="default" w:ascii="Times New Roman" w:hAnsi="Times New Roman" w:cs="Times New Roman"/>
                <w:color w:val="000000"/>
              </w:rPr>
              <w:t>GB/T11892-1989（高锰酸钾氧化法）</w:t>
            </w:r>
          </w:p>
        </w:tc>
      </w:tr>
      <w:tr w14:paraId="7A62F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41559DE">
            <w:pPr>
              <w:pStyle w:val="182"/>
              <w:rPr>
                <w:rFonts w:hint="default" w:ascii="Times New Roman" w:hAnsi="Times New Roman" w:cs="Times New Roman"/>
                <w:color w:val="000000"/>
              </w:rPr>
            </w:pPr>
            <w:r>
              <w:rPr>
                <w:rFonts w:hint="default" w:ascii="Times New Roman" w:hAnsi="Times New Roman" w:cs="Times New Roman"/>
                <w:color w:val="000000"/>
              </w:rPr>
              <w:t>26</w:t>
            </w:r>
          </w:p>
        </w:tc>
        <w:tc>
          <w:tcPr>
            <w:tcW w:w="1205" w:type="pct"/>
            <w:tcBorders>
              <w:top w:val="single" w:color="auto" w:sz="4" w:space="0"/>
              <w:left w:val="single" w:color="auto" w:sz="4" w:space="0"/>
              <w:bottom w:val="single" w:color="auto" w:sz="4" w:space="0"/>
              <w:right w:val="single" w:color="auto" w:sz="4" w:space="0"/>
            </w:tcBorders>
            <w:vAlign w:val="center"/>
          </w:tcPr>
          <w:p w14:paraId="2225761D">
            <w:pPr>
              <w:pStyle w:val="182"/>
              <w:rPr>
                <w:rFonts w:hint="default" w:ascii="Times New Roman" w:hAnsi="Times New Roman" w:cs="Times New Roman"/>
                <w:color w:val="000000"/>
              </w:rPr>
            </w:pPr>
            <w:r>
              <w:rPr>
                <w:rFonts w:hint="default" w:ascii="Times New Roman" w:hAnsi="Times New Roman" w:cs="Times New Roman"/>
                <w:color w:val="000000"/>
              </w:rPr>
              <w:t>硫酸盐(SO</w:t>
            </w:r>
            <w:r>
              <w:rPr>
                <w:rFonts w:hint="default" w:ascii="Times New Roman" w:hAnsi="Times New Roman" w:cs="Times New Roman"/>
                <w:color w:val="000000"/>
                <w:vertAlign w:val="subscript"/>
              </w:rPr>
              <w:t>4</w:t>
            </w:r>
            <w:r>
              <w:rPr>
                <w:rFonts w:hint="default" w:ascii="Times New Roman" w:hAnsi="Times New Roman" w:cs="Times New Roman"/>
                <w:color w:val="000000"/>
                <w:vertAlign w:val="superscript"/>
              </w:rPr>
              <w:t>2-</w:t>
            </w:r>
            <w:r>
              <w:rPr>
                <w:rFonts w:hint="default" w:ascii="Times New Roman" w:hAnsi="Times New Roman" w:cs="Times New Roman"/>
                <w:color w:val="000000"/>
              </w:rPr>
              <w:t>)</w:t>
            </w:r>
          </w:p>
        </w:tc>
        <w:tc>
          <w:tcPr>
            <w:tcW w:w="3315" w:type="pct"/>
            <w:tcBorders>
              <w:top w:val="single" w:color="auto" w:sz="4" w:space="0"/>
              <w:left w:val="single" w:color="auto" w:sz="4" w:space="0"/>
              <w:bottom w:val="single" w:color="auto" w:sz="4" w:space="0"/>
              <w:right w:val="single" w:color="auto" w:sz="4" w:space="0"/>
            </w:tcBorders>
            <w:vAlign w:val="center"/>
          </w:tcPr>
          <w:p w14:paraId="1230EF8F">
            <w:pPr>
              <w:pStyle w:val="182"/>
              <w:rPr>
                <w:rFonts w:hint="default" w:ascii="Times New Roman" w:hAnsi="Times New Roman" w:cs="Times New Roman"/>
                <w:color w:val="000000"/>
                <w:highlight w:val="none"/>
              </w:rPr>
            </w:pPr>
            <w:r>
              <w:rPr>
                <w:color w:val="auto"/>
                <w:sz w:val="21"/>
                <w:highlight w:val="none"/>
              </w:rPr>
              <w:t>GB 11899-89《水质 硫酸盐的测定 重量法》</w:t>
            </w:r>
          </w:p>
        </w:tc>
      </w:tr>
      <w:tr w14:paraId="4D5E8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42981C23">
            <w:pPr>
              <w:pStyle w:val="182"/>
              <w:rPr>
                <w:rFonts w:hint="default" w:ascii="Times New Roman" w:hAnsi="Times New Roman" w:cs="Times New Roman"/>
                <w:color w:val="000000"/>
              </w:rPr>
            </w:pPr>
            <w:r>
              <w:rPr>
                <w:rFonts w:hint="default" w:ascii="Times New Roman" w:hAnsi="Times New Roman" w:cs="Times New Roman"/>
                <w:color w:val="000000"/>
              </w:rPr>
              <w:t>27</w:t>
            </w:r>
          </w:p>
        </w:tc>
        <w:tc>
          <w:tcPr>
            <w:tcW w:w="1205" w:type="pct"/>
            <w:tcBorders>
              <w:top w:val="single" w:color="auto" w:sz="4" w:space="0"/>
              <w:left w:val="single" w:color="auto" w:sz="4" w:space="0"/>
              <w:bottom w:val="single" w:color="auto" w:sz="4" w:space="0"/>
              <w:right w:val="single" w:color="auto" w:sz="4" w:space="0"/>
            </w:tcBorders>
            <w:vAlign w:val="center"/>
          </w:tcPr>
          <w:p w14:paraId="607C54BD">
            <w:pPr>
              <w:pStyle w:val="182"/>
              <w:rPr>
                <w:rFonts w:hint="default" w:ascii="Times New Roman" w:hAnsi="Times New Roman" w:cs="Times New Roman"/>
                <w:color w:val="000000"/>
              </w:rPr>
            </w:pPr>
            <w:r>
              <w:rPr>
                <w:rFonts w:hint="default" w:ascii="Times New Roman" w:hAnsi="Times New Roman" w:cs="Times New Roman"/>
                <w:color w:val="000000"/>
              </w:rPr>
              <w:t>总硬度</w:t>
            </w:r>
          </w:p>
        </w:tc>
        <w:tc>
          <w:tcPr>
            <w:tcW w:w="3315" w:type="pct"/>
            <w:tcBorders>
              <w:top w:val="single" w:color="auto" w:sz="4" w:space="0"/>
              <w:left w:val="single" w:color="auto" w:sz="4" w:space="0"/>
              <w:bottom w:val="single" w:color="auto" w:sz="4" w:space="0"/>
              <w:right w:val="single" w:color="auto" w:sz="4" w:space="0"/>
            </w:tcBorders>
            <w:vAlign w:val="center"/>
          </w:tcPr>
          <w:p w14:paraId="1CCBB153">
            <w:pPr>
              <w:pStyle w:val="182"/>
              <w:rPr>
                <w:rFonts w:hint="default" w:ascii="Times New Roman" w:hAnsi="Times New Roman" w:cs="Times New Roman"/>
                <w:color w:val="000000"/>
              </w:rPr>
            </w:pPr>
            <w:r>
              <w:rPr>
                <w:rFonts w:hint="default" w:ascii="Times New Roman" w:hAnsi="Times New Roman" w:cs="Times New Roman"/>
                <w:color w:val="000000"/>
              </w:rPr>
              <w:t>GB/T 7477-1987（EDTA滴定法）</w:t>
            </w:r>
          </w:p>
        </w:tc>
      </w:tr>
      <w:tr w14:paraId="2EF13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F972E2C">
            <w:pPr>
              <w:pStyle w:val="182"/>
              <w:rPr>
                <w:rFonts w:hint="default" w:ascii="Times New Roman" w:hAnsi="Times New Roman" w:cs="Times New Roman"/>
                <w:color w:val="000000"/>
              </w:rPr>
            </w:pPr>
            <w:r>
              <w:rPr>
                <w:rFonts w:hint="default" w:ascii="Times New Roman" w:hAnsi="Times New Roman" w:cs="Times New Roman"/>
                <w:color w:val="000000"/>
              </w:rPr>
              <w:t>28</w:t>
            </w:r>
          </w:p>
        </w:tc>
        <w:tc>
          <w:tcPr>
            <w:tcW w:w="1205" w:type="pct"/>
            <w:tcBorders>
              <w:top w:val="single" w:color="auto" w:sz="4" w:space="0"/>
              <w:left w:val="single" w:color="auto" w:sz="4" w:space="0"/>
              <w:bottom w:val="single" w:color="auto" w:sz="4" w:space="0"/>
              <w:right w:val="single" w:color="auto" w:sz="4" w:space="0"/>
            </w:tcBorders>
            <w:vAlign w:val="center"/>
          </w:tcPr>
          <w:p w14:paraId="25D32055">
            <w:pPr>
              <w:pStyle w:val="182"/>
              <w:rPr>
                <w:rFonts w:hint="default" w:ascii="Times New Roman" w:hAnsi="Times New Roman" w:cs="Times New Roman"/>
                <w:color w:val="000000"/>
              </w:rPr>
            </w:pPr>
            <w:r>
              <w:rPr>
                <w:rFonts w:hint="default" w:ascii="Times New Roman" w:hAnsi="Times New Roman" w:cs="Times New Roman"/>
                <w:color w:val="000000"/>
              </w:rPr>
              <w:t>氯化物</w:t>
            </w:r>
          </w:p>
        </w:tc>
        <w:tc>
          <w:tcPr>
            <w:tcW w:w="3315" w:type="pct"/>
            <w:tcBorders>
              <w:top w:val="single" w:color="auto" w:sz="4" w:space="0"/>
              <w:left w:val="single" w:color="auto" w:sz="4" w:space="0"/>
              <w:bottom w:val="single" w:color="auto" w:sz="4" w:space="0"/>
              <w:right w:val="single" w:color="auto" w:sz="4" w:space="0"/>
            </w:tcBorders>
            <w:vAlign w:val="center"/>
          </w:tcPr>
          <w:p w14:paraId="2F8C2842">
            <w:pPr>
              <w:pStyle w:val="182"/>
              <w:rPr>
                <w:rFonts w:hint="default" w:ascii="Times New Roman" w:hAnsi="Times New Roman" w:cs="Times New Roman"/>
                <w:color w:val="000000"/>
              </w:rPr>
            </w:pPr>
            <w:r>
              <w:rPr>
                <w:rFonts w:hint="default" w:ascii="Times New Roman" w:hAnsi="Times New Roman" w:cs="Times New Roman"/>
                <w:color w:val="000000"/>
              </w:rPr>
              <w:t>GB/T 11896-1989（硝酸银滴定法）</w:t>
            </w:r>
          </w:p>
        </w:tc>
      </w:tr>
      <w:tr w14:paraId="2E542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77838671">
            <w:pPr>
              <w:pStyle w:val="182"/>
              <w:rPr>
                <w:rFonts w:hint="default" w:ascii="Times New Roman" w:hAnsi="Times New Roman" w:cs="Times New Roman"/>
                <w:color w:val="000000"/>
              </w:rPr>
            </w:pPr>
            <w:r>
              <w:rPr>
                <w:rFonts w:hint="default" w:ascii="Times New Roman" w:hAnsi="Times New Roman" w:cs="Times New Roman"/>
                <w:color w:val="000000"/>
              </w:rPr>
              <w:t>29</w:t>
            </w:r>
          </w:p>
        </w:tc>
        <w:tc>
          <w:tcPr>
            <w:tcW w:w="1205" w:type="pct"/>
            <w:tcBorders>
              <w:top w:val="single" w:color="auto" w:sz="4" w:space="0"/>
              <w:left w:val="single" w:color="auto" w:sz="4" w:space="0"/>
              <w:bottom w:val="single" w:color="auto" w:sz="4" w:space="0"/>
              <w:right w:val="single" w:color="auto" w:sz="4" w:space="0"/>
            </w:tcBorders>
            <w:vAlign w:val="center"/>
          </w:tcPr>
          <w:p w14:paraId="0BC99610">
            <w:pPr>
              <w:pStyle w:val="182"/>
              <w:rPr>
                <w:rFonts w:hint="default" w:ascii="Times New Roman" w:hAnsi="Times New Roman" w:cs="Times New Roman"/>
                <w:color w:val="000000"/>
              </w:rPr>
            </w:pPr>
            <w:r>
              <w:rPr>
                <w:rFonts w:hint="default" w:ascii="Times New Roman" w:hAnsi="Times New Roman" w:cs="Times New Roman"/>
                <w:color w:val="000000"/>
              </w:rPr>
              <w:t>pH</w:t>
            </w:r>
          </w:p>
        </w:tc>
        <w:tc>
          <w:tcPr>
            <w:tcW w:w="3315" w:type="pct"/>
            <w:tcBorders>
              <w:top w:val="single" w:color="auto" w:sz="4" w:space="0"/>
              <w:left w:val="single" w:color="auto" w:sz="4" w:space="0"/>
              <w:bottom w:val="single" w:color="auto" w:sz="4" w:space="0"/>
              <w:right w:val="single" w:color="auto" w:sz="4" w:space="0"/>
            </w:tcBorders>
            <w:vAlign w:val="center"/>
          </w:tcPr>
          <w:p w14:paraId="4F8EA4C6">
            <w:pPr>
              <w:pStyle w:val="182"/>
              <w:rPr>
                <w:rFonts w:hint="default" w:ascii="Times New Roman" w:hAnsi="Times New Roman" w:cs="Times New Roman"/>
                <w:color w:val="000000"/>
              </w:rPr>
            </w:pPr>
            <w:r>
              <w:rPr>
                <w:rFonts w:hint="default" w:ascii="Times New Roman" w:hAnsi="Times New Roman" w:cs="Times New Roman"/>
                <w:color w:val="000000"/>
              </w:rPr>
              <w:t>HJ1147-2020（电极法）</w:t>
            </w:r>
          </w:p>
        </w:tc>
      </w:tr>
      <w:tr w14:paraId="41AB6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E336C4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30</w:t>
            </w:r>
          </w:p>
        </w:tc>
        <w:tc>
          <w:tcPr>
            <w:tcW w:w="1205" w:type="pct"/>
            <w:tcBorders>
              <w:top w:val="single" w:color="auto" w:sz="4" w:space="0"/>
              <w:left w:val="single" w:color="auto" w:sz="4" w:space="0"/>
              <w:bottom w:val="single" w:color="auto" w:sz="4" w:space="0"/>
              <w:right w:val="single" w:color="auto" w:sz="4" w:space="0"/>
            </w:tcBorders>
            <w:vAlign w:val="center"/>
          </w:tcPr>
          <w:p w14:paraId="45CE648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浊度</w:t>
            </w:r>
          </w:p>
        </w:tc>
        <w:tc>
          <w:tcPr>
            <w:tcW w:w="3315" w:type="pct"/>
            <w:tcBorders>
              <w:top w:val="single" w:color="auto" w:sz="4" w:space="0"/>
              <w:left w:val="single" w:color="auto" w:sz="4" w:space="0"/>
              <w:bottom w:val="single" w:color="auto" w:sz="4" w:space="0"/>
              <w:right w:val="single" w:color="auto" w:sz="4" w:space="0"/>
            </w:tcBorders>
            <w:vAlign w:val="center"/>
          </w:tcPr>
          <w:p w14:paraId="19F4068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GB/T 13200-1991（分光光度法）</w:t>
            </w:r>
          </w:p>
        </w:tc>
      </w:tr>
      <w:tr w14:paraId="58CBE9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67B50A4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31</w:t>
            </w:r>
          </w:p>
        </w:tc>
        <w:tc>
          <w:tcPr>
            <w:tcW w:w="1205" w:type="pct"/>
            <w:tcBorders>
              <w:top w:val="single" w:color="auto" w:sz="4" w:space="0"/>
              <w:left w:val="single" w:color="auto" w:sz="4" w:space="0"/>
              <w:bottom w:val="single" w:color="auto" w:sz="4" w:space="0"/>
              <w:right w:val="single" w:color="auto" w:sz="4" w:space="0"/>
            </w:tcBorders>
            <w:vAlign w:val="center"/>
          </w:tcPr>
          <w:p w14:paraId="275802A3">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色度</w:t>
            </w:r>
          </w:p>
        </w:tc>
        <w:tc>
          <w:tcPr>
            <w:tcW w:w="3315" w:type="pct"/>
            <w:tcBorders>
              <w:top w:val="single" w:color="auto" w:sz="4" w:space="0"/>
              <w:left w:val="single" w:color="auto" w:sz="4" w:space="0"/>
              <w:bottom w:val="single" w:color="auto" w:sz="4" w:space="0"/>
              <w:right w:val="single" w:color="auto" w:sz="4" w:space="0"/>
            </w:tcBorders>
            <w:vAlign w:val="center"/>
          </w:tcPr>
          <w:p w14:paraId="7669ED9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GB/T 11903-1989（铂钴比色法）</w:t>
            </w:r>
          </w:p>
        </w:tc>
      </w:tr>
      <w:tr w14:paraId="1A85E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1C52B7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32</w:t>
            </w:r>
          </w:p>
        </w:tc>
        <w:tc>
          <w:tcPr>
            <w:tcW w:w="1205" w:type="pct"/>
            <w:tcBorders>
              <w:top w:val="single" w:color="auto" w:sz="4" w:space="0"/>
              <w:left w:val="single" w:color="auto" w:sz="4" w:space="0"/>
              <w:bottom w:val="single" w:color="auto" w:sz="4" w:space="0"/>
              <w:right w:val="single" w:color="auto" w:sz="4" w:space="0"/>
            </w:tcBorders>
            <w:vAlign w:val="center"/>
          </w:tcPr>
          <w:p w14:paraId="24207BE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铝</w:t>
            </w:r>
          </w:p>
        </w:tc>
        <w:tc>
          <w:tcPr>
            <w:tcW w:w="3315" w:type="pct"/>
            <w:tcBorders>
              <w:top w:val="single" w:color="auto" w:sz="4" w:space="0"/>
              <w:left w:val="single" w:color="auto" w:sz="4" w:space="0"/>
              <w:bottom w:val="single" w:color="auto" w:sz="4" w:space="0"/>
              <w:right w:val="single" w:color="auto" w:sz="4" w:space="0"/>
            </w:tcBorders>
            <w:vAlign w:val="center"/>
          </w:tcPr>
          <w:p w14:paraId="0D3DE4F9">
            <w:pPr>
              <w:pStyle w:val="182"/>
              <w:rPr>
                <w:rFonts w:hint="eastAsia" w:ascii="Times New Roman" w:hAnsi="Times New Roman" w:eastAsia="宋体" w:cs="Times New Roman"/>
                <w:color w:val="000000"/>
                <w:highlight w:val="none"/>
                <w:lang w:eastAsia="zh-CN"/>
              </w:rPr>
            </w:pPr>
            <w:r>
              <w:rPr>
                <w:rFonts w:hint="default" w:ascii="Times New Roman" w:hAnsi="Times New Roman" w:cs="Times New Roman"/>
                <w:color w:val="000000"/>
                <w:highlight w:val="none"/>
              </w:rPr>
              <w:t>HJ 776-2015</w:t>
            </w:r>
            <w:r>
              <w:rPr>
                <w:rFonts w:hint="eastAsia" w:ascii="Times New Roman" w:hAnsi="Times New Roman" w:cs="Times New Roman"/>
                <w:color w:val="000000"/>
                <w:highlight w:val="none"/>
                <w:lang w:eastAsia="zh-CN"/>
              </w:rPr>
              <w:t>《</w:t>
            </w:r>
            <w:r>
              <w:rPr>
                <w:rFonts w:hint="default" w:ascii="Times New Roman" w:hAnsi="Times New Roman" w:cs="Times New Roman"/>
                <w:color w:val="000000"/>
                <w:highlight w:val="none"/>
              </w:rPr>
              <w:t>水质 32种元素的测定 电感耦合等离子体发射光谱法</w:t>
            </w:r>
            <w:r>
              <w:rPr>
                <w:rFonts w:hint="eastAsia" w:ascii="Times New Roman" w:hAnsi="Times New Roman" w:cs="Times New Roman"/>
                <w:color w:val="000000"/>
                <w:highlight w:val="none"/>
                <w:lang w:eastAsia="zh-CN"/>
              </w:rPr>
              <w:t>》</w:t>
            </w:r>
          </w:p>
        </w:tc>
      </w:tr>
      <w:tr w14:paraId="0F7ED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D7D093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33</w:t>
            </w:r>
          </w:p>
        </w:tc>
        <w:tc>
          <w:tcPr>
            <w:tcW w:w="1205" w:type="pct"/>
            <w:tcBorders>
              <w:top w:val="single" w:color="auto" w:sz="4" w:space="0"/>
              <w:left w:val="single" w:color="auto" w:sz="4" w:space="0"/>
              <w:bottom w:val="single" w:color="auto" w:sz="4" w:space="0"/>
              <w:right w:val="single" w:color="auto" w:sz="4" w:space="0"/>
            </w:tcBorders>
            <w:vAlign w:val="center"/>
          </w:tcPr>
          <w:p w14:paraId="60D67B5C">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碘化物</w:t>
            </w:r>
          </w:p>
        </w:tc>
        <w:tc>
          <w:tcPr>
            <w:tcW w:w="3315" w:type="pct"/>
            <w:tcBorders>
              <w:top w:val="single" w:color="auto" w:sz="4" w:space="0"/>
              <w:left w:val="single" w:color="auto" w:sz="4" w:space="0"/>
              <w:bottom w:val="single" w:color="auto" w:sz="4" w:space="0"/>
              <w:right w:val="single" w:color="auto" w:sz="4" w:space="0"/>
            </w:tcBorders>
            <w:vAlign w:val="center"/>
          </w:tcPr>
          <w:p w14:paraId="1F475B1B">
            <w:pPr>
              <w:pStyle w:val="182"/>
              <w:jc w:val="both"/>
              <w:rPr>
                <w:rFonts w:hint="default" w:ascii="Times New Roman" w:hAnsi="Times New Roman" w:eastAsia="宋体" w:cs="Times New Roman"/>
                <w:color w:val="000000"/>
                <w:highlight w:val="none"/>
                <w:lang w:val="en-US" w:eastAsia="zh-CN"/>
              </w:rPr>
            </w:pPr>
            <w:r>
              <w:rPr>
                <w:rFonts w:hint="eastAsia" w:ascii="Times New Roman" w:hAnsi="Times New Roman" w:cs="Times New Roman"/>
                <w:color w:val="000000"/>
                <w:highlight w:val="none"/>
                <w:lang w:val="en-US" w:eastAsia="zh-CN"/>
              </w:rPr>
              <w:t>DZ/T0064.56-2021《地下水质分析方法 第56部分：碘化物的测定 淀粉分光光度法》</w:t>
            </w:r>
          </w:p>
        </w:tc>
      </w:tr>
      <w:tr w14:paraId="7E792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1001699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34</w:t>
            </w:r>
          </w:p>
        </w:tc>
        <w:tc>
          <w:tcPr>
            <w:tcW w:w="1205" w:type="pct"/>
            <w:tcBorders>
              <w:top w:val="single" w:color="auto" w:sz="4" w:space="0"/>
              <w:left w:val="single" w:color="auto" w:sz="4" w:space="0"/>
              <w:bottom w:val="single" w:color="auto" w:sz="4" w:space="0"/>
              <w:right w:val="single" w:color="auto" w:sz="4" w:space="0"/>
            </w:tcBorders>
            <w:vAlign w:val="center"/>
          </w:tcPr>
          <w:p w14:paraId="213C26D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硒</w:t>
            </w:r>
          </w:p>
        </w:tc>
        <w:tc>
          <w:tcPr>
            <w:tcW w:w="3315" w:type="pct"/>
            <w:tcBorders>
              <w:top w:val="single" w:color="auto" w:sz="4" w:space="0"/>
              <w:left w:val="single" w:color="auto" w:sz="4" w:space="0"/>
              <w:bottom w:val="single" w:color="auto" w:sz="4" w:space="0"/>
              <w:right w:val="single" w:color="auto" w:sz="4" w:space="0"/>
            </w:tcBorders>
            <w:vAlign w:val="center"/>
          </w:tcPr>
          <w:p w14:paraId="1BAAB1F1">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 694-2014（原子荧光法）</w:t>
            </w:r>
          </w:p>
        </w:tc>
      </w:tr>
      <w:tr w14:paraId="6880F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9001305">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35</w:t>
            </w:r>
          </w:p>
        </w:tc>
        <w:tc>
          <w:tcPr>
            <w:tcW w:w="1205" w:type="pct"/>
            <w:tcBorders>
              <w:top w:val="single" w:color="auto" w:sz="4" w:space="0"/>
              <w:left w:val="single" w:color="auto" w:sz="4" w:space="0"/>
              <w:bottom w:val="single" w:color="auto" w:sz="4" w:space="0"/>
              <w:right w:val="single" w:color="auto" w:sz="4" w:space="0"/>
            </w:tcBorders>
            <w:vAlign w:val="center"/>
          </w:tcPr>
          <w:p w14:paraId="62E64EE7">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石油烃（C</w:t>
            </w:r>
            <w:r>
              <w:rPr>
                <w:rFonts w:hint="default" w:ascii="Times New Roman" w:hAnsi="Times New Roman" w:cs="Times New Roman"/>
                <w:color w:val="000000"/>
                <w:highlight w:val="none"/>
                <w:vertAlign w:val="subscript"/>
              </w:rPr>
              <w:t>6</w:t>
            </w:r>
            <w:r>
              <w:rPr>
                <w:rFonts w:hint="default" w:ascii="Times New Roman" w:hAnsi="Times New Roman" w:cs="Times New Roman"/>
                <w:color w:val="000000"/>
                <w:highlight w:val="none"/>
              </w:rPr>
              <w:t>-C</w:t>
            </w:r>
            <w:r>
              <w:rPr>
                <w:rFonts w:hint="default" w:ascii="Times New Roman" w:hAnsi="Times New Roman" w:cs="Times New Roman"/>
                <w:color w:val="000000"/>
                <w:highlight w:val="none"/>
                <w:vertAlign w:val="subscript"/>
              </w:rPr>
              <w:t>9</w:t>
            </w:r>
            <w:r>
              <w:rPr>
                <w:rFonts w:hint="default" w:ascii="Times New Roman" w:hAnsi="Times New Roman" w:cs="Times New Roman"/>
                <w:color w:val="000000"/>
                <w:highlight w:val="none"/>
              </w:rPr>
              <w:t>）</w:t>
            </w:r>
          </w:p>
        </w:tc>
        <w:tc>
          <w:tcPr>
            <w:tcW w:w="3315" w:type="pct"/>
            <w:tcBorders>
              <w:top w:val="single" w:color="auto" w:sz="4" w:space="0"/>
              <w:left w:val="single" w:color="auto" w:sz="4" w:space="0"/>
              <w:bottom w:val="single" w:color="auto" w:sz="4" w:space="0"/>
              <w:right w:val="single" w:color="auto" w:sz="4" w:space="0"/>
            </w:tcBorders>
            <w:vAlign w:val="center"/>
          </w:tcPr>
          <w:p w14:paraId="386DD494">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HJ 893-2017（吹扫捕集/气相色谱法）</w:t>
            </w:r>
          </w:p>
        </w:tc>
      </w:tr>
      <w:tr w14:paraId="1653B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35B8F83F">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36</w:t>
            </w:r>
          </w:p>
        </w:tc>
        <w:tc>
          <w:tcPr>
            <w:tcW w:w="1205" w:type="pct"/>
            <w:tcBorders>
              <w:top w:val="single" w:color="auto" w:sz="4" w:space="0"/>
              <w:left w:val="single" w:color="auto" w:sz="4" w:space="0"/>
              <w:bottom w:val="single" w:color="auto" w:sz="4" w:space="0"/>
              <w:right w:val="single" w:color="auto" w:sz="4" w:space="0"/>
            </w:tcBorders>
            <w:vAlign w:val="center"/>
          </w:tcPr>
          <w:p w14:paraId="141852D8">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臭和味</w:t>
            </w:r>
          </w:p>
        </w:tc>
        <w:tc>
          <w:tcPr>
            <w:tcW w:w="3315" w:type="pct"/>
            <w:tcBorders>
              <w:top w:val="single" w:color="auto" w:sz="4" w:space="0"/>
              <w:left w:val="single" w:color="auto" w:sz="4" w:space="0"/>
              <w:bottom w:val="single" w:color="auto" w:sz="4" w:space="0"/>
              <w:right w:val="single" w:color="auto" w:sz="4" w:space="0"/>
            </w:tcBorders>
            <w:vAlign w:val="center"/>
          </w:tcPr>
          <w:p w14:paraId="042EE6AA">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GB/T 5750.4-2023（嗅气和尝味法）</w:t>
            </w:r>
          </w:p>
        </w:tc>
      </w:tr>
      <w:tr w14:paraId="07DEA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23E40E40">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37</w:t>
            </w:r>
          </w:p>
        </w:tc>
        <w:tc>
          <w:tcPr>
            <w:tcW w:w="1205" w:type="pct"/>
            <w:tcBorders>
              <w:top w:val="single" w:color="auto" w:sz="4" w:space="0"/>
              <w:left w:val="single" w:color="auto" w:sz="4" w:space="0"/>
              <w:bottom w:val="single" w:color="auto" w:sz="4" w:space="0"/>
              <w:right w:val="single" w:color="auto" w:sz="4" w:space="0"/>
            </w:tcBorders>
            <w:vAlign w:val="center"/>
          </w:tcPr>
          <w:p w14:paraId="7F036452">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肉眼可见物</w:t>
            </w:r>
          </w:p>
        </w:tc>
        <w:tc>
          <w:tcPr>
            <w:tcW w:w="3315" w:type="pct"/>
            <w:tcBorders>
              <w:top w:val="single" w:color="auto" w:sz="4" w:space="0"/>
              <w:left w:val="single" w:color="auto" w:sz="4" w:space="0"/>
              <w:bottom w:val="single" w:color="auto" w:sz="4" w:space="0"/>
              <w:right w:val="single" w:color="auto" w:sz="4" w:space="0"/>
            </w:tcBorders>
            <w:vAlign w:val="center"/>
          </w:tcPr>
          <w:p w14:paraId="402C8B09">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GB/T 5750.4-2023（直接观察法）</w:t>
            </w:r>
          </w:p>
        </w:tc>
      </w:tr>
      <w:tr w14:paraId="6B865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 w:type="pct"/>
            <w:tcBorders>
              <w:top w:val="single" w:color="auto" w:sz="4" w:space="0"/>
              <w:left w:val="single" w:color="auto" w:sz="4" w:space="0"/>
              <w:bottom w:val="single" w:color="auto" w:sz="4" w:space="0"/>
              <w:right w:val="single" w:color="auto" w:sz="4" w:space="0"/>
            </w:tcBorders>
            <w:vAlign w:val="center"/>
          </w:tcPr>
          <w:p w14:paraId="047238B6">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38</w:t>
            </w:r>
          </w:p>
        </w:tc>
        <w:tc>
          <w:tcPr>
            <w:tcW w:w="1205" w:type="pct"/>
            <w:tcBorders>
              <w:top w:val="single" w:color="auto" w:sz="4" w:space="0"/>
              <w:left w:val="single" w:color="auto" w:sz="4" w:space="0"/>
              <w:bottom w:val="single" w:color="auto" w:sz="4" w:space="0"/>
              <w:right w:val="single" w:color="auto" w:sz="4" w:space="0"/>
            </w:tcBorders>
            <w:vAlign w:val="center"/>
          </w:tcPr>
          <w:p w14:paraId="2CF6520B">
            <w:pPr>
              <w:pStyle w:val="182"/>
              <w:rPr>
                <w:rFonts w:hint="default" w:ascii="Times New Roman" w:hAnsi="Times New Roman" w:cs="Times New Roman"/>
                <w:color w:val="000000"/>
                <w:highlight w:val="none"/>
              </w:rPr>
            </w:pPr>
            <w:r>
              <w:rPr>
                <w:rFonts w:hint="default" w:ascii="Times New Roman" w:hAnsi="Times New Roman" w:cs="Times New Roman"/>
                <w:color w:val="000000"/>
                <w:highlight w:val="none"/>
              </w:rPr>
              <w:t>硝酸盐氮</w:t>
            </w:r>
          </w:p>
        </w:tc>
        <w:tc>
          <w:tcPr>
            <w:tcW w:w="3315" w:type="pct"/>
            <w:tcBorders>
              <w:top w:val="single" w:color="auto" w:sz="4" w:space="0"/>
              <w:left w:val="single" w:color="auto" w:sz="4" w:space="0"/>
              <w:bottom w:val="single" w:color="auto" w:sz="4" w:space="0"/>
              <w:right w:val="single" w:color="auto" w:sz="4" w:space="0"/>
            </w:tcBorders>
            <w:vAlign w:val="center"/>
          </w:tcPr>
          <w:p w14:paraId="00B6451E">
            <w:pPr>
              <w:pStyle w:val="182"/>
              <w:rPr>
                <w:rFonts w:hint="default" w:ascii="Times New Roman" w:hAnsi="Times New Roman" w:cs="Times New Roman"/>
                <w:color w:val="000000"/>
                <w:highlight w:val="none"/>
              </w:rPr>
            </w:pPr>
            <w:r>
              <w:rPr>
                <w:rFonts w:hint="eastAsia"/>
                <w:color w:val="auto"/>
                <w:sz w:val="21"/>
                <w:highlight w:val="none"/>
              </w:rPr>
              <w:t>HJ 84-2016</w:t>
            </w:r>
            <w:r>
              <w:rPr>
                <w:rFonts w:hint="eastAsia"/>
                <w:color w:val="auto"/>
                <w:sz w:val="21"/>
                <w:highlight w:val="none"/>
                <w:lang w:eastAsia="zh-CN"/>
              </w:rPr>
              <w:t>《</w:t>
            </w:r>
            <w:r>
              <w:rPr>
                <w:rFonts w:hint="eastAsia"/>
                <w:color w:val="auto"/>
                <w:sz w:val="21"/>
                <w:highlight w:val="none"/>
              </w:rPr>
              <w:t>水质 无机阴离子( F</w:t>
            </w:r>
            <w:r>
              <w:rPr>
                <w:rFonts w:hint="eastAsia"/>
                <w:color w:val="auto"/>
                <w:sz w:val="21"/>
                <w:highlight w:val="none"/>
                <w:vertAlign w:val="superscript"/>
              </w:rPr>
              <w:t>－</w:t>
            </w:r>
            <w:r>
              <w:rPr>
                <w:rFonts w:hint="eastAsia"/>
                <w:color w:val="auto"/>
                <w:sz w:val="21"/>
                <w:highlight w:val="none"/>
              </w:rPr>
              <w:t>、Cl</w:t>
            </w:r>
            <w:r>
              <w:rPr>
                <w:rFonts w:hint="eastAsia"/>
                <w:color w:val="auto"/>
                <w:sz w:val="21"/>
                <w:highlight w:val="none"/>
                <w:vertAlign w:val="superscript"/>
              </w:rPr>
              <w:t>－</w:t>
            </w:r>
            <w:r>
              <w:rPr>
                <w:rFonts w:hint="eastAsia"/>
                <w:color w:val="auto"/>
                <w:sz w:val="21"/>
                <w:highlight w:val="none"/>
              </w:rPr>
              <w:t>、NO</w:t>
            </w:r>
            <w:r>
              <w:rPr>
                <w:rFonts w:hint="eastAsia"/>
                <w:color w:val="auto"/>
                <w:sz w:val="21"/>
                <w:highlight w:val="none"/>
                <w:vertAlign w:val="superscript"/>
              </w:rPr>
              <w:t>2-</w:t>
            </w:r>
            <w:r>
              <w:rPr>
                <w:rFonts w:hint="eastAsia"/>
                <w:color w:val="auto"/>
                <w:sz w:val="21"/>
                <w:highlight w:val="none"/>
              </w:rPr>
              <w:t>、Br-、NO</w:t>
            </w:r>
            <w:r>
              <w:rPr>
                <w:rFonts w:hint="eastAsia"/>
                <w:color w:val="auto"/>
                <w:sz w:val="21"/>
                <w:highlight w:val="none"/>
                <w:vertAlign w:val="superscript"/>
              </w:rPr>
              <w:t>3-</w:t>
            </w:r>
            <w:r>
              <w:rPr>
                <w:rFonts w:hint="eastAsia"/>
                <w:color w:val="auto"/>
                <w:sz w:val="21"/>
                <w:highlight w:val="none"/>
              </w:rPr>
              <w:t>、PO</w:t>
            </w:r>
            <w:r>
              <w:rPr>
                <w:rFonts w:hint="eastAsia"/>
                <w:color w:val="auto"/>
                <w:sz w:val="21"/>
                <w:highlight w:val="none"/>
                <w:vertAlign w:val="subscript"/>
              </w:rPr>
              <w:t>4</w:t>
            </w:r>
            <w:r>
              <w:rPr>
                <w:rFonts w:hint="eastAsia"/>
                <w:color w:val="auto"/>
                <w:sz w:val="21"/>
                <w:highlight w:val="none"/>
                <w:vertAlign w:val="superscript"/>
              </w:rPr>
              <w:t>3-</w:t>
            </w:r>
            <w:r>
              <w:rPr>
                <w:rFonts w:hint="eastAsia"/>
                <w:color w:val="auto"/>
                <w:sz w:val="21"/>
                <w:highlight w:val="none"/>
              </w:rPr>
              <w:t>、SO</w:t>
            </w:r>
            <w:r>
              <w:rPr>
                <w:rFonts w:hint="eastAsia"/>
                <w:color w:val="auto"/>
                <w:sz w:val="21"/>
                <w:highlight w:val="none"/>
                <w:vertAlign w:val="subscript"/>
              </w:rPr>
              <w:t>3</w:t>
            </w:r>
            <w:r>
              <w:rPr>
                <w:rFonts w:hint="eastAsia"/>
                <w:color w:val="auto"/>
                <w:sz w:val="21"/>
                <w:highlight w:val="none"/>
                <w:vertAlign w:val="superscript"/>
              </w:rPr>
              <w:t>2-</w:t>
            </w:r>
            <w:r>
              <w:rPr>
                <w:rFonts w:hint="eastAsia"/>
                <w:color w:val="auto"/>
                <w:sz w:val="21"/>
                <w:highlight w:val="none"/>
              </w:rPr>
              <w:t>、SO</w:t>
            </w:r>
            <w:r>
              <w:rPr>
                <w:rFonts w:hint="eastAsia"/>
                <w:color w:val="auto"/>
                <w:sz w:val="21"/>
                <w:highlight w:val="none"/>
                <w:vertAlign w:val="subscript"/>
              </w:rPr>
              <w:t>4</w:t>
            </w:r>
            <w:r>
              <w:rPr>
                <w:rFonts w:hint="eastAsia"/>
                <w:color w:val="auto"/>
                <w:sz w:val="21"/>
                <w:highlight w:val="none"/>
                <w:vertAlign w:val="superscript"/>
              </w:rPr>
              <w:t>2-</w:t>
            </w:r>
            <w:r>
              <w:rPr>
                <w:rFonts w:hint="eastAsia"/>
                <w:color w:val="auto"/>
                <w:sz w:val="21"/>
                <w:highlight w:val="none"/>
              </w:rPr>
              <w:t>)的测定 离子色谱法</w:t>
            </w:r>
            <w:r>
              <w:rPr>
                <w:rFonts w:hint="eastAsia"/>
                <w:color w:val="auto"/>
                <w:sz w:val="21"/>
                <w:highlight w:val="none"/>
                <w:lang w:eastAsia="zh-CN"/>
              </w:rPr>
              <w:t>》</w:t>
            </w:r>
          </w:p>
        </w:tc>
      </w:tr>
    </w:tbl>
    <w:p w14:paraId="57062B8B">
      <w:pPr>
        <w:pStyle w:val="2"/>
        <w:rPr>
          <w:rFonts w:hint="default" w:ascii="Times New Roman" w:hAnsi="Times New Roman" w:cs="Times New Roman"/>
          <w:color w:val="000000"/>
        </w:rPr>
      </w:pPr>
      <w:r>
        <w:rPr>
          <w:rFonts w:hint="default" w:ascii="Times New Roman" w:hAnsi="Times New Roman" w:cs="Times New Roman"/>
          <w:color w:val="000000"/>
          <w:highlight w:val="none"/>
        </w:rPr>
        <w:t>质量保证和质量控制</w:t>
      </w:r>
    </w:p>
    <w:p w14:paraId="22C15C3F">
      <w:pPr>
        <w:ind w:firstLine="480"/>
        <w:rPr>
          <w:rFonts w:hint="default" w:ascii="Times New Roman" w:hAnsi="Times New Roman" w:cs="Times New Roman"/>
          <w:color w:val="000000"/>
        </w:rPr>
      </w:pPr>
      <w:r>
        <w:rPr>
          <w:rFonts w:hint="default" w:ascii="Times New Roman" w:hAnsi="Times New Roman" w:cs="Times New Roman"/>
          <w:color w:val="000000"/>
        </w:rPr>
        <w:t>根据自行监测方案，建立自行监测质量管理制度，按照相关技术规范要求做监测质量保证与质量控制。</w:t>
      </w:r>
    </w:p>
    <w:p w14:paraId="6EFCB42D">
      <w:pPr>
        <w:ind w:firstLine="480"/>
        <w:rPr>
          <w:rFonts w:hint="default" w:ascii="Times New Roman" w:hAnsi="Times New Roman" w:cs="Times New Roman"/>
          <w:color w:val="auto"/>
          <w:highlight w:val="none"/>
        </w:rPr>
      </w:pPr>
      <w:r>
        <w:rPr>
          <w:rFonts w:hint="default" w:ascii="Times New Roman" w:hAnsi="Times New Roman" w:cs="Times New Roman"/>
          <w:color w:val="000000"/>
        </w:rPr>
        <w:t>监测</w:t>
      </w:r>
      <w:r>
        <w:rPr>
          <w:rFonts w:hint="default" w:ascii="Times New Roman" w:hAnsi="Times New Roman" w:cs="Times New Roman"/>
          <w:color w:val="auto"/>
          <w:highlight w:val="none"/>
        </w:rPr>
        <w:t>数据记录、整理、存档要求：建立环境监测台账管理制度，设置（专）职人员进行检测报告的管理，（原始记录）整理，维护和管理，检测报告、原始记录保存期限不得少于五年，并依据相关法规向社会公开监测结果。</w:t>
      </w:r>
    </w:p>
    <w:p w14:paraId="6F9913A3">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各类污染物采用国家和</w:t>
      </w:r>
      <w:r>
        <w:rPr>
          <w:rFonts w:hint="eastAsia" w:cs="Times New Roman"/>
          <w:color w:val="auto"/>
          <w:highlight w:val="none"/>
          <w:lang w:val="en-US" w:eastAsia="zh-CN"/>
        </w:rPr>
        <w:t>河南</w:t>
      </w:r>
      <w:r>
        <w:rPr>
          <w:rFonts w:hint="default" w:ascii="Times New Roman" w:hAnsi="Times New Roman" w:cs="Times New Roman"/>
          <w:color w:val="auto"/>
          <w:highlight w:val="none"/>
        </w:rPr>
        <w:t>省相关污染物排放标准、现行的生态环境部发布的国家或行业环境监测方法标准和技术规范规定的监测方法开展监测。本企业委托有资质的监测机构开展手工监测，严格遵从《环境监测质量管理技术导则》HJ630-2011。手工监测的质量控制措施主要为以下几项：</w:t>
      </w:r>
    </w:p>
    <w:p w14:paraId="5E9346A1">
      <w:pPr>
        <w:ind w:firstLine="480"/>
        <w:rPr>
          <w:rFonts w:hint="default" w:ascii="Times New Roman" w:hAnsi="Times New Roman" w:cs="Times New Roman"/>
          <w:color w:val="auto"/>
          <w:highlight w:val="none"/>
        </w:rPr>
      </w:pPr>
      <w:r>
        <w:rPr>
          <w:rFonts w:hint="default" w:ascii="Times New Roman" w:hAnsi="Times New Roman" w:cs="Times New Roman"/>
          <w:color w:val="auto"/>
          <w:highlight w:val="none"/>
        </w:rPr>
        <w:t>1、严格执行监测方案。</w:t>
      </w:r>
      <w:r>
        <w:rPr>
          <w:rFonts w:hint="eastAsia" w:cs="Times New Roman"/>
          <w:color w:val="auto"/>
          <w:highlight w:val="none"/>
          <w:lang w:val="en-US" w:eastAsia="zh-CN"/>
        </w:rPr>
        <w:t>采油一厂</w:t>
      </w:r>
      <w:r>
        <w:rPr>
          <w:rFonts w:hint="default" w:ascii="Times New Roman" w:hAnsi="Times New Roman" w:cs="Times New Roman"/>
          <w:color w:val="auto"/>
          <w:highlight w:val="none"/>
        </w:rPr>
        <w:t>自行监测方案中要求委托方认真如实填写各项自行监测记录及检验记录，并妥善保存好相关记录和台账，包括采样记录、样品保存及运输流转记录、分析测试记录、监测报告等。</w:t>
      </w:r>
    </w:p>
    <w:p w14:paraId="5309766A">
      <w:pPr>
        <w:ind w:firstLine="480"/>
        <w:rPr>
          <w:rFonts w:hint="default" w:ascii="Times New Roman" w:hAnsi="Times New Roman" w:cs="Times New Roman"/>
          <w:color w:val="000000"/>
        </w:rPr>
      </w:pPr>
      <w:r>
        <w:rPr>
          <w:rFonts w:hint="default" w:ascii="Times New Roman" w:hAnsi="Times New Roman" w:cs="Times New Roman"/>
          <w:color w:val="auto"/>
          <w:highlight w:val="none"/>
        </w:rPr>
        <w:t>2、监测数据质量保证和质量控制严格执行</w:t>
      </w:r>
      <w:r>
        <w:rPr>
          <w:rFonts w:hint="default" w:ascii="Times New Roman" w:hAnsi="Times New Roman" w:cs="Times New Roman"/>
          <w:color w:val="000000"/>
        </w:rPr>
        <w:t>国家及生态环境部门的环境监测技术规范和环境监测质量管理规定，实行全过程的质量控制措施。委托方所使用的仪器设备均需按要求取得检定或校准证书后方可使用，并将证书复印件交由我公司存档保存。</w:t>
      </w:r>
    </w:p>
    <w:p w14:paraId="2D1097E0">
      <w:pPr>
        <w:ind w:firstLine="480"/>
        <w:rPr>
          <w:rFonts w:hint="default" w:ascii="Times New Roman" w:hAnsi="Times New Roman" w:cs="Times New Roman"/>
          <w:color w:val="000000"/>
        </w:rPr>
      </w:pPr>
      <w:r>
        <w:rPr>
          <w:rFonts w:hint="default" w:ascii="Times New Roman" w:hAnsi="Times New Roman" w:cs="Times New Roman"/>
          <w:color w:val="000000"/>
        </w:rPr>
        <w:t>3、若委托方（第三方检测公司）在监测过程中存在需要分包的项目需要向我公司提交书面申请，并将分包方的资质及其它相关材料随监测报告一同交由我公司保存。</w:t>
      </w:r>
    </w:p>
    <w:p w14:paraId="709F3E45">
      <w:pPr>
        <w:ind w:firstLine="480"/>
        <w:rPr>
          <w:rFonts w:hint="default" w:ascii="Times New Roman" w:hAnsi="Times New Roman" w:cs="Times New Roman"/>
          <w:color w:val="000000"/>
        </w:rPr>
      </w:pPr>
      <w:r>
        <w:rPr>
          <w:rFonts w:hint="default" w:ascii="Times New Roman" w:hAnsi="Times New Roman" w:cs="Times New Roman"/>
          <w:color w:val="000000"/>
        </w:rPr>
        <w:t>4、委托方（第三方检测公司）需严格按照国家和生态环境部对监测数据实行质量保证和控制措施。对实验室分析质量控制还需要进行内部质量控制，监测人员应执行相应监测方法中的质量保证与质量控制规定，此外还需实行采取以下内部质量控制措施。</w:t>
      </w:r>
    </w:p>
    <w:p w14:paraId="2824CB5D">
      <w:pPr>
        <w:ind w:firstLine="480"/>
        <w:rPr>
          <w:rFonts w:hint="default" w:ascii="Times New Roman" w:hAnsi="Times New Roman" w:cs="Times New Roman"/>
          <w:color w:val="000000"/>
        </w:rPr>
      </w:pPr>
      <w:r>
        <w:rPr>
          <w:rFonts w:hint="default" w:ascii="Times New Roman" w:hAnsi="Times New Roman" w:cs="Times New Roman"/>
          <w:color w:val="000000"/>
        </w:rPr>
        <w:t>空白样品（包括全程序空白、采样器具空白、运输空白、现场空白和实验室空白等）测定结果一般应低于方法检出限。一般情况下，不应从样品测定结果中扣除全程序空白样品的测定结果。</w:t>
      </w:r>
    </w:p>
    <w:p w14:paraId="269A70A6">
      <w:pPr>
        <w:ind w:firstLine="480"/>
        <w:rPr>
          <w:rFonts w:hint="default" w:ascii="Times New Roman" w:hAnsi="Times New Roman" w:cs="Times New Roman"/>
          <w:color w:val="000000"/>
        </w:rPr>
      </w:pPr>
      <w:r>
        <w:rPr>
          <w:rFonts w:hint="default" w:ascii="Times New Roman" w:hAnsi="Times New Roman" w:cs="Times New Roman"/>
          <w:color w:val="000000"/>
        </w:rPr>
        <w:t>校准曲线采用校准曲线法进行定量分析时，仅限在其线性范围内使用。必要时，对校准曲线的相关性、精密度和置信区间进行统计分析，检验斜率、截距和相关系数是否满足标准方法的要求。若不满足，需从分析方法、仪器设备、量器、试剂和操作等方面查找原因，改进后重新绘制校准曲线。校准曲线不得长期使用，不得相互借用。一般情况下，校准曲线应与样品测定同时进行。</w:t>
      </w:r>
    </w:p>
    <w:p w14:paraId="0DE05D2F">
      <w:pPr>
        <w:ind w:firstLine="480"/>
        <w:rPr>
          <w:rFonts w:hint="default" w:ascii="Times New Roman" w:hAnsi="Times New Roman" w:cs="Times New Roman"/>
          <w:color w:val="000000"/>
        </w:rPr>
      </w:pPr>
      <w:r>
        <w:rPr>
          <w:rFonts w:hint="default" w:ascii="Times New Roman" w:hAnsi="Times New Roman" w:cs="Times New Roman"/>
          <w:color w:val="000000"/>
        </w:rPr>
        <w:t>方法检出限和测定下限开展监测项目前，应通过实验确定方法检出限，并满足方法要求。方法检出限和测定下限的计算方法执行《环境监测分析方法标准制修订技术导则》 HJ 168-2010中的相关规定。</w:t>
      </w:r>
    </w:p>
    <w:p w14:paraId="7363957C">
      <w:pPr>
        <w:ind w:firstLine="480"/>
        <w:rPr>
          <w:rFonts w:hint="default" w:ascii="Times New Roman" w:hAnsi="Times New Roman" w:cs="Times New Roman"/>
          <w:color w:val="000000"/>
        </w:rPr>
      </w:pPr>
      <w:r>
        <w:rPr>
          <w:rFonts w:hint="default" w:ascii="Times New Roman" w:hAnsi="Times New Roman" w:cs="Times New Roman"/>
          <w:color w:val="000000"/>
        </w:rPr>
        <w:t>平行样测定应按方法要求随机抽取一定比例的样品做平行样品测定，在采集的一批样品内，平行样数量至少占采样总数量的10%以上。</w:t>
      </w:r>
    </w:p>
    <w:p w14:paraId="4E6AA5D7">
      <w:pPr>
        <w:ind w:firstLine="480"/>
        <w:rPr>
          <w:rFonts w:hint="default" w:ascii="Times New Roman" w:hAnsi="Times New Roman" w:cs="Times New Roman"/>
          <w:color w:val="000000"/>
        </w:rPr>
      </w:pPr>
      <w:r>
        <w:rPr>
          <w:rFonts w:hint="default" w:ascii="Times New Roman" w:hAnsi="Times New Roman" w:cs="Times New Roman"/>
          <w:color w:val="000000"/>
        </w:rPr>
        <w:t>加标回收率测定加标回收实验包括空白加标、基体加标及基体加标平行等。空白加标在与样品相同的前处理和测定条件下进行分析。基体加标和基体加标平行是在样品前处理之前加标，加标样品与样品在相同的前处理和测定条件下进行分析。在实际应用时应注意加标物质的形态、加标量和加标的基体。加标量一般为样品浓度的0.5～3倍，且加标后的总浓度不应超过分析方法的测定上限。样品中待测物浓度在方法检出限附近时，加标量应控制在校准曲线的低浓度范围。加标后样品体积应无显著变化，否则应在计算回收率时考虑这项因素。每批相同基体类型的样品应随机抽取一定比例样品进行加标回收及其平行样测定。</w:t>
      </w:r>
    </w:p>
    <w:p w14:paraId="6C69033E">
      <w:pPr>
        <w:ind w:firstLine="480"/>
        <w:rPr>
          <w:rFonts w:hint="default" w:ascii="Times New Roman" w:hAnsi="Times New Roman" w:cs="Times New Roman"/>
          <w:color w:val="000000"/>
        </w:rPr>
      </w:pPr>
      <w:r>
        <w:rPr>
          <w:rFonts w:hint="default" w:ascii="Times New Roman" w:hAnsi="Times New Roman" w:cs="Times New Roman"/>
          <w:color w:val="000000"/>
        </w:rPr>
        <w:t>标准样品/有证标准物质测定监测工作中应使用标准样品/有证标准物质或能够溯源到国家基准的物质。应有标准样品/有证标准物质的管理程序，对其购置、核查、使用、运输、存储和安全处置等进行规定。标准样品/有证标准物质应与样品同步测定。进行质量控制时，标准样品/有证标准物质不应与绘制校准曲线的标准溶液来源相同。 应尽可能选择与样品基体类似的标准样品/有证标准物质进行测定，用于评价分析方法的准确度或检查实验室（或操作人员）是否存在系统误差。</w:t>
      </w:r>
    </w:p>
    <w:p w14:paraId="13AE4F12">
      <w:pPr>
        <w:ind w:firstLine="480"/>
        <w:rPr>
          <w:rFonts w:hint="default" w:ascii="Times New Roman" w:hAnsi="Times New Roman" w:cs="Times New Roman"/>
          <w:color w:val="000000"/>
        </w:rPr>
      </w:pPr>
      <w:r>
        <w:rPr>
          <w:rFonts w:hint="default" w:ascii="Times New Roman" w:hAnsi="Times New Roman" w:cs="Times New Roman"/>
          <w:color w:val="000000"/>
        </w:rPr>
        <w:t>方法比对或仪器比对对同一样品或一组样品可用不同的方法或不同的仪器进行比对测定分析，以检查分析结果的一致性。</w:t>
      </w:r>
    </w:p>
    <w:p w14:paraId="211C2E99">
      <w:pPr>
        <w:pStyle w:val="2"/>
        <w:rPr>
          <w:rFonts w:hint="default" w:ascii="Times New Roman" w:hAnsi="Times New Roman" w:cs="Times New Roman"/>
          <w:color w:val="000000"/>
        </w:rPr>
      </w:pPr>
      <w:r>
        <w:rPr>
          <w:rFonts w:hint="default" w:ascii="Times New Roman" w:hAnsi="Times New Roman" w:cs="Times New Roman"/>
          <w:color w:val="000000"/>
        </w:rPr>
        <w:t>监测信息记录及保存</w:t>
      </w:r>
    </w:p>
    <w:p w14:paraId="51345AE1">
      <w:pPr>
        <w:ind w:firstLine="480"/>
        <w:rPr>
          <w:rFonts w:hint="default" w:ascii="Times New Roman" w:hAnsi="Times New Roman" w:cs="Times New Roman"/>
          <w:color w:val="000000"/>
        </w:rPr>
      </w:pPr>
      <w:r>
        <w:rPr>
          <w:rFonts w:hint="default" w:ascii="Times New Roman" w:hAnsi="Times New Roman" w:cs="Times New Roman"/>
          <w:color w:val="000000"/>
        </w:rPr>
        <w:t>按照要求建立完整的监测档案信息管理制度，保存原始监测记录和监测数据报告，监测期间生产记录以及企业委托手工监测或第三方运维自动监测设备的委托合同、承担委托任务单位的资质和单位基本情况等资料。由我</w:t>
      </w:r>
      <w:r>
        <w:rPr>
          <w:rFonts w:hint="eastAsia" w:cs="Times New Roman"/>
          <w:color w:val="000000"/>
          <w:lang w:val="en-US" w:eastAsia="zh-CN"/>
        </w:rPr>
        <w:t>单位</w:t>
      </w:r>
      <w:r>
        <w:rPr>
          <w:rFonts w:hint="default" w:ascii="Times New Roman" w:hAnsi="Times New Roman" w:cs="Times New Roman"/>
          <w:color w:val="000000"/>
        </w:rPr>
        <w:t>相关部门专人保管保存五年以上。</w:t>
      </w:r>
    </w:p>
    <w:p w14:paraId="608F4586">
      <w:pPr>
        <w:ind w:firstLine="480"/>
        <w:rPr>
          <w:rFonts w:hint="default" w:ascii="Times New Roman" w:hAnsi="Times New Roman" w:cs="Times New Roman"/>
          <w:color w:val="000000"/>
        </w:rPr>
      </w:pPr>
      <w:r>
        <w:rPr>
          <w:rFonts w:hint="default" w:ascii="Times New Roman" w:hAnsi="Times New Roman" w:cs="Times New Roman"/>
          <w:color w:val="000000"/>
        </w:rPr>
        <w:t>自行监测记录主要有：</w:t>
      </w:r>
    </w:p>
    <w:p w14:paraId="736B1312">
      <w:pPr>
        <w:ind w:firstLine="480"/>
        <w:rPr>
          <w:rFonts w:hint="default" w:ascii="Times New Roman" w:hAnsi="Times New Roman" w:cs="Times New Roman"/>
          <w:color w:val="000000"/>
        </w:rPr>
      </w:pPr>
      <w:r>
        <w:rPr>
          <w:rFonts w:hint="default" w:ascii="Times New Roman" w:hAnsi="Times New Roman" w:cs="Times New Roman"/>
          <w:color w:val="000000"/>
        </w:rPr>
        <w:t>1、实验室监测记录包括:采样及样品流转记录、检测分析原始记录、分析质量控制记录、监测报告以及仪器设备的使用维护记录、日常工作和安全管理记录等。</w:t>
      </w:r>
    </w:p>
    <w:p w14:paraId="6DC7A13B">
      <w:pPr>
        <w:ind w:firstLine="480"/>
        <w:rPr>
          <w:rFonts w:hint="default" w:ascii="Times New Roman" w:hAnsi="Times New Roman" w:cs="Times New Roman"/>
          <w:color w:val="000000"/>
        </w:rPr>
      </w:pPr>
      <w:r>
        <w:rPr>
          <w:rFonts w:hint="default" w:ascii="Times New Roman" w:hAnsi="Times New Roman" w:cs="Times New Roman"/>
          <w:color w:val="000000"/>
        </w:rPr>
        <w:t>2、委托监测记录包括：委托协议、采样记录、监测结果报告等。</w:t>
      </w:r>
    </w:p>
    <w:p w14:paraId="1E8152D7">
      <w:pPr>
        <w:ind w:firstLine="480"/>
        <w:rPr>
          <w:rFonts w:hint="default" w:ascii="Times New Roman" w:hAnsi="Times New Roman" w:cs="Times New Roman"/>
          <w:color w:val="000000"/>
        </w:rPr>
      </w:pPr>
      <w:r>
        <w:rPr>
          <w:rFonts w:hint="default" w:ascii="Times New Roman" w:hAnsi="Times New Roman" w:cs="Times New Roman"/>
          <w:color w:val="000000"/>
        </w:rPr>
        <w:t>3、自动监测记录包括：包含监测各环节的原始记录、委托监测相关记录、自动监测设备运维记录等、各类原始记录内容完整并有相关人员签字。</w:t>
      </w:r>
    </w:p>
    <w:p w14:paraId="6253C610">
      <w:pPr>
        <w:pStyle w:val="2"/>
        <w:rPr>
          <w:rFonts w:hint="default" w:ascii="Times New Roman" w:hAnsi="Times New Roman" w:cs="Times New Roman"/>
          <w:color w:val="000000"/>
        </w:rPr>
      </w:pPr>
      <w:r>
        <w:rPr>
          <w:rFonts w:hint="default" w:ascii="Times New Roman" w:hAnsi="Times New Roman" w:cs="Times New Roman"/>
          <w:color w:val="000000"/>
        </w:rPr>
        <w:t>信息公开要求</w:t>
      </w:r>
    </w:p>
    <w:p w14:paraId="42E24A59">
      <w:pPr>
        <w:pStyle w:val="3"/>
        <w:rPr>
          <w:rFonts w:hint="default" w:ascii="Times New Roman" w:hAnsi="Times New Roman" w:cs="Times New Roman"/>
          <w:color w:val="000000"/>
        </w:rPr>
      </w:pPr>
      <w:r>
        <w:rPr>
          <w:rFonts w:hint="default" w:ascii="Times New Roman" w:hAnsi="Times New Roman" w:cs="Times New Roman"/>
          <w:color w:val="000000"/>
        </w:rPr>
        <w:t>公开方式</w:t>
      </w:r>
    </w:p>
    <w:p w14:paraId="7E4B1FCE">
      <w:pPr>
        <w:pStyle w:val="17"/>
        <w:numPr>
          <w:ilvl w:val="0"/>
          <w:numId w:val="2"/>
        </w:numPr>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排污单位必须按要求及时在《全国污染源监测信息管理与共享平台》填报自行监视数据等信息，并在当地市级生态环境门自行监测信息发布平台向社</w:t>
      </w:r>
      <w:r>
        <w:rPr>
          <w:rFonts w:hint="default" w:ascii="Times New Roman" w:hAnsi="Times New Roman" w:cs="Times New Roman"/>
          <w:color w:val="000000"/>
          <w:kern w:val="2"/>
          <w:sz w:val="24"/>
          <w:szCs w:val="22"/>
          <w:lang w:val="en-US" w:eastAsia="zh-CN"/>
        </w:rPr>
        <w:t>会</w:t>
      </w:r>
      <w:r>
        <w:rPr>
          <w:rFonts w:hint="default" w:ascii="Times New Roman" w:hAnsi="Times New Roman" w:cs="Times New Roman"/>
          <w:color w:val="000000"/>
          <w:kern w:val="2"/>
          <w:sz w:val="24"/>
          <w:szCs w:val="22"/>
        </w:rPr>
        <w:t>公开自行监测数据等信息。</w:t>
      </w:r>
    </w:p>
    <w:p w14:paraId="23101C1F">
      <w:pPr>
        <w:pStyle w:val="17"/>
        <w:numPr>
          <w:ilvl w:val="0"/>
          <w:numId w:val="2"/>
        </w:numPr>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排污单位还应通过对外网站或厂区外的电子屏幕等便于公众知晓的方式同步自公开自行监测信息。</w:t>
      </w:r>
    </w:p>
    <w:p w14:paraId="3C139586">
      <w:pPr>
        <w:pStyle w:val="3"/>
        <w:rPr>
          <w:rFonts w:hint="default" w:ascii="Times New Roman" w:hAnsi="Times New Roman" w:cs="Times New Roman"/>
          <w:color w:val="000000"/>
        </w:rPr>
      </w:pPr>
      <w:r>
        <w:rPr>
          <w:rFonts w:hint="default" w:ascii="Times New Roman" w:hAnsi="Times New Roman" w:cs="Times New Roman"/>
          <w:color w:val="000000"/>
        </w:rPr>
        <w:t>公开内容</w:t>
      </w:r>
    </w:p>
    <w:p w14:paraId="565BFB5D">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1、基础信息：排污单位名称、法定代表人，所属行业、地理位置、生产周期、联系方式、接受委托的社会环境监测单位名称等；</w:t>
      </w:r>
    </w:p>
    <w:p w14:paraId="21C6F5C7">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2、自行监测方案（排污单位基础信息、自行监测内容如有变更，排污单位应重新编制自行监测方案，在当地生态环境部门重新备案并公布)；</w:t>
      </w:r>
    </w:p>
    <w:p w14:paraId="68CFA8B6">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3、自行监结果：全部监测点位、监测时间、污染物种类及浓度、标准限值、达标情况、超标倍数、污染物排放方式及排放去向；</w:t>
      </w:r>
    </w:p>
    <w:p w14:paraId="01882AA8">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4、未开展自行监测的原因；</w:t>
      </w:r>
    </w:p>
    <w:p w14:paraId="5FD92F05">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5、自行监测年度报告；</w:t>
      </w:r>
    </w:p>
    <w:p w14:paraId="29EDB14E">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6、其他需要公开的内容。</w:t>
      </w:r>
    </w:p>
    <w:p w14:paraId="1EB7BE27">
      <w:pPr>
        <w:pStyle w:val="3"/>
        <w:rPr>
          <w:rFonts w:hint="default" w:ascii="Times New Roman" w:hAnsi="Times New Roman" w:cs="Times New Roman"/>
          <w:color w:val="000000"/>
        </w:rPr>
      </w:pPr>
      <w:r>
        <w:rPr>
          <w:rFonts w:hint="default" w:ascii="Times New Roman" w:hAnsi="Times New Roman" w:cs="Times New Roman"/>
          <w:color w:val="000000"/>
        </w:rPr>
        <w:t>公开时限</w:t>
      </w:r>
    </w:p>
    <w:p w14:paraId="0A069638">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1、排污单位基础信息与自行监测方案一同公布。</w:t>
      </w:r>
    </w:p>
    <w:p w14:paraId="39BD90BA">
      <w:pPr>
        <w:pStyle w:val="17"/>
        <w:rPr>
          <w:rFonts w:hint="default" w:ascii="Times New Roman" w:hAnsi="Times New Roman" w:cs="Times New Roman"/>
          <w:color w:val="000000"/>
          <w:kern w:val="2"/>
          <w:sz w:val="24"/>
          <w:szCs w:val="22"/>
        </w:rPr>
      </w:pPr>
      <w:r>
        <w:rPr>
          <w:rFonts w:hint="default" w:ascii="Times New Roman" w:hAnsi="Times New Roman" w:cs="Times New Roman"/>
          <w:color w:val="000000"/>
          <w:kern w:val="2"/>
          <w:sz w:val="24"/>
          <w:szCs w:val="22"/>
        </w:rPr>
        <w:t>2、手工监测数据应于每次监测完成后及时公开，公开日期不得跨越监测周期；</w:t>
      </w:r>
    </w:p>
    <w:p w14:paraId="42981C5E">
      <w:pPr>
        <w:pStyle w:val="17"/>
        <w:rPr>
          <w:rFonts w:hint="default" w:ascii="Times New Roman" w:hAnsi="Times New Roman" w:cs="Times New Roman"/>
          <w:color w:val="000000"/>
        </w:rPr>
      </w:pPr>
      <w:r>
        <w:rPr>
          <w:rFonts w:hint="default" w:ascii="Times New Roman" w:hAnsi="Times New Roman" w:cs="Times New Roman"/>
          <w:color w:val="000000"/>
          <w:kern w:val="2"/>
          <w:sz w:val="24"/>
          <w:szCs w:val="22"/>
        </w:rPr>
        <w:t>3、2026年1月底前公布2025年度自行监测报告。</w:t>
      </w:r>
    </w:p>
    <w:sectPr>
      <w:pgSz w:w="16838" w:h="11906" w:orient="landscape"/>
      <w:pgMar w:top="1800" w:right="1440" w:bottom="1800" w:left="1440" w:header="567" w:footer="567"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AFF" w:usb1="C0007841" w:usb2="00000009" w:usb3="00000000" w:csb0="400001FF" w:csb1="FFFF0000"/>
  </w:font>
  <w:font w:name="宋体">
    <w:panose1 w:val="02010600030101010101"/>
    <w:charset w:val="81"/>
    <w:family w:val="roma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Light">
    <w:altName w:val="宋体"/>
    <w:panose1 w:val="02010600030101010101"/>
    <w:charset w:val="86"/>
    <w:family w:val="auto"/>
    <w:pitch w:val="default"/>
    <w:sig w:usb0="00000000" w:usb1="00000000" w:usb2="00000016" w:usb3="00000000" w:csb0="0004000F" w:csb1="00000000"/>
  </w:font>
  <w:font w:name="等线">
    <w:altName w:val="微软雅黑"/>
    <w:panose1 w:val="02010600030101010101"/>
    <w:charset w:val="86"/>
    <w:family w:val="auto"/>
    <w:pitch w:val="default"/>
    <w:sig w:usb0="00000000" w:usb1="00000000"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2FF" w:usb1="400004FF" w:usb2="00000000" w:usb3="00000000" w:csb0="2000019F" w:csb1="00000000"/>
  </w:font>
  <w:font w:name="Tahoma">
    <w:panose1 w:val="020B0604030504040204"/>
    <w:charset w:val="00"/>
    <w:family w:val="swiss"/>
    <w:pitch w:val="default"/>
    <w:sig w:usb0="E1002EFF" w:usb1="C000605B" w:usb2="00000029" w:usb3="00000000" w:csb0="200101FF" w:csb1="20280000"/>
  </w:font>
  <w:font w:name="方正小标宋简体">
    <w:panose1 w:val="02000000000000000000"/>
    <w:charset w:val="86"/>
    <w:family w:val="auto"/>
    <w:pitch w:val="default"/>
    <w:sig w:usb0="A00002BF" w:usb1="184F6CFA" w:usb2="00000012" w:usb3="00000000" w:csb0="00040001" w:csb1="00000000"/>
  </w:font>
  <w:font w:name="仿宋">
    <w:panose1 w:val="02010609060101010101"/>
    <w:charset w:val="86"/>
    <w:family w:val="modern"/>
    <w:pitch w:val="default"/>
    <w:sig w:usb0="800002BF" w:usb1="38CF7CFA" w:usb2="00000016" w:usb3="00000000" w:csb0="00040001"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F3F1E">
    <w:pPr>
      <w:ind w:firstLine="48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D8EA1">
    <w:pPr>
      <w:ind w:firstLine="48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EE844">
    <w:pPr>
      <w:ind w:firstLine="48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DA39FF">
    <w:pPr>
      <w:pStyle w:val="24"/>
      <w:jc w:val="center"/>
      <w:rPr>
        <w:rFonts w:ascii="仿宋" w:hAnsi="仿宋" w:eastAsia="仿宋"/>
        <w:sz w:val="21"/>
        <w:szCs w:val="21"/>
      </w:rPr>
    </w:pPr>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2934D9">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072934D9">
                    <w:pPr>
                      <w:pStyle w:val="24"/>
                      <w:jc w:val="center"/>
                    </w:pPr>
                    <w:r>
                      <w:rPr>
                        <w:rFonts w:hint="eastAsia" w:ascii="仿宋" w:hAnsi="仿宋" w:eastAsia="仿宋"/>
                        <w:sz w:val="21"/>
                        <w:szCs w:val="21"/>
                      </w:rPr>
                      <w:t>第</w:t>
                    </w:r>
                    <w:r>
                      <w:rPr>
                        <w:rFonts w:ascii="仿宋" w:hAnsi="仿宋" w:eastAsia="仿宋"/>
                        <w:sz w:val="21"/>
                        <w:szCs w:val="21"/>
                      </w:rPr>
                      <w:fldChar w:fldCharType="begin"/>
                    </w:r>
                    <w:r>
                      <w:rPr>
                        <w:rFonts w:ascii="仿宋" w:hAnsi="仿宋" w:eastAsia="仿宋"/>
                        <w:sz w:val="21"/>
                        <w:szCs w:val="21"/>
                      </w:rPr>
                      <w:instrText xml:space="preserve">PAGE</w:instrText>
                    </w:r>
                    <w:r>
                      <w:rPr>
                        <w:rFonts w:ascii="仿宋" w:hAnsi="仿宋" w:eastAsia="仿宋"/>
                        <w:sz w:val="21"/>
                        <w:szCs w:val="21"/>
                      </w:rPr>
                      <w:fldChar w:fldCharType="separate"/>
                    </w:r>
                    <w:r>
                      <w:rPr>
                        <w:rFonts w:ascii="仿宋" w:hAnsi="仿宋" w:eastAsia="仿宋"/>
                        <w:sz w:val="21"/>
                        <w:szCs w:val="21"/>
                      </w:rPr>
                      <w:t>25</w:t>
                    </w:r>
                    <w:r>
                      <w:rPr>
                        <w:rFonts w:ascii="仿宋" w:hAnsi="仿宋" w:eastAsia="仿宋"/>
                        <w:sz w:val="21"/>
                        <w:szCs w:val="21"/>
                      </w:rPr>
                      <w:fldChar w:fldCharType="end"/>
                    </w:r>
                    <w:r>
                      <w:rPr>
                        <w:rFonts w:hint="eastAsia" w:ascii="仿宋" w:hAnsi="仿宋" w:eastAsia="仿宋"/>
                        <w:sz w:val="21"/>
                        <w:szCs w:val="21"/>
                      </w:rPr>
                      <w:t>页</w:t>
                    </w:r>
                    <w:r>
                      <w:rPr>
                        <w:rFonts w:ascii="仿宋" w:hAnsi="仿宋" w:eastAsia="仿宋"/>
                        <w:sz w:val="21"/>
                        <w:szCs w:val="21"/>
                        <w:lang w:val="zh-CN"/>
                      </w:rPr>
                      <w:t xml:space="preserve"> /</w:t>
                    </w:r>
                    <w:r>
                      <w:rPr>
                        <w:rFonts w:hint="eastAsia" w:ascii="仿宋" w:hAnsi="仿宋" w:eastAsia="仿宋"/>
                        <w:sz w:val="21"/>
                        <w:szCs w:val="21"/>
                        <w:lang w:val="zh-CN"/>
                      </w:rPr>
                      <w:t>共</w:t>
                    </w:r>
                    <w:r>
                      <w:rPr>
                        <w:rFonts w:ascii="仿宋" w:hAnsi="仿宋" w:eastAsia="仿宋"/>
                        <w:sz w:val="21"/>
                        <w:szCs w:val="21"/>
                      </w:rPr>
                      <w:fldChar w:fldCharType="begin"/>
                    </w:r>
                    <w:r>
                      <w:rPr>
                        <w:rFonts w:ascii="仿宋" w:hAnsi="仿宋" w:eastAsia="仿宋"/>
                        <w:sz w:val="21"/>
                        <w:szCs w:val="21"/>
                      </w:rPr>
                      <w:instrText xml:space="preserve">NUMPAGES</w:instrText>
                    </w:r>
                    <w:r>
                      <w:rPr>
                        <w:rFonts w:ascii="仿宋" w:hAnsi="仿宋" w:eastAsia="仿宋"/>
                        <w:sz w:val="21"/>
                        <w:szCs w:val="21"/>
                      </w:rPr>
                      <w:fldChar w:fldCharType="separate"/>
                    </w:r>
                    <w:r>
                      <w:rPr>
                        <w:rFonts w:ascii="仿宋" w:hAnsi="仿宋" w:eastAsia="仿宋"/>
                        <w:sz w:val="21"/>
                        <w:szCs w:val="21"/>
                      </w:rPr>
                      <w:t>38</w:t>
                    </w:r>
                    <w:r>
                      <w:rPr>
                        <w:rFonts w:ascii="仿宋" w:hAnsi="仿宋" w:eastAsia="仿宋"/>
                        <w:sz w:val="21"/>
                        <w:szCs w:val="21"/>
                      </w:rPr>
                      <w:fldChar w:fldCharType="end"/>
                    </w:r>
                    <w:r>
                      <w:rPr>
                        <w:rFonts w:hint="eastAsia" w:ascii="仿宋" w:hAnsi="仿宋" w:eastAsia="仿宋"/>
                        <w:sz w:val="21"/>
                        <w:szCs w:val="21"/>
                      </w:rPr>
                      <w:t>页</w:t>
                    </w:r>
                  </w:p>
                </w:txbxContent>
              </v:textbox>
            </v:shape>
          </w:pict>
        </mc:Fallback>
      </mc:AlternateContent>
    </w:r>
  </w:p>
  <w:p w14:paraId="4CEF9E70">
    <w:pPr>
      <w:pStyle w:val="2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0B36F0">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4C502">
    <w:pPr>
      <w:ind w:firstLine="48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49890">
    <w:pPr>
      <w:ind w:firstLine="48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19289C">
    <w:pPr>
      <w:pStyle w:val="25"/>
      <w:jc w:val="both"/>
      <w:rPr>
        <w:rFonts w:ascii="黑体" w:hAnsi="黑体" w:eastAsia="黑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5745CA9"/>
    <w:multiLevelType w:val="multilevel"/>
    <w:tmpl w:val="05745CA9"/>
    <w:lvl w:ilvl="0" w:tentative="0">
      <w:start w:val="1"/>
      <w:numFmt w:val="decimal"/>
      <w:pStyle w:val="2"/>
      <w:suff w:val="space"/>
      <w:lvlText w:val="%1"/>
      <w:lvlJc w:val="left"/>
      <w:pPr>
        <w:ind w:left="0" w:firstLine="0"/>
      </w:pPr>
      <w:rPr>
        <w:rFonts w:hint="eastAsia"/>
      </w:rPr>
    </w:lvl>
    <w:lvl w:ilvl="1" w:tentative="0">
      <w:start w:val="1"/>
      <w:numFmt w:val="decimal"/>
      <w:pStyle w:val="3"/>
      <w:suff w:val="space"/>
      <w:lvlText w:val="%1.%2"/>
      <w:lvlJc w:val="left"/>
      <w:pPr>
        <w:ind w:left="0" w:firstLine="425"/>
      </w:pPr>
      <w:rPr>
        <w:rFonts w:hint="eastAsia"/>
      </w:rPr>
    </w:lvl>
    <w:lvl w:ilvl="2" w:tentative="0">
      <w:start w:val="1"/>
      <w:numFmt w:val="decimal"/>
      <w:pStyle w:val="4"/>
      <w:suff w:val="space"/>
      <w:lvlText w:val="%1.%2.%3"/>
      <w:lvlJc w:val="left"/>
      <w:pPr>
        <w:ind w:left="0" w:firstLine="851"/>
      </w:pPr>
      <w:rPr>
        <w:rFonts w:hint="eastAsia"/>
      </w:rPr>
    </w:lvl>
    <w:lvl w:ilvl="3" w:tentative="0">
      <w:start w:val="1"/>
      <w:numFmt w:val="decimal"/>
      <w:pStyle w:val="5"/>
      <w:suff w:val="space"/>
      <w:lvlText w:val="%1.%2.%3.%4"/>
      <w:lvlJc w:val="left"/>
      <w:pPr>
        <w:ind w:left="0" w:firstLine="1276"/>
      </w:pPr>
      <w:rPr>
        <w:rFonts w:hint="eastAsia"/>
      </w:rPr>
    </w:lvl>
    <w:lvl w:ilvl="4" w:tentative="0">
      <w:start w:val="1"/>
      <w:numFmt w:val="decimal"/>
      <w:pStyle w:val="6"/>
      <w:suff w:val="space"/>
      <w:lvlText w:val="%1.%2.%3.%4.%5"/>
      <w:lvlJc w:val="left"/>
      <w:pPr>
        <w:ind w:left="0" w:firstLine="0"/>
      </w:pPr>
      <w:rPr>
        <w:rFonts w:hint="default" w:ascii="Times New Roman" w:hAnsi="Times New Roman" w:eastAsia="宋体"/>
        <w:b w:val="0"/>
        <w:i w:val="0"/>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
    <w:nsid w:val="3EE63625"/>
    <w:multiLevelType w:val="multilevel"/>
    <w:tmpl w:val="3EE63625"/>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revisionView w:markup="0"/>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zNjVkNDJjZTYwZjIzYzAxYTUwMWM4YTczNzZkZGIifQ=="/>
  </w:docVars>
  <w:rsids>
    <w:rsidRoot w:val="00172A27"/>
    <w:rsid w:val="00002493"/>
    <w:rsid w:val="00002DFB"/>
    <w:rsid w:val="00006A90"/>
    <w:rsid w:val="00007818"/>
    <w:rsid w:val="0001121C"/>
    <w:rsid w:val="00012946"/>
    <w:rsid w:val="00015004"/>
    <w:rsid w:val="000179D4"/>
    <w:rsid w:val="000213AF"/>
    <w:rsid w:val="00022B31"/>
    <w:rsid w:val="00024393"/>
    <w:rsid w:val="00024EB1"/>
    <w:rsid w:val="000265D0"/>
    <w:rsid w:val="0002690D"/>
    <w:rsid w:val="00031CB3"/>
    <w:rsid w:val="00040B78"/>
    <w:rsid w:val="00044A1D"/>
    <w:rsid w:val="00044C0E"/>
    <w:rsid w:val="00047BC3"/>
    <w:rsid w:val="00050499"/>
    <w:rsid w:val="0005201C"/>
    <w:rsid w:val="00057DA2"/>
    <w:rsid w:val="00062025"/>
    <w:rsid w:val="000625D2"/>
    <w:rsid w:val="00062E0E"/>
    <w:rsid w:val="0006641D"/>
    <w:rsid w:val="00066BE8"/>
    <w:rsid w:val="00067555"/>
    <w:rsid w:val="000729FF"/>
    <w:rsid w:val="0007434C"/>
    <w:rsid w:val="00074E02"/>
    <w:rsid w:val="00076273"/>
    <w:rsid w:val="000822F2"/>
    <w:rsid w:val="000830E3"/>
    <w:rsid w:val="00083465"/>
    <w:rsid w:val="00085FDD"/>
    <w:rsid w:val="000875D9"/>
    <w:rsid w:val="00090B47"/>
    <w:rsid w:val="000928FD"/>
    <w:rsid w:val="000960AF"/>
    <w:rsid w:val="000A4F04"/>
    <w:rsid w:val="000A6113"/>
    <w:rsid w:val="000A693B"/>
    <w:rsid w:val="000A7DE9"/>
    <w:rsid w:val="000B0931"/>
    <w:rsid w:val="000B2C5F"/>
    <w:rsid w:val="000B5579"/>
    <w:rsid w:val="000C0309"/>
    <w:rsid w:val="000C0C87"/>
    <w:rsid w:val="000C3D10"/>
    <w:rsid w:val="000C427E"/>
    <w:rsid w:val="000C4E43"/>
    <w:rsid w:val="000C6B6B"/>
    <w:rsid w:val="000C6C83"/>
    <w:rsid w:val="000D244D"/>
    <w:rsid w:val="000D3AA7"/>
    <w:rsid w:val="000E2472"/>
    <w:rsid w:val="000E2BA3"/>
    <w:rsid w:val="000E37B9"/>
    <w:rsid w:val="000E3F54"/>
    <w:rsid w:val="000F061D"/>
    <w:rsid w:val="000F1435"/>
    <w:rsid w:val="000F3B6E"/>
    <w:rsid w:val="000F4234"/>
    <w:rsid w:val="00102477"/>
    <w:rsid w:val="00106E4F"/>
    <w:rsid w:val="001075BC"/>
    <w:rsid w:val="0011218F"/>
    <w:rsid w:val="001179EE"/>
    <w:rsid w:val="00122B3B"/>
    <w:rsid w:val="00123B26"/>
    <w:rsid w:val="00131E5E"/>
    <w:rsid w:val="00132D26"/>
    <w:rsid w:val="0013301F"/>
    <w:rsid w:val="001334B1"/>
    <w:rsid w:val="00133FC6"/>
    <w:rsid w:val="00134DFD"/>
    <w:rsid w:val="001359D7"/>
    <w:rsid w:val="00135E68"/>
    <w:rsid w:val="00141072"/>
    <w:rsid w:val="001415FA"/>
    <w:rsid w:val="001432D2"/>
    <w:rsid w:val="00145833"/>
    <w:rsid w:val="00146A94"/>
    <w:rsid w:val="001512BC"/>
    <w:rsid w:val="0015529F"/>
    <w:rsid w:val="00155FB3"/>
    <w:rsid w:val="0015674D"/>
    <w:rsid w:val="00167953"/>
    <w:rsid w:val="00167CE9"/>
    <w:rsid w:val="00167E56"/>
    <w:rsid w:val="0017099B"/>
    <w:rsid w:val="00170E43"/>
    <w:rsid w:val="00170FDC"/>
    <w:rsid w:val="0017227D"/>
    <w:rsid w:val="00175863"/>
    <w:rsid w:val="0017599A"/>
    <w:rsid w:val="0017755B"/>
    <w:rsid w:val="00180A69"/>
    <w:rsid w:val="001831F2"/>
    <w:rsid w:val="001874A2"/>
    <w:rsid w:val="00187BCF"/>
    <w:rsid w:val="001902EA"/>
    <w:rsid w:val="001958F9"/>
    <w:rsid w:val="001A10A9"/>
    <w:rsid w:val="001A154E"/>
    <w:rsid w:val="001A7FE6"/>
    <w:rsid w:val="001B2B03"/>
    <w:rsid w:val="001B37C4"/>
    <w:rsid w:val="001B4CF0"/>
    <w:rsid w:val="001B64A4"/>
    <w:rsid w:val="001B7D64"/>
    <w:rsid w:val="001C4719"/>
    <w:rsid w:val="001C6466"/>
    <w:rsid w:val="001C6C1A"/>
    <w:rsid w:val="001D0E44"/>
    <w:rsid w:val="001D2448"/>
    <w:rsid w:val="001D46FC"/>
    <w:rsid w:val="001D642A"/>
    <w:rsid w:val="001D6BBE"/>
    <w:rsid w:val="001E126A"/>
    <w:rsid w:val="001E32E2"/>
    <w:rsid w:val="001E402E"/>
    <w:rsid w:val="001E50BD"/>
    <w:rsid w:val="001F0693"/>
    <w:rsid w:val="001F07C3"/>
    <w:rsid w:val="001F67C1"/>
    <w:rsid w:val="00200415"/>
    <w:rsid w:val="0020220E"/>
    <w:rsid w:val="00211CD6"/>
    <w:rsid w:val="00211FA3"/>
    <w:rsid w:val="00212D9B"/>
    <w:rsid w:val="002167C5"/>
    <w:rsid w:val="00217D0F"/>
    <w:rsid w:val="0022204A"/>
    <w:rsid w:val="0022353F"/>
    <w:rsid w:val="00225934"/>
    <w:rsid w:val="00225AC0"/>
    <w:rsid w:val="00227898"/>
    <w:rsid w:val="0023182B"/>
    <w:rsid w:val="00232757"/>
    <w:rsid w:val="00232830"/>
    <w:rsid w:val="00232CEB"/>
    <w:rsid w:val="002470FE"/>
    <w:rsid w:val="00251F0C"/>
    <w:rsid w:val="0025434B"/>
    <w:rsid w:val="00257580"/>
    <w:rsid w:val="00260E88"/>
    <w:rsid w:val="0026104E"/>
    <w:rsid w:val="002630CC"/>
    <w:rsid w:val="00266EE0"/>
    <w:rsid w:val="00273763"/>
    <w:rsid w:val="0027688F"/>
    <w:rsid w:val="00283BFD"/>
    <w:rsid w:val="0028425C"/>
    <w:rsid w:val="00293CE8"/>
    <w:rsid w:val="00296042"/>
    <w:rsid w:val="00297931"/>
    <w:rsid w:val="002A23DE"/>
    <w:rsid w:val="002A294B"/>
    <w:rsid w:val="002A49DF"/>
    <w:rsid w:val="002B0615"/>
    <w:rsid w:val="002B0AEC"/>
    <w:rsid w:val="002B3AEB"/>
    <w:rsid w:val="002B4100"/>
    <w:rsid w:val="002B6ED0"/>
    <w:rsid w:val="002C0EAE"/>
    <w:rsid w:val="002C2413"/>
    <w:rsid w:val="002C319D"/>
    <w:rsid w:val="002C4F63"/>
    <w:rsid w:val="002C6305"/>
    <w:rsid w:val="002D06FB"/>
    <w:rsid w:val="002D12DC"/>
    <w:rsid w:val="002D1F37"/>
    <w:rsid w:val="002D27E1"/>
    <w:rsid w:val="002D4122"/>
    <w:rsid w:val="002D5457"/>
    <w:rsid w:val="002E13E4"/>
    <w:rsid w:val="002E3214"/>
    <w:rsid w:val="002E3791"/>
    <w:rsid w:val="002E4896"/>
    <w:rsid w:val="002E49F8"/>
    <w:rsid w:val="002F3E79"/>
    <w:rsid w:val="002F4DB5"/>
    <w:rsid w:val="002F7DFC"/>
    <w:rsid w:val="0030438C"/>
    <w:rsid w:val="00304DC8"/>
    <w:rsid w:val="00305750"/>
    <w:rsid w:val="0030680C"/>
    <w:rsid w:val="00314C03"/>
    <w:rsid w:val="00315A06"/>
    <w:rsid w:val="00316D4C"/>
    <w:rsid w:val="00317179"/>
    <w:rsid w:val="00322AA7"/>
    <w:rsid w:val="003236E2"/>
    <w:rsid w:val="00324429"/>
    <w:rsid w:val="0033105D"/>
    <w:rsid w:val="00332813"/>
    <w:rsid w:val="003340DA"/>
    <w:rsid w:val="00335707"/>
    <w:rsid w:val="003364FF"/>
    <w:rsid w:val="00336AAA"/>
    <w:rsid w:val="00337EF4"/>
    <w:rsid w:val="00342B49"/>
    <w:rsid w:val="00345626"/>
    <w:rsid w:val="00347346"/>
    <w:rsid w:val="00350945"/>
    <w:rsid w:val="003665D9"/>
    <w:rsid w:val="0036672B"/>
    <w:rsid w:val="00372DEC"/>
    <w:rsid w:val="00374681"/>
    <w:rsid w:val="003749C1"/>
    <w:rsid w:val="0037599E"/>
    <w:rsid w:val="00377137"/>
    <w:rsid w:val="003848ED"/>
    <w:rsid w:val="00386145"/>
    <w:rsid w:val="00392640"/>
    <w:rsid w:val="003945B6"/>
    <w:rsid w:val="003A093D"/>
    <w:rsid w:val="003A455C"/>
    <w:rsid w:val="003A52A2"/>
    <w:rsid w:val="003A572A"/>
    <w:rsid w:val="003A5CD1"/>
    <w:rsid w:val="003A7080"/>
    <w:rsid w:val="003A7B96"/>
    <w:rsid w:val="003B05AA"/>
    <w:rsid w:val="003B26FB"/>
    <w:rsid w:val="003B2C87"/>
    <w:rsid w:val="003B35D8"/>
    <w:rsid w:val="003B6C4F"/>
    <w:rsid w:val="003C1693"/>
    <w:rsid w:val="003C2647"/>
    <w:rsid w:val="003C6CB8"/>
    <w:rsid w:val="003D02E5"/>
    <w:rsid w:val="003D0B1F"/>
    <w:rsid w:val="003D368F"/>
    <w:rsid w:val="003D3A2E"/>
    <w:rsid w:val="003D3CCA"/>
    <w:rsid w:val="003E4E2D"/>
    <w:rsid w:val="003F004C"/>
    <w:rsid w:val="003F157F"/>
    <w:rsid w:val="003F3042"/>
    <w:rsid w:val="003F3618"/>
    <w:rsid w:val="003F3E9C"/>
    <w:rsid w:val="00400540"/>
    <w:rsid w:val="004076F9"/>
    <w:rsid w:val="00407DF2"/>
    <w:rsid w:val="00411B6F"/>
    <w:rsid w:val="00413342"/>
    <w:rsid w:val="0041343B"/>
    <w:rsid w:val="00414A7A"/>
    <w:rsid w:val="0041629B"/>
    <w:rsid w:val="00420576"/>
    <w:rsid w:val="004208E4"/>
    <w:rsid w:val="00424A62"/>
    <w:rsid w:val="004260E7"/>
    <w:rsid w:val="00426A48"/>
    <w:rsid w:val="00427B5F"/>
    <w:rsid w:val="00430807"/>
    <w:rsid w:val="00433072"/>
    <w:rsid w:val="00450AFA"/>
    <w:rsid w:val="00457F2A"/>
    <w:rsid w:val="00462C6D"/>
    <w:rsid w:val="00463E23"/>
    <w:rsid w:val="0047428B"/>
    <w:rsid w:val="004839A8"/>
    <w:rsid w:val="00485013"/>
    <w:rsid w:val="00486A2C"/>
    <w:rsid w:val="00492C4D"/>
    <w:rsid w:val="0049375B"/>
    <w:rsid w:val="00496A23"/>
    <w:rsid w:val="004A4F34"/>
    <w:rsid w:val="004A75FD"/>
    <w:rsid w:val="004B0798"/>
    <w:rsid w:val="004B2202"/>
    <w:rsid w:val="004B3B45"/>
    <w:rsid w:val="004B6A45"/>
    <w:rsid w:val="004B7209"/>
    <w:rsid w:val="004C0EBF"/>
    <w:rsid w:val="004C20E2"/>
    <w:rsid w:val="004C4E6F"/>
    <w:rsid w:val="004C6A2B"/>
    <w:rsid w:val="004C7A72"/>
    <w:rsid w:val="004D1D37"/>
    <w:rsid w:val="004F1EEF"/>
    <w:rsid w:val="004F26AF"/>
    <w:rsid w:val="004F2B62"/>
    <w:rsid w:val="004F3147"/>
    <w:rsid w:val="004F5D62"/>
    <w:rsid w:val="00500D46"/>
    <w:rsid w:val="0050212E"/>
    <w:rsid w:val="00504781"/>
    <w:rsid w:val="005143B4"/>
    <w:rsid w:val="00515025"/>
    <w:rsid w:val="005151C2"/>
    <w:rsid w:val="005167DB"/>
    <w:rsid w:val="00517C44"/>
    <w:rsid w:val="00517C6B"/>
    <w:rsid w:val="00523C22"/>
    <w:rsid w:val="00531657"/>
    <w:rsid w:val="00535DA8"/>
    <w:rsid w:val="00536B33"/>
    <w:rsid w:val="00540C94"/>
    <w:rsid w:val="00546520"/>
    <w:rsid w:val="00550381"/>
    <w:rsid w:val="00555927"/>
    <w:rsid w:val="0055592B"/>
    <w:rsid w:val="00557BEF"/>
    <w:rsid w:val="005606DC"/>
    <w:rsid w:val="005719F5"/>
    <w:rsid w:val="005742C8"/>
    <w:rsid w:val="00577C0E"/>
    <w:rsid w:val="00585DE4"/>
    <w:rsid w:val="00586CD4"/>
    <w:rsid w:val="005877B6"/>
    <w:rsid w:val="00587D8F"/>
    <w:rsid w:val="00591383"/>
    <w:rsid w:val="00593A52"/>
    <w:rsid w:val="005970CF"/>
    <w:rsid w:val="0059775A"/>
    <w:rsid w:val="005A3375"/>
    <w:rsid w:val="005B079B"/>
    <w:rsid w:val="005B2C55"/>
    <w:rsid w:val="005B2C63"/>
    <w:rsid w:val="005B4116"/>
    <w:rsid w:val="005B4A57"/>
    <w:rsid w:val="005B509F"/>
    <w:rsid w:val="005B6D48"/>
    <w:rsid w:val="005C0073"/>
    <w:rsid w:val="005C6915"/>
    <w:rsid w:val="005C7E9D"/>
    <w:rsid w:val="005D4B85"/>
    <w:rsid w:val="005E16F4"/>
    <w:rsid w:val="005E2682"/>
    <w:rsid w:val="005E3E9B"/>
    <w:rsid w:val="005E6DD3"/>
    <w:rsid w:val="005E7404"/>
    <w:rsid w:val="005E780D"/>
    <w:rsid w:val="005F03FB"/>
    <w:rsid w:val="005F08C9"/>
    <w:rsid w:val="005F2328"/>
    <w:rsid w:val="005F25FB"/>
    <w:rsid w:val="005F3207"/>
    <w:rsid w:val="005F4C19"/>
    <w:rsid w:val="005F77B4"/>
    <w:rsid w:val="006006EA"/>
    <w:rsid w:val="0061212B"/>
    <w:rsid w:val="00617D99"/>
    <w:rsid w:val="006211C9"/>
    <w:rsid w:val="006311D5"/>
    <w:rsid w:val="006331FB"/>
    <w:rsid w:val="00635887"/>
    <w:rsid w:val="006429A7"/>
    <w:rsid w:val="00642A9D"/>
    <w:rsid w:val="00644483"/>
    <w:rsid w:val="00644B45"/>
    <w:rsid w:val="00645236"/>
    <w:rsid w:val="00651302"/>
    <w:rsid w:val="00653D3F"/>
    <w:rsid w:val="0065467A"/>
    <w:rsid w:val="0066084A"/>
    <w:rsid w:val="006626BA"/>
    <w:rsid w:val="006663AB"/>
    <w:rsid w:val="00667A0D"/>
    <w:rsid w:val="006701D0"/>
    <w:rsid w:val="00670BB4"/>
    <w:rsid w:val="00674D1D"/>
    <w:rsid w:val="006823D1"/>
    <w:rsid w:val="006929E9"/>
    <w:rsid w:val="00695BD5"/>
    <w:rsid w:val="00696FBD"/>
    <w:rsid w:val="006A0A06"/>
    <w:rsid w:val="006A332C"/>
    <w:rsid w:val="006A3372"/>
    <w:rsid w:val="006B2333"/>
    <w:rsid w:val="006B3665"/>
    <w:rsid w:val="006B3875"/>
    <w:rsid w:val="006B71C6"/>
    <w:rsid w:val="006B7A18"/>
    <w:rsid w:val="006C0DBB"/>
    <w:rsid w:val="006C1A2D"/>
    <w:rsid w:val="006C4E45"/>
    <w:rsid w:val="006D0B39"/>
    <w:rsid w:val="006D4852"/>
    <w:rsid w:val="006D4BED"/>
    <w:rsid w:val="006D4CD0"/>
    <w:rsid w:val="006D5E73"/>
    <w:rsid w:val="006E16A4"/>
    <w:rsid w:val="006E21B8"/>
    <w:rsid w:val="006E6D36"/>
    <w:rsid w:val="006E7C5F"/>
    <w:rsid w:val="006F3240"/>
    <w:rsid w:val="006F43FD"/>
    <w:rsid w:val="006F66E3"/>
    <w:rsid w:val="00704172"/>
    <w:rsid w:val="007151A2"/>
    <w:rsid w:val="00720050"/>
    <w:rsid w:val="007204A8"/>
    <w:rsid w:val="007228A9"/>
    <w:rsid w:val="00722ADA"/>
    <w:rsid w:val="00723C4A"/>
    <w:rsid w:val="00723FD0"/>
    <w:rsid w:val="00724E90"/>
    <w:rsid w:val="007302A5"/>
    <w:rsid w:val="00733337"/>
    <w:rsid w:val="00733E83"/>
    <w:rsid w:val="00736762"/>
    <w:rsid w:val="00740254"/>
    <w:rsid w:val="00742A61"/>
    <w:rsid w:val="0074377A"/>
    <w:rsid w:val="00753D6D"/>
    <w:rsid w:val="00757610"/>
    <w:rsid w:val="007601CC"/>
    <w:rsid w:val="00762E68"/>
    <w:rsid w:val="00764B05"/>
    <w:rsid w:val="007671BE"/>
    <w:rsid w:val="0077094A"/>
    <w:rsid w:val="00771540"/>
    <w:rsid w:val="0077729A"/>
    <w:rsid w:val="0078060D"/>
    <w:rsid w:val="00784725"/>
    <w:rsid w:val="00784E8A"/>
    <w:rsid w:val="00785F25"/>
    <w:rsid w:val="00787241"/>
    <w:rsid w:val="0078738C"/>
    <w:rsid w:val="007947B9"/>
    <w:rsid w:val="00795AEE"/>
    <w:rsid w:val="007961B4"/>
    <w:rsid w:val="00796894"/>
    <w:rsid w:val="007968B0"/>
    <w:rsid w:val="007A1F5E"/>
    <w:rsid w:val="007A4653"/>
    <w:rsid w:val="007A7A08"/>
    <w:rsid w:val="007B0863"/>
    <w:rsid w:val="007B09BA"/>
    <w:rsid w:val="007B4206"/>
    <w:rsid w:val="007B5CF2"/>
    <w:rsid w:val="007B62D1"/>
    <w:rsid w:val="007B6BCE"/>
    <w:rsid w:val="007C3F9F"/>
    <w:rsid w:val="007C54A3"/>
    <w:rsid w:val="007C67EC"/>
    <w:rsid w:val="007C6A3E"/>
    <w:rsid w:val="007D112A"/>
    <w:rsid w:val="007D28F2"/>
    <w:rsid w:val="007E15F2"/>
    <w:rsid w:val="007E63ED"/>
    <w:rsid w:val="007E6491"/>
    <w:rsid w:val="007E7E82"/>
    <w:rsid w:val="00802348"/>
    <w:rsid w:val="00802916"/>
    <w:rsid w:val="00803F21"/>
    <w:rsid w:val="008053B5"/>
    <w:rsid w:val="0080757F"/>
    <w:rsid w:val="008105A0"/>
    <w:rsid w:val="008134A3"/>
    <w:rsid w:val="008228E1"/>
    <w:rsid w:val="00823243"/>
    <w:rsid w:val="00826DA4"/>
    <w:rsid w:val="0083030D"/>
    <w:rsid w:val="00833670"/>
    <w:rsid w:val="008376F9"/>
    <w:rsid w:val="00840D9B"/>
    <w:rsid w:val="0084199D"/>
    <w:rsid w:val="00842789"/>
    <w:rsid w:val="0084320F"/>
    <w:rsid w:val="008536EC"/>
    <w:rsid w:val="00853BD7"/>
    <w:rsid w:val="00857107"/>
    <w:rsid w:val="0086058E"/>
    <w:rsid w:val="0086181A"/>
    <w:rsid w:val="008618F9"/>
    <w:rsid w:val="0086378C"/>
    <w:rsid w:val="0086461B"/>
    <w:rsid w:val="00864BD1"/>
    <w:rsid w:val="0086685D"/>
    <w:rsid w:val="00866B3E"/>
    <w:rsid w:val="008706D2"/>
    <w:rsid w:val="00871946"/>
    <w:rsid w:val="00872582"/>
    <w:rsid w:val="00873C65"/>
    <w:rsid w:val="0087667E"/>
    <w:rsid w:val="00881055"/>
    <w:rsid w:val="00884DDF"/>
    <w:rsid w:val="00885BCD"/>
    <w:rsid w:val="00890849"/>
    <w:rsid w:val="0089289F"/>
    <w:rsid w:val="00895F9A"/>
    <w:rsid w:val="008A3074"/>
    <w:rsid w:val="008A3C12"/>
    <w:rsid w:val="008A4056"/>
    <w:rsid w:val="008B0E97"/>
    <w:rsid w:val="008B1F15"/>
    <w:rsid w:val="008C2A95"/>
    <w:rsid w:val="008C43B1"/>
    <w:rsid w:val="008C77AA"/>
    <w:rsid w:val="008C7F82"/>
    <w:rsid w:val="008D043B"/>
    <w:rsid w:val="008D32C4"/>
    <w:rsid w:val="008D3B24"/>
    <w:rsid w:val="008D5659"/>
    <w:rsid w:val="008E2047"/>
    <w:rsid w:val="008E3FBC"/>
    <w:rsid w:val="008E4036"/>
    <w:rsid w:val="008E43D2"/>
    <w:rsid w:val="008E792C"/>
    <w:rsid w:val="008F2FBD"/>
    <w:rsid w:val="008F31BB"/>
    <w:rsid w:val="008F420A"/>
    <w:rsid w:val="008F4FBC"/>
    <w:rsid w:val="00907D73"/>
    <w:rsid w:val="009110A4"/>
    <w:rsid w:val="009125B8"/>
    <w:rsid w:val="0091358D"/>
    <w:rsid w:val="009150C6"/>
    <w:rsid w:val="00923643"/>
    <w:rsid w:val="009279D5"/>
    <w:rsid w:val="00932481"/>
    <w:rsid w:val="009328D1"/>
    <w:rsid w:val="00941991"/>
    <w:rsid w:val="00943E9D"/>
    <w:rsid w:val="00944D9C"/>
    <w:rsid w:val="00945B3C"/>
    <w:rsid w:val="00945EA3"/>
    <w:rsid w:val="009460DB"/>
    <w:rsid w:val="00950504"/>
    <w:rsid w:val="009514FE"/>
    <w:rsid w:val="00951D0E"/>
    <w:rsid w:val="00964D89"/>
    <w:rsid w:val="009668A7"/>
    <w:rsid w:val="00966CD1"/>
    <w:rsid w:val="00971CEA"/>
    <w:rsid w:val="009724BE"/>
    <w:rsid w:val="00974D64"/>
    <w:rsid w:val="0097679F"/>
    <w:rsid w:val="00982D0C"/>
    <w:rsid w:val="00984C15"/>
    <w:rsid w:val="00985F0B"/>
    <w:rsid w:val="00986A9D"/>
    <w:rsid w:val="00986E91"/>
    <w:rsid w:val="0098735B"/>
    <w:rsid w:val="00990493"/>
    <w:rsid w:val="009926D3"/>
    <w:rsid w:val="00992D2A"/>
    <w:rsid w:val="009A3657"/>
    <w:rsid w:val="009A5024"/>
    <w:rsid w:val="009A63C2"/>
    <w:rsid w:val="009B10D9"/>
    <w:rsid w:val="009B21BC"/>
    <w:rsid w:val="009B2345"/>
    <w:rsid w:val="009B68AA"/>
    <w:rsid w:val="009C1E87"/>
    <w:rsid w:val="009C3759"/>
    <w:rsid w:val="009C4D96"/>
    <w:rsid w:val="009C51AC"/>
    <w:rsid w:val="009C753B"/>
    <w:rsid w:val="009D4C37"/>
    <w:rsid w:val="009D77C3"/>
    <w:rsid w:val="009E238F"/>
    <w:rsid w:val="009E4726"/>
    <w:rsid w:val="009E4D5C"/>
    <w:rsid w:val="009E631F"/>
    <w:rsid w:val="009E6C4E"/>
    <w:rsid w:val="009F13C9"/>
    <w:rsid w:val="009F21F7"/>
    <w:rsid w:val="009F50A3"/>
    <w:rsid w:val="009F56CF"/>
    <w:rsid w:val="00A00A55"/>
    <w:rsid w:val="00A059FD"/>
    <w:rsid w:val="00A07F5A"/>
    <w:rsid w:val="00A153D6"/>
    <w:rsid w:val="00A15A4A"/>
    <w:rsid w:val="00A16258"/>
    <w:rsid w:val="00A16D16"/>
    <w:rsid w:val="00A17C94"/>
    <w:rsid w:val="00A21412"/>
    <w:rsid w:val="00A21AC1"/>
    <w:rsid w:val="00A230C5"/>
    <w:rsid w:val="00A2457F"/>
    <w:rsid w:val="00A25C28"/>
    <w:rsid w:val="00A2799B"/>
    <w:rsid w:val="00A3317C"/>
    <w:rsid w:val="00A35250"/>
    <w:rsid w:val="00A35AF3"/>
    <w:rsid w:val="00A35B30"/>
    <w:rsid w:val="00A377A2"/>
    <w:rsid w:val="00A40B27"/>
    <w:rsid w:val="00A415E2"/>
    <w:rsid w:val="00A418B2"/>
    <w:rsid w:val="00A4525C"/>
    <w:rsid w:val="00A53E8E"/>
    <w:rsid w:val="00A565C0"/>
    <w:rsid w:val="00A70CFF"/>
    <w:rsid w:val="00A71D6F"/>
    <w:rsid w:val="00A726DA"/>
    <w:rsid w:val="00A75811"/>
    <w:rsid w:val="00A81D4A"/>
    <w:rsid w:val="00A81E91"/>
    <w:rsid w:val="00A824F1"/>
    <w:rsid w:val="00A8438B"/>
    <w:rsid w:val="00A87FC4"/>
    <w:rsid w:val="00A92EB7"/>
    <w:rsid w:val="00A93DF7"/>
    <w:rsid w:val="00A94624"/>
    <w:rsid w:val="00A956A3"/>
    <w:rsid w:val="00AA10D9"/>
    <w:rsid w:val="00AA33DF"/>
    <w:rsid w:val="00AA4F7B"/>
    <w:rsid w:val="00AB3762"/>
    <w:rsid w:val="00AB533A"/>
    <w:rsid w:val="00AC1EE8"/>
    <w:rsid w:val="00AC6DBB"/>
    <w:rsid w:val="00AC75AB"/>
    <w:rsid w:val="00AC7D2F"/>
    <w:rsid w:val="00AD0A8F"/>
    <w:rsid w:val="00AD2FE4"/>
    <w:rsid w:val="00AD4322"/>
    <w:rsid w:val="00AD7369"/>
    <w:rsid w:val="00AE32B7"/>
    <w:rsid w:val="00AE45E9"/>
    <w:rsid w:val="00AF00C1"/>
    <w:rsid w:val="00AF303A"/>
    <w:rsid w:val="00AF437A"/>
    <w:rsid w:val="00AF6813"/>
    <w:rsid w:val="00B01B3A"/>
    <w:rsid w:val="00B078CA"/>
    <w:rsid w:val="00B10FE7"/>
    <w:rsid w:val="00B20155"/>
    <w:rsid w:val="00B2482D"/>
    <w:rsid w:val="00B24FF9"/>
    <w:rsid w:val="00B26312"/>
    <w:rsid w:val="00B319CF"/>
    <w:rsid w:val="00B320AB"/>
    <w:rsid w:val="00B37D69"/>
    <w:rsid w:val="00B45C94"/>
    <w:rsid w:val="00B46D29"/>
    <w:rsid w:val="00B476A3"/>
    <w:rsid w:val="00B53328"/>
    <w:rsid w:val="00B54671"/>
    <w:rsid w:val="00B63899"/>
    <w:rsid w:val="00B64428"/>
    <w:rsid w:val="00B64DB6"/>
    <w:rsid w:val="00B66593"/>
    <w:rsid w:val="00B67C44"/>
    <w:rsid w:val="00B7033D"/>
    <w:rsid w:val="00B80070"/>
    <w:rsid w:val="00B812F0"/>
    <w:rsid w:val="00B83523"/>
    <w:rsid w:val="00B86FEA"/>
    <w:rsid w:val="00B91715"/>
    <w:rsid w:val="00B92924"/>
    <w:rsid w:val="00BA14E1"/>
    <w:rsid w:val="00BA2AF1"/>
    <w:rsid w:val="00BA6973"/>
    <w:rsid w:val="00BB1D86"/>
    <w:rsid w:val="00BB4B20"/>
    <w:rsid w:val="00BB4F2C"/>
    <w:rsid w:val="00BC3065"/>
    <w:rsid w:val="00BC4495"/>
    <w:rsid w:val="00BC45C8"/>
    <w:rsid w:val="00BC634E"/>
    <w:rsid w:val="00BC6F60"/>
    <w:rsid w:val="00BD43DD"/>
    <w:rsid w:val="00BD7B57"/>
    <w:rsid w:val="00BE02B4"/>
    <w:rsid w:val="00BE1DDD"/>
    <w:rsid w:val="00BE3BBD"/>
    <w:rsid w:val="00BE6B58"/>
    <w:rsid w:val="00BF1304"/>
    <w:rsid w:val="00BF24BC"/>
    <w:rsid w:val="00BF4CF7"/>
    <w:rsid w:val="00BF5F8F"/>
    <w:rsid w:val="00C056AE"/>
    <w:rsid w:val="00C152A6"/>
    <w:rsid w:val="00C2155C"/>
    <w:rsid w:val="00C25292"/>
    <w:rsid w:val="00C32925"/>
    <w:rsid w:val="00C332AD"/>
    <w:rsid w:val="00C37D29"/>
    <w:rsid w:val="00C41B4C"/>
    <w:rsid w:val="00C444CC"/>
    <w:rsid w:val="00C45531"/>
    <w:rsid w:val="00C50A9D"/>
    <w:rsid w:val="00C531DE"/>
    <w:rsid w:val="00C55E37"/>
    <w:rsid w:val="00C5674C"/>
    <w:rsid w:val="00C610C3"/>
    <w:rsid w:val="00C62057"/>
    <w:rsid w:val="00C63C0C"/>
    <w:rsid w:val="00C647C7"/>
    <w:rsid w:val="00C667A6"/>
    <w:rsid w:val="00C723F0"/>
    <w:rsid w:val="00C75742"/>
    <w:rsid w:val="00C76EE1"/>
    <w:rsid w:val="00C76F79"/>
    <w:rsid w:val="00C80EDD"/>
    <w:rsid w:val="00C82886"/>
    <w:rsid w:val="00C845CC"/>
    <w:rsid w:val="00C93206"/>
    <w:rsid w:val="00C94A63"/>
    <w:rsid w:val="00C96AAD"/>
    <w:rsid w:val="00CA15A0"/>
    <w:rsid w:val="00CB0DDE"/>
    <w:rsid w:val="00CB0E60"/>
    <w:rsid w:val="00CB767B"/>
    <w:rsid w:val="00CC4840"/>
    <w:rsid w:val="00CC5ACE"/>
    <w:rsid w:val="00CC7A2F"/>
    <w:rsid w:val="00CC7FF9"/>
    <w:rsid w:val="00CD10F9"/>
    <w:rsid w:val="00CD2D3E"/>
    <w:rsid w:val="00CD39E1"/>
    <w:rsid w:val="00CD4995"/>
    <w:rsid w:val="00CD5875"/>
    <w:rsid w:val="00CE1BD7"/>
    <w:rsid w:val="00CE23E5"/>
    <w:rsid w:val="00CE32FD"/>
    <w:rsid w:val="00CE51AB"/>
    <w:rsid w:val="00CE5BB5"/>
    <w:rsid w:val="00CE79C1"/>
    <w:rsid w:val="00CF1219"/>
    <w:rsid w:val="00CF633D"/>
    <w:rsid w:val="00D00224"/>
    <w:rsid w:val="00D00CF9"/>
    <w:rsid w:val="00D04B23"/>
    <w:rsid w:val="00D056C7"/>
    <w:rsid w:val="00D06146"/>
    <w:rsid w:val="00D065DA"/>
    <w:rsid w:val="00D06BF3"/>
    <w:rsid w:val="00D1095D"/>
    <w:rsid w:val="00D13AC4"/>
    <w:rsid w:val="00D15C63"/>
    <w:rsid w:val="00D1672E"/>
    <w:rsid w:val="00D176B3"/>
    <w:rsid w:val="00D2001E"/>
    <w:rsid w:val="00D24369"/>
    <w:rsid w:val="00D26B4D"/>
    <w:rsid w:val="00D319B2"/>
    <w:rsid w:val="00D320EE"/>
    <w:rsid w:val="00D33A12"/>
    <w:rsid w:val="00D43447"/>
    <w:rsid w:val="00D43DFB"/>
    <w:rsid w:val="00D44BB2"/>
    <w:rsid w:val="00D46423"/>
    <w:rsid w:val="00D55736"/>
    <w:rsid w:val="00D615B7"/>
    <w:rsid w:val="00D61816"/>
    <w:rsid w:val="00D629ED"/>
    <w:rsid w:val="00D653DA"/>
    <w:rsid w:val="00D70BAD"/>
    <w:rsid w:val="00D71BA2"/>
    <w:rsid w:val="00D71E95"/>
    <w:rsid w:val="00D727E6"/>
    <w:rsid w:val="00D82DA9"/>
    <w:rsid w:val="00D844D5"/>
    <w:rsid w:val="00D84F38"/>
    <w:rsid w:val="00D85C6E"/>
    <w:rsid w:val="00D860D1"/>
    <w:rsid w:val="00D87555"/>
    <w:rsid w:val="00D901D7"/>
    <w:rsid w:val="00D90C0E"/>
    <w:rsid w:val="00D911F8"/>
    <w:rsid w:val="00D93154"/>
    <w:rsid w:val="00D934B5"/>
    <w:rsid w:val="00DA0F1B"/>
    <w:rsid w:val="00DA37D6"/>
    <w:rsid w:val="00DA3C0C"/>
    <w:rsid w:val="00DA4267"/>
    <w:rsid w:val="00DA6EEC"/>
    <w:rsid w:val="00DB2FCE"/>
    <w:rsid w:val="00DB3724"/>
    <w:rsid w:val="00DB7E1F"/>
    <w:rsid w:val="00DC0C14"/>
    <w:rsid w:val="00DC0C6C"/>
    <w:rsid w:val="00DC252B"/>
    <w:rsid w:val="00DC618C"/>
    <w:rsid w:val="00DD2039"/>
    <w:rsid w:val="00DD26E2"/>
    <w:rsid w:val="00DD3E1D"/>
    <w:rsid w:val="00DE0812"/>
    <w:rsid w:val="00DE301D"/>
    <w:rsid w:val="00DE3977"/>
    <w:rsid w:val="00DE3D5C"/>
    <w:rsid w:val="00DE7DDB"/>
    <w:rsid w:val="00DF1A4C"/>
    <w:rsid w:val="00DF3538"/>
    <w:rsid w:val="00DF3812"/>
    <w:rsid w:val="00DF4F6C"/>
    <w:rsid w:val="00DF6076"/>
    <w:rsid w:val="00E02EB3"/>
    <w:rsid w:val="00E03639"/>
    <w:rsid w:val="00E06F92"/>
    <w:rsid w:val="00E123C1"/>
    <w:rsid w:val="00E12438"/>
    <w:rsid w:val="00E16465"/>
    <w:rsid w:val="00E16AF4"/>
    <w:rsid w:val="00E270B3"/>
    <w:rsid w:val="00E322CC"/>
    <w:rsid w:val="00E33B2E"/>
    <w:rsid w:val="00E3486E"/>
    <w:rsid w:val="00E37901"/>
    <w:rsid w:val="00E41E26"/>
    <w:rsid w:val="00E449C4"/>
    <w:rsid w:val="00E50C79"/>
    <w:rsid w:val="00E50F0C"/>
    <w:rsid w:val="00E52032"/>
    <w:rsid w:val="00E52903"/>
    <w:rsid w:val="00E54404"/>
    <w:rsid w:val="00E624B2"/>
    <w:rsid w:val="00E64688"/>
    <w:rsid w:val="00E731B5"/>
    <w:rsid w:val="00E742E2"/>
    <w:rsid w:val="00E757CB"/>
    <w:rsid w:val="00E7606C"/>
    <w:rsid w:val="00E76486"/>
    <w:rsid w:val="00E84519"/>
    <w:rsid w:val="00E86920"/>
    <w:rsid w:val="00E87298"/>
    <w:rsid w:val="00E91B28"/>
    <w:rsid w:val="00E92136"/>
    <w:rsid w:val="00EA1063"/>
    <w:rsid w:val="00EA2848"/>
    <w:rsid w:val="00EA2AA0"/>
    <w:rsid w:val="00EA3E56"/>
    <w:rsid w:val="00EA3ED2"/>
    <w:rsid w:val="00EB1A6D"/>
    <w:rsid w:val="00EB1E23"/>
    <w:rsid w:val="00EB3600"/>
    <w:rsid w:val="00EB67AA"/>
    <w:rsid w:val="00EB6CEF"/>
    <w:rsid w:val="00EB6FBF"/>
    <w:rsid w:val="00EC2000"/>
    <w:rsid w:val="00EC44B4"/>
    <w:rsid w:val="00EC69D6"/>
    <w:rsid w:val="00ED16BD"/>
    <w:rsid w:val="00ED4026"/>
    <w:rsid w:val="00ED6E9C"/>
    <w:rsid w:val="00EE446E"/>
    <w:rsid w:val="00EE6A11"/>
    <w:rsid w:val="00EF095A"/>
    <w:rsid w:val="00EF0975"/>
    <w:rsid w:val="00EF3B6A"/>
    <w:rsid w:val="00F00EC6"/>
    <w:rsid w:val="00F01C1A"/>
    <w:rsid w:val="00F04196"/>
    <w:rsid w:val="00F05E9C"/>
    <w:rsid w:val="00F10450"/>
    <w:rsid w:val="00F12747"/>
    <w:rsid w:val="00F1444C"/>
    <w:rsid w:val="00F162DA"/>
    <w:rsid w:val="00F17F4D"/>
    <w:rsid w:val="00F238EE"/>
    <w:rsid w:val="00F31936"/>
    <w:rsid w:val="00F42312"/>
    <w:rsid w:val="00F432FC"/>
    <w:rsid w:val="00F44AE3"/>
    <w:rsid w:val="00F47034"/>
    <w:rsid w:val="00F50A2D"/>
    <w:rsid w:val="00F512B9"/>
    <w:rsid w:val="00F514DB"/>
    <w:rsid w:val="00F542D8"/>
    <w:rsid w:val="00F54B97"/>
    <w:rsid w:val="00F57B19"/>
    <w:rsid w:val="00F6098E"/>
    <w:rsid w:val="00F619DB"/>
    <w:rsid w:val="00F66195"/>
    <w:rsid w:val="00F70A6D"/>
    <w:rsid w:val="00F71606"/>
    <w:rsid w:val="00F71869"/>
    <w:rsid w:val="00F72835"/>
    <w:rsid w:val="00F75F30"/>
    <w:rsid w:val="00F87BC1"/>
    <w:rsid w:val="00F900E4"/>
    <w:rsid w:val="00F90982"/>
    <w:rsid w:val="00F93E7C"/>
    <w:rsid w:val="00F94E59"/>
    <w:rsid w:val="00F962E5"/>
    <w:rsid w:val="00F96712"/>
    <w:rsid w:val="00FA0FC9"/>
    <w:rsid w:val="00FA2F1D"/>
    <w:rsid w:val="00FA4596"/>
    <w:rsid w:val="00FA46F6"/>
    <w:rsid w:val="00FA51CA"/>
    <w:rsid w:val="00FB6C12"/>
    <w:rsid w:val="00FC59E6"/>
    <w:rsid w:val="00FC5B0C"/>
    <w:rsid w:val="00FD14E3"/>
    <w:rsid w:val="00FD1E18"/>
    <w:rsid w:val="00FD6801"/>
    <w:rsid w:val="00FD6925"/>
    <w:rsid w:val="00FE2327"/>
    <w:rsid w:val="00FE329C"/>
    <w:rsid w:val="00FE32ED"/>
    <w:rsid w:val="00FE6632"/>
    <w:rsid w:val="00FF21DC"/>
    <w:rsid w:val="00FF2DED"/>
    <w:rsid w:val="00FF364D"/>
    <w:rsid w:val="00FF4780"/>
    <w:rsid w:val="00FF66CC"/>
    <w:rsid w:val="00FF7010"/>
    <w:rsid w:val="01DD5DA0"/>
    <w:rsid w:val="06B04F83"/>
    <w:rsid w:val="0B5459A6"/>
    <w:rsid w:val="0C3C2204"/>
    <w:rsid w:val="0DB8173F"/>
    <w:rsid w:val="164308D3"/>
    <w:rsid w:val="189C724B"/>
    <w:rsid w:val="1DA30EAE"/>
    <w:rsid w:val="1ED05944"/>
    <w:rsid w:val="1FAC13D7"/>
    <w:rsid w:val="2335574C"/>
    <w:rsid w:val="24C65BE1"/>
    <w:rsid w:val="2BFE3460"/>
    <w:rsid w:val="2C861768"/>
    <w:rsid w:val="33F67080"/>
    <w:rsid w:val="36815109"/>
    <w:rsid w:val="388867FB"/>
    <w:rsid w:val="39C27B24"/>
    <w:rsid w:val="3A6C73AF"/>
    <w:rsid w:val="41044728"/>
    <w:rsid w:val="42C66440"/>
    <w:rsid w:val="4C00031E"/>
    <w:rsid w:val="4E71326E"/>
    <w:rsid w:val="51395357"/>
    <w:rsid w:val="54DE0483"/>
    <w:rsid w:val="54F820EE"/>
    <w:rsid w:val="580602E1"/>
    <w:rsid w:val="5BFB5844"/>
    <w:rsid w:val="5D8B5AF4"/>
    <w:rsid w:val="5DDE3D19"/>
    <w:rsid w:val="5FBF733D"/>
    <w:rsid w:val="61355E00"/>
    <w:rsid w:val="613C540F"/>
    <w:rsid w:val="62035F2D"/>
    <w:rsid w:val="64B03D61"/>
    <w:rsid w:val="66925F52"/>
    <w:rsid w:val="670B7696"/>
    <w:rsid w:val="6AFE261E"/>
    <w:rsid w:val="6FDB1D81"/>
    <w:rsid w:val="7413081B"/>
    <w:rsid w:val="74C2049A"/>
    <w:rsid w:val="75E23D29"/>
    <w:rsid w:val="7764686F"/>
    <w:rsid w:val="79B379D1"/>
    <w:rsid w:val="7C465210"/>
    <w:rsid w:val="7DED5808"/>
    <w:rsid w:val="7F6551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0"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nhideWhenUsed="0"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uiPriority="99"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qFormat="1" w:uiPriority="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99" w:name="Body Text First Indent"/>
    <w:lsdException w:uiPriority="99" w:name="Body Text First Indent 2"/>
    <w:lsdException w:qFormat="1" w:unhideWhenUsed="0" w:uiPriority="99" w:name="Note Heading"/>
    <w:lsdException w:uiPriority="99"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qFormat="1" w:uiPriority="99" w:semiHidden="0" w:name="HTML Cite"/>
    <w:lsdException w:qFormat="1" w:uiPriority="99" w:semiHidden="0" w:name="HTML Code"/>
    <w:lsdException w:qFormat="1" w:uiPriority="99" w:semiHidden="0" w:name="HTML Definition"/>
    <w:lsdException w:uiPriority="99" w:name="HTML Keyboard"/>
    <w:lsdException w:uiPriority="99" w:name="HTML Preformatted"/>
    <w:lsdException w:uiPriority="99" w:name="HTML Sample"/>
    <w:lsdException w:uiPriority="99" w:name="HTML Typewriter"/>
    <w:lsdException w:qFormat="1" w:uiPriority="99" w:semiHidden="0" w:name="HTML Variable"/>
    <w:lsdException w:qFormat="1" w:uiPriority="99" w:name="Normal Table"/>
    <w:lsdException w:qFormat="1" w:unhideWhenUsed="0"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ind w:firstLine="200" w:firstLineChars="200"/>
      <w:jc w:val="both"/>
    </w:pPr>
    <w:rPr>
      <w:rFonts w:ascii="Times New Roman" w:hAnsi="Times New Roman" w:eastAsia="宋体" w:cstheme="minorBidi"/>
      <w:kern w:val="2"/>
      <w:sz w:val="24"/>
      <w:szCs w:val="22"/>
      <w:lang w:val="en-US" w:eastAsia="zh-CN" w:bidi="ar-SA"/>
    </w:rPr>
  </w:style>
  <w:style w:type="paragraph" w:styleId="2">
    <w:name w:val="heading 1"/>
    <w:next w:val="1"/>
    <w:link w:val="50"/>
    <w:qFormat/>
    <w:uiPriority w:val="0"/>
    <w:pPr>
      <w:keepNext/>
      <w:keepLines/>
      <w:pageBreakBefore/>
      <w:numPr>
        <w:ilvl w:val="0"/>
        <w:numId w:val="1"/>
      </w:numPr>
      <w:spacing w:before="240" w:after="120" w:line="360" w:lineRule="auto"/>
      <w:jc w:val="both"/>
      <w:outlineLvl w:val="0"/>
    </w:pPr>
    <w:rPr>
      <w:rFonts w:ascii="Arial" w:hAnsi="Arial" w:eastAsia="黑体" w:cstheme="minorBidi"/>
      <w:b/>
      <w:bCs/>
      <w:kern w:val="44"/>
      <w:sz w:val="32"/>
      <w:szCs w:val="44"/>
      <w:lang w:val="en-US" w:eastAsia="zh-CN" w:bidi="ar-SA"/>
    </w:rPr>
  </w:style>
  <w:style w:type="paragraph" w:styleId="3">
    <w:name w:val="heading 2"/>
    <w:basedOn w:val="2"/>
    <w:next w:val="1"/>
    <w:link w:val="51"/>
    <w:unhideWhenUsed/>
    <w:qFormat/>
    <w:uiPriority w:val="0"/>
    <w:pPr>
      <w:pageBreakBefore w:val="0"/>
      <w:numPr>
        <w:ilvl w:val="1"/>
      </w:numPr>
      <w:ind w:firstLine="0"/>
      <w:jc w:val="left"/>
      <w:outlineLvl w:val="1"/>
    </w:pPr>
    <w:rPr>
      <w:rFonts w:cs="Times New Roman"/>
      <w:b w:val="0"/>
      <w:bCs w:val="0"/>
      <w:sz w:val="28"/>
      <w:szCs w:val="32"/>
    </w:rPr>
  </w:style>
  <w:style w:type="paragraph" w:styleId="4">
    <w:name w:val="heading 3"/>
    <w:basedOn w:val="3"/>
    <w:next w:val="1"/>
    <w:link w:val="52"/>
    <w:unhideWhenUsed/>
    <w:qFormat/>
    <w:uiPriority w:val="9"/>
    <w:pPr>
      <w:numPr>
        <w:ilvl w:val="2"/>
      </w:numPr>
      <w:spacing w:before="100"/>
      <w:ind w:firstLine="0"/>
      <w:outlineLvl w:val="2"/>
    </w:pPr>
    <w:rPr>
      <w:bCs/>
      <w:sz w:val="24"/>
    </w:rPr>
  </w:style>
  <w:style w:type="paragraph" w:styleId="5">
    <w:name w:val="heading 4"/>
    <w:basedOn w:val="4"/>
    <w:next w:val="1"/>
    <w:link w:val="53"/>
    <w:unhideWhenUsed/>
    <w:qFormat/>
    <w:uiPriority w:val="9"/>
    <w:pPr>
      <w:numPr>
        <w:ilvl w:val="3"/>
      </w:numPr>
      <w:spacing w:before="0" w:after="0"/>
      <w:ind w:firstLine="0"/>
      <w:outlineLvl w:val="3"/>
    </w:pPr>
    <w:rPr>
      <w:bCs w:val="0"/>
      <w:szCs w:val="28"/>
    </w:rPr>
  </w:style>
  <w:style w:type="paragraph" w:styleId="6">
    <w:name w:val="heading 5"/>
    <w:basedOn w:val="5"/>
    <w:next w:val="1"/>
    <w:link w:val="66"/>
    <w:unhideWhenUsed/>
    <w:qFormat/>
    <w:uiPriority w:val="9"/>
    <w:pPr>
      <w:numPr>
        <w:ilvl w:val="4"/>
      </w:numPr>
      <w:outlineLvl w:val="4"/>
    </w:pPr>
    <w:rPr>
      <w:rFonts w:ascii="Times New Roman" w:hAnsi="Times New Roman" w:eastAsia="宋体"/>
      <w:b/>
      <w:bCs/>
    </w:rPr>
  </w:style>
  <w:style w:type="paragraph" w:styleId="7">
    <w:name w:val="heading 6"/>
    <w:next w:val="1"/>
    <w:link w:val="67"/>
    <w:unhideWhenUsed/>
    <w:qFormat/>
    <w:uiPriority w:val="9"/>
    <w:pPr>
      <w:keepNext/>
      <w:keepLines/>
      <w:spacing w:line="360" w:lineRule="auto"/>
      <w:outlineLvl w:val="5"/>
    </w:pPr>
    <w:rPr>
      <w:rFonts w:ascii="宋体" w:eastAsia="宋体" w:hAnsiTheme="majorHAnsi" w:cstheme="majorBidi"/>
      <w:bCs/>
      <w:kern w:val="2"/>
      <w:sz w:val="24"/>
      <w:szCs w:val="24"/>
      <w:lang w:val="en-US" w:eastAsia="zh-CN" w:bidi="ar-SA"/>
    </w:rPr>
  </w:style>
  <w:style w:type="paragraph" w:styleId="8">
    <w:name w:val="heading 7"/>
    <w:next w:val="1"/>
    <w:link w:val="68"/>
    <w:unhideWhenUsed/>
    <w:qFormat/>
    <w:uiPriority w:val="9"/>
    <w:pPr>
      <w:keepNext/>
      <w:keepLines/>
      <w:spacing w:line="360" w:lineRule="auto"/>
      <w:outlineLvl w:val="6"/>
    </w:pPr>
    <w:rPr>
      <w:rFonts w:ascii="宋体" w:eastAsia="宋体" w:hAnsiTheme="minorHAnsi" w:cstheme="minorBidi"/>
      <w:bCs/>
      <w:kern w:val="2"/>
      <w:sz w:val="24"/>
      <w:szCs w:val="24"/>
      <w:lang w:val="en-US" w:eastAsia="zh-CN" w:bidi="ar-SA"/>
    </w:rPr>
  </w:style>
  <w:style w:type="paragraph" w:styleId="9">
    <w:name w:val="heading 8"/>
    <w:next w:val="1"/>
    <w:link w:val="69"/>
    <w:unhideWhenUsed/>
    <w:qFormat/>
    <w:uiPriority w:val="0"/>
    <w:pPr>
      <w:keepNext/>
      <w:keepLines/>
      <w:spacing w:line="360" w:lineRule="auto"/>
      <w:outlineLvl w:val="7"/>
    </w:pPr>
    <w:rPr>
      <w:rFonts w:ascii="宋体" w:eastAsia="宋体" w:hAnsiTheme="majorHAnsi" w:cstheme="majorBidi"/>
      <w:kern w:val="2"/>
      <w:sz w:val="24"/>
      <w:szCs w:val="24"/>
      <w:lang w:val="en-US" w:eastAsia="zh-CN" w:bidi="ar-SA"/>
    </w:rPr>
  </w:style>
  <w:style w:type="paragraph" w:styleId="10">
    <w:name w:val="heading 9"/>
    <w:next w:val="1"/>
    <w:link w:val="70"/>
    <w:unhideWhenUsed/>
    <w:qFormat/>
    <w:uiPriority w:val="9"/>
    <w:pPr>
      <w:keepNext/>
      <w:keepLines/>
      <w:spacing w:line="360" w:lineRule="auto"/>
      <w:outlineLvl w:val="8"/>
    </w:pPr>
    <w:rPr>
      <w:rFonts w:ascii="宋体" w:eastAsia="宋体" w:hAnsiTheme="majorHAnsi" w:cstheme="majorBidi"/>
      <w:kern w:val="2"/>
      <w:sz w:val="24"/>
      <w:szCs w:val="21"/>
      <w:lang w:val="en-US" w:eastAsia="zh-CN" w:bidi="ar-SA"/>
    </w:rPr>
  </w:style>
  <w:style w:type="character" w:default="1" w:styleId="39">
    <w:name w:val="Default Paragraph Font"/>
    <w:semiHidden/>
    <w:unhideWhenUsed/>
    <w:qFormat/>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widowControl w:val="0"/>
      <w:spacing w:after="160" w:line="278" w:lineRule="auto"/>
      <w:ind w:left="2520" w:leftChars="1200" w:firstLine="0" w:firstLineChars="0"/>
      <w:jc w:val="left"/>
    </w:pPr>
    <w:rPr>
      <w:rFonts w:asciiTheme="minorHAnsi" w:hAnsiTheme="minorHAnsi" w:eastAsiaTheme="minorEastAsia"/>
      <w:sz w:val="22"/>
      <w:szCs w:val="24"/>
      <w14:ligatures w14:val="standardContextual"/>
    </w:rPr>
  </w:style>
  <w:style w:type="paragraph" w:styleId="12">
    <w:name w:val="Note Heading"/>
    <w:basedOn w:val="1"/>
    <w:next w:val="1"/>
    <w:link w:val="82"/>
    <w:semiHidden/>
    <w:qFormat/>
    <w:uiPriority w:val="99"/>
    <w:pPr>
      <w:framePr w:wrap="around" w:vAnchor="margin" w:hAnchor="text" w:y="1"/>
      <w:spacing w:beforeAutospacing="1"/>
      <w:ind w:firstLine="0" w:firstLineChars="0"/>
      <w:jc w:val="center"/>
    </w:pPr>
    <w:rPr>
      <w:rFonts w:ascii="Calibri" w:hAnsi="Calibri" w:cs="Times New Roman"/>
      <w:kern w:val="0"/>
      <w:sz w:val="20"/>
      <w:szCs w:val="20"/>
    </w:rPr>
  </w:style>
  <w:style w:type="paragraph" w:styleId="13">
    <w:name w:val="Normal Indent"/>
    <w:basedOn w:val="1"/>
    <w:link w:val="102"/>
    <w:qFormat/>
    <w:uiPriority w:val="99"/>
    <w:pPr>
      <w:widowControl w:val="0"/>
      <w:snapToGrid w:val="0"/>
      <w:ind w:firstLine="420" w:firstLineChars="0"/>
    </w:pPr>
    <w:rPr>
      <w:rFonts w:cs="Times New Roman"/>
      <w:spacing w:val="10"/>
      <w:kern w:val="0"/>
      <w:szCs w:val="20"/>
    </w:rPr>
  </w:style>
  <w:style w:type="paragraph" w:styleId="14">
    <w:name w:val="caption"/>
    <w:basedOn w:val="1"/>
    <w:next w:val="1"/>
    <w:link w:val="81"/>
    <w:qFormat/>
    <w:uiPriority w:val="35"/>
    <w:pPr>
      <w:spacing w:beforeAutospacing="1"/>
      <w:ind w:firstLine="0" w:firstLineChars="0"/>
      <w:jc w:val="left"/>
    </w:pPr>
    <w:rPr>
      <w:rFonts w:eastAsia="黑体" w:asciiTheme="majorHAnsi" w:hAnsiTheme="majorHAnsi" w:cstheme="majorBidi"/>
      <w:kern w:val="0"/>
      <w:sz w:val="20"/>
      <w:szCs w:val="20"/>
    </w:rPr>
  </w:style>
  <w:style w:type="paragraph" w:styleId="15">
    <w:name w:val="Document Map"/>
    <w:basedOn w:val="1"/>
    <w:link w:val="122"/>
    <w:unhideWhenUsed/>
    <w:qFormat/>
    <w:uiPriority w:val="99"/>
    <w:pPr>
      <w:widowControl w:val="0"/>
      <w:spacing w:line="240" w:lineRule="auto"/>
      <w:ind w:firstLine="0" w:firstLineChars="0"/>
    </w:pPr>
    <w:rPr>
      <w:rFonts w:ascii="宋体" w:cs="Times New Roman"/>
      <w:kern w:val="0"/>
      <w:sz w:val="18"/>
      <w:szCs w:val="18"/>
    </w:rPr>
  </w:style>
  <w:style w:type="paragraph" w:styleId="16">
    <w:name w:val="annotation text"/>
    <w:basedOn w:val="1"/>
    <w:link w:val="71"/>
    <w:qFormat/>
    <w:uiPriority w:val="99"/>
    <w:pPr>
      <w:spacing w:beforeAutospacing="1"/>
      <w:ind w:firstLine="0" w:firstLineChars="0"/>
      <w:jc w:val="left"/>
    </w:pPr>
    <w:rPr>
      <w:rFonts w:ascii="Calibri" w:hAnsi="Calibri" w:cs="Times New Roman"/>
      <w:kern w:val="0"/>
      <w:sz w:val="20"/>
      <w:szCs w:val="20"/>
    </w:rPr>
  </w:style>
  <w:style w:type="paragraph" w:styleId="17">
    <w:name w:val="Body Text"/>
    <w:basedOn w:val="1"/>
    <w:link w:val="83"/>
    <w:qFormat/>
    <w:uiPriority w:val="0"/>
    <w:pPr>
      <w:spacing w:beforeAutospacing="1" w:after="120"/>
      <w:ind w:firstLine="0" w:firstLineChars="0"/>
      <w:jc w:val="left"/>
    </w:pPr>
    <w:rPr>
      <w:rFonts w:ascii="Calibri" w:hAnsi="Calibri" w:cs="Times New Roman"/>
      <w:kern w:val="0"/>
      <w:sz w:val="20"/>
      <w:szCs w:val="20"/>
    </w:rPr>
  </w:style>
  <w:style w:type="paragraph" w:styleId="18">
    <w:name w:val="Body Text Indent"/>
    <w:basedOn w:val="1"/>
    <w:link w:val="123"/>
    <w:qFormat/>
    <w:uiPriority w:val="0"/>
    <w:pPr>
      <w:widowControl w:val="0"/>
      <w:tabs>
        <w:tab w:val="left" w:pos="4305"/>
      </w:tabs>
      <w:adjustRightInd w:val="0"/>
      <w:snapToGrid w:val="0"/>
      <w:ind w:firstLine="561" w:firstLineChars="0"/>
    </w:pPr>
    <w:rPr>
      <w:rFonts w:ascii="宋体" w:hAnsi="宋体" w:cs="Times New Roman"/>
      <w:color w:val="000000"/>
      <w:szCs w:val="24"/>
    </w:rPr>
  </w:style>
  <w:style w:type="paragraph" w:styleId="19">
    <w:name w:val="toc 5"/>
    <w:basedOn w:val="1"/>
    <w:next w:val="1"/>
    <w:qFormat/>
    <w:uiPriority w:val="39"/>
    <w:pPr>
      <w:spacing w:beforeAutospacing="1"/>
      <w:ind w:left="1680" w:leftChars="800" w:firstLine="0" w:firstLineChars="0"/>
      <w:jc w:val="left"/>
    </w:pPr>
    <w:rPr>
      <w:rFonts w:ascii="Calibri" w:hAnsi="Calibri" w:cs="Times New Roman"/>
      <w:kern w:val="0"/>
      <w:sz w:val="20"/>
      <w:szCs w:val="20"/>
    </w:rPr>
  </w:style>
  <w:style w:type="paragraph" w:styleId="20">
    <w:name w:val="toc 3"/>
    <w:basedOn w:val="1"/>
    <w:next w:val="1"/>
    <w:unhideWhenUsed/>
    <w:qFormat/>
    <w:uiPriority w:val="39"/>
    <w:pPr>
      <w:ind w:left="840" w:leftChars="400"/>
    </w:pPr>
  </w:style>
  <w:style w:type="paragraph" w:styleId="21">
    <w:name w:val="toc 8"/>
    <w:basedOn w:val="1"/>
    <w:next w:val="1"/>
    <w:unhideWhenUsed/>
    <w:qFormat/>
    <w:uiPriority w:val="39"/>
    <w:pPr>
      <w:widowControl w:val="0"/>
      <w:spacing w:after="160" w:line="278" w:lineRule="auto"/>
      <w:ind w:left="2940" w:leftChars="1400" w:firstLine="0" w:firstLineChars="0"/>
      <w:jc w:val="left"/>
    </w:pPr>
    <w:rPr>
      <w:rFonts w:asciiTheme="minorHAnsi" w:hAnsiTheme="minorHAnsi" w:eastAsiaTheme="minorEastAsia"/>
      <w:sz w:val="22"/>
      <w:szCs w:val="24"/>
      <w14:ligatures w14:val="standardContextual"/>
    </w:rPr>
  </w:style>
  <w:style w:type="paragraph" w:styleId="22">
    <w:name w:val="endnote text"/>
    <w:basedOn w:val="1"/>
    <w:link w:val="80"/>
    <w:semiHidden/>
    <w:qFormat/>
    <w:uiPriority w:val="99"/>
    <w:pPr>
      <w:snapToGrid w:val="0"/>
      <w:spacing w:beforeAutospacing="1"/>
      <w:ind w:firstLine="0" w:firstLineChars="0"/>
      <w:jc w:val="left"/>
    </w:pPr>
    <w:rPr>
      <w:rFonts w:ascii="Calibri" w:hAnsi="Calibri" w:cs="Times New Roman"/>
      <w:kern w:val="0"/>
      <w:sz w:val="20"/>
      <w:szCs w:val="20"/>
    </w:rPr>
  </w:style>
  <w:style w:type="paragraph" w:styleId="23">
    <w:name w:val="Balloon Text"/>
    <w:basedOn w:val="1"/>
    <w:link w:val="79"/>
    <w:qFormat/>
    <w:uiPriority w:val="99"/>
    <w:pPr>
      <w:spacing w:beforeAutospacing="1"/>
      <w:ind w:firstLine="0" w:firstLineChars="0"/>
      <w:jc w:val="left"/>
    </w:pPr>
    <w:rPr>
      <w:rFonts w:ascii="Calibri" w:hAnsi="Calibri" w:cs="Times New Roman"/>
      <w:kern w:val="0"/>
      <w:sz w:val="18"/>
      <w:szCs w:val="18"/>
    </w:rPr>
  </w:style>
  <w:style w:type="paragraph" w:styleId="24">
    <w:name w:val="footer"/>
    <w:basedOn w:val="1"/>
    <w:link w:val="74"/>
    <w:qFormat/>
    <w:uiPriority w:val="99"/>
    <w:pPr>
      <w:tabs>
        <w:tab w:val="center" w:pos="4153"/>
        <w:tab w:val="right" w:pos="8306"/>
      </w:tabs>
      <w:snapToGrid w:val="0"/>
      <w:spacing w:beforeAutospacing="1"/>
      <w:ind w:firstLine="0" w:firstLineChars="0"/>
      <w:jc w:val="left"/>
    </w:pPr>
    <w:rPr>
      <w:rFonts w:ascii="Calibri" w:hAnsi="Calibri" w:cs="Times New Roman"/>
      <w:kern w:val="0"/>
      <w:sz w:val="18"/>
      <w:szCs w:val="18"/>
    </w:rPr>
  </w:style>
  <w:style w:type="paragraph" w:styleId="25">
    <w:name w:val="header"/>
    <w:basedOn w:val="1"/>
    <w:link w:val="73"/>
    <w:qFormat/>
    <w:uiPriority w:val="0"/>
    <w:pPr>
      <w:pBdr>
        <w:bottom w:val="single" w:color="auto" w:sz="6" w:space="1"/>
      </w:pBdr>
      <w:tabs>
        <w:tab w:val="center" w:pos="4153"/>
        <w:tab w:val="right" w:pos="8306"/>
      </w:tabs>
      <w:snapToGrid w:val="0"/>
      <w:spacing w:beforeAutospacing="1"/>
      <w:ind w:firstLine="0" w:firstLineChars="0"/>
      <w:jc w:val="center"/>
    </w:pPr>
    <w:rPr>
      <w:rFonts w:ascii="Calibri" w:hAnsi="Calibri" w:cs="Times New Roman"/>
      <w:kern w:val="0"/>
      <w:sz w:val="18"/>
      <w:szCs w:val="18"/>
    </w:rPr>
  </w:style>
  <w:style w:type="paragraph" w:styleId="26">
    <w:name w:val="toc 1"/>
    <w:basedOn w:val="1"/>
    <w:next w:val="1"/>
    <w:qFormat/>
    <w:uiPriority w:val="39"/>
    <w:pPr>
      <w:tabs>
        <w:tab w:val="right" w:leader="dot" w:pos="8296"/>
      </w:tabs>
      <w:ind w:firstLine="0" w:firstLineChars="0"/>
      <w:jc w:val="left"/>
    </w:pPr>
    <w:rPr>
      <w:rFonts w:cs="Times New Roman"/>
      <w:b/>
      <w:bCs/>
      <w:kern w:val="0"/>
      <w:szCs w:val="24"/>
    </w:rPr>
  </w:style>
  <w:style w:type="paragraph" w:styleId="27">
    <w:name w:val="List Continue 4"/>
    <w:basedOn w:val="1"/>
    <w:qFormat/>
    <w:uiPriority w:val="0"/>
    <w:pPr>
      <w:widowControl w:val="0"/>
      <w:tabs>
        <w:tab w:val="left" w:pos="377"/>
      </w:tabs>
      <w:spacing w:after="120" w:line="240" w:lineRule="auto"/>
      <w:ind w:left="1680" w:firstLine="0" w:firstLineChars="0"/>
    </w:pPr>
    <w:rPr>
      <w:rFonts w:cs="Times New Roman"/>
      <w:kern w:val="0"/>
      <w:sz w:val="20"/>
      <w:szCs w:val="24"/>
    </w:rPr>
  </w:style>
  <w:style w:type="paragraph" w:styleId="28">
    <w:name w:val="toc 4"/>
    <w:basedOn w:val="1"/>
    <w:next w:val="1"/>
    <w:unhideWhenUsed/>
    <w:qFormat/>
    <w:uiPriority w:val="39"/>
    <w:pPr>
      <w:widowControl w:val="0"/>
      <w:spacing w:after="160" w:line="278" w:lineRule="auto"/>
      <w:ind w:left="1260" w:leftChars="600" w:firstLine="0" w:firstLineChars="0"/>
      <w:jc w:val="left"/>
    </w:pPr>
    <w:rPr>
      <w:rFonts w:asciiTheme="minorHAnsi" w:hAnsiTheme="minorHAnsi" w:eastAsiaTheme="minorEastAsia"/>
      <w:sz w:val="22"/>
      <w:szCs w:val="24"/>
      <w14:ligatures w14:val="standardContextual"/>
    </w:rPr>
  </w:style>
  <w:style w:type="paragraph" w:styleId="29">
    <w:name w:val="List"/>
    <w:next w:val="1"/>
    <w:semiHidden/>
    <w:unhideWhenUsed/>
    <w:qFormat/>
    <w:uiPriority w:val="0"/>
    <w:pPr>
      <w:contextualSpacing/>
      <w:jc w:val="center"/>
    </w:pPr>
    <w:rPr>
      <w:rFonts w:ascii="宋体" w:hAnsi="宋体" w:eastAsia="宋体" w:cs="Times New Roman"/>
      <w:kern w:val="2"/>
      <w:sz w:val="21"/>
      <w:szCs w:val="22"/>
      <w:lang w:val="en-US" w:eastAsia="zh-CN" w:bidi="ar-SA"/>
    </w:rPr>
  </w:style>
  <w:style w:type="paragraph" w:styleId="30">
    <w:name w:val="toc 6"/>
    <w:basedOn w:val="1"/>
    <w:next w:val="1"/>
    <w:unhideWhenUsed/>
    <w:qFormat/>
    <w:uiPriority w:val="39"/>
    <w:pPr>
      <w:widowControl w:val="0"/>
      <w:spacing w:after="160" w:line="278" w:lineRule="auto"/>
      <w:ind w:left="2100" w:leftChars="1000" w:firstLine="0" w:firstLineChars="0"/>
      <w:jc w:val="left"/>
    </w:pPr>
    <w:rPr>
      <w:rFonts w:asciiTheme="minorHAnsi" w:hAnsiTheme="minorHAnsi" w:eastAsiaTheme="minorEastAsia"/>
      <w:sz w:val="22"/>
      <w:szCs w:val="24"/>
      <w14:ligatures w14:val="standardContextual"/>
    </w:rPr>
  </w:style>
  <w:style w:type="paragraph" w:styleId="31">
    <w:name w:val="Body Text Indent 3"/>
    <w:basedOn w:val="1"/>
    <w:link w:val="124"/>
    <w:qFormat/>
    <w:uiPriority w:val="0"/>
    <w:pPr>
      <w:widowControl w:val="0"/>
      <w:spacing w:after="120" w:line="240" w:lineRule="auto"/>
      <w:ind w:left="420" w:leftChars="200" w:firstLine="0" w:firstLineChars="0"/>
    </w:pPr>
    <w:rPr>
      <w:rFonts w:cs="Times New Roman"/>
      <w:sz w:val="16"/>
      <w:szCs w:val="16"/>
    </w:rPr>
  </w:style>
  <w:style w:type="paragraph" w:styleId="32">
    <w:name w:val="toc 2"/>
    <w:basedOn w:val="1"/>
    <w:next w:val="1"/>
    <w:qFormat/>
    <w:uiPriority w:val="39"/>
    <w:pPr>
      <w:spacing w:beforeAutospacing="1"/>
      <w:ind w:left="420" w:leftChars="200" w:firstLine="0" w:firstLineChars="0"/>
      <w:jc w:val="left"/>
    </w:pPr>
    <w:rPr>
      <w:rFonts w:ascii="Calibri" w:hAnsi="Calibri" w:cs="Times New Roman"/>
      <w:kern w:val="0"/>
      <w:sz w:val="20"/>
      <w:szCs w:val="20"/>
    </w:rPr>
  </w:style>
  <w:style w:type="paragraph" w:styleId="33">
    <w:name w:val="toc 9"/>
    <w:basedOn w:val="1"/>
    <w:next w:val="1"/>
    <w:unhideWhenUsed/>
    <w:qFormat/>
    <w:uiPriority w:val="39"/>
    <w:pPr>
      <w:widowControl w:val="0"/>
      <w:spacing w:after="160" w:line="278" w:lineRule="auto"/>
      <w:ind w:left="3360" w:leftChars="1600" w:firstLine="0" w:firstLineChars="0"/>
      <w:jc w:val="left"/>
    </w:pPr>
    <w:rPr>
      <w:rFonts w:asciiTheme="minorHAnsi" w:hAnsiTheme="minorHAnsi" w:eastAsiaTheme="minorEastAsia"/>
      <w:sz w:val="22"/>
      <w:szCs w:val="24"/>
      <w14:ligatures w14:val="standardContextual"/>
    </w:rPr>
  </w:style>
  <w:style w:type="paragraph" w:styleId="34">
    <w:name w:val="Normal (Web)"/>
    <w:basedOn w:val="1"/>
    <w:qFormat/>
    <w:uiPriority w:val="99"/>
    <w:pPr>
      <w:tabs>
        <w:tab w:val="left" w:pos="377"/>
        <w:tab w:val="left" w:pos="2552"/>
      </w:tabs>
      <w:spacing w:before="100" w:beforeAutospacing="1" w:after="100" w:afterAutospacing="1" w:line="240" w:lineRule="auto"/>
      <w:ind w:firstLine="0" w:firstLineChars="0"/>
      <w:jc w:val="left"/>
    </w:pPr>
    <w:rPr>
      <w:rFonts w:ascii="宋体" w:cs="宋体"/>
      <w:color w:val="000000"/>
      <w:kern w:val="0"/>
      <w:szCs w:val="24"/>
    </w:rPr>
  </w:style>
  <w:style w:type="paragraph" w:styleId="35">
    <w:name w:val="annotation subject"/>
    <w:basedOn w:val="16"/>
    <w:next w:val="16"/>
    <w:link w:val="72"/>
    <w:semiHidden/>
    <w:qFormat/>
    <w:uiPriority w:val="99"/>
    <w:rPr>
      <w:b/>
      <w:bCs/>
    </w:rPr>
  </w:style>
  <w:style w:type="paragraph" w:styleId="36">
    <w:name w:val="Body Text First Indent"/>
    <w:basedOn w:val="17"/>
    <w:link w:val="84"/>
    <w:semiHidden/>
    <w:qFormat/>
    <w:uiPriority w:val="99"/>
    <w:pPr>
      <w:ind w:firstLine="420" w:firstLineChars="100"/>
    </w:p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0">
    <w:name w:val="Strong"/>
    <w:qFormat/>
    <w:uiPriority w:val="22"/>
    <w:rPr>
      <w:b/>
      <w:bCs/>
    </w:rPr>
  </w:style>
  <w:style w:type="character" w:styleId="41">
    <w:name w:val="endnote reference"/>
    <w:basedOn w:val="39"/>
    <w:semiHidden/>
    <w:qFormat/>
    <w:uiPriority w:val="99"/>
    <w:rPr>
      <w:vertAlign w:val="superscript"/>
    </w:rPr>
  </w:style>
  <w:style w:type="character" w:styleId="42">
    <w:name w:val="FollowedHyperlink"/>
    <w:basedOn w:val="39"/>
    <w:unhideWhenUsed/>
    <w:qFormat/>
    <w:uiPriority w:val="99"/>
    <w:rPr>
      <w:color w:val="954F72"/>
      <w:u w:val="single"/>
    </w:rPr>
  </w:style>
  <w:style w:type="character" w:styleId="43">
    <w:name w:val="Emphasis"/>
    <w:basedOn w:val="39"/>
    <w:qFormat/>
    <w:uiPriority w:val="20"/>
    <w:rPr>
      <w:i/>
      <w:iCs/>
    </w:rPr>
  </w:style>
  <w:style w:type="character" w:styleId="44">
    <w:name w:val="HTML Definition"/>
    <w:unhideWhenUsed/>
    <w:qFormat/>
    <w:uiPriority w:val="99"/>
  </w:style>
  <w:style w:type="character" w:styleId="45">
    <w:name w:val="HTML Variable"/>
    <w:unhideWhenUsed/>
    <w:qFormat/>
    <w:uiPriority w:val="99"/>
  </w:style>
  <w:style w:type="character" w:styleId="46">
    <w:name w:val="Hyperlink"/>
    <w:basedOn w:val="39"/>
    <w:unhideWhenUsed/>
    <w:qFormat/>
    <w:uiPriority w:val="99"/>
    <w:rPr>
      <w:color w:val="0563C1" w:themeColor="hyperlink"/>
      <w:u w:val="single"/>
      <w14:textFill>
        <w14:solidFill>
          <w14:schemeClr w14:val="hlink"/>
        </w14:solidFill>
      </w14:textFill>
    </w:rPr>
  </w:style>
  <w:style w:type="character" w:styleId="47">
    <w:name w:val="HTML Code"/>
    <w:unhideWhenUsed/>
    <w:qFormat/>
    <w:uiPriority w:val="99"/>
    <w:rPr>
      <w:rFonts w:ascii="Courier New" w:hAnsi="Courier New"/>
      <w:sz w:val="20"/>
    </w:rPr>
  </w:style>
  <w:style w:type="character" w:styleId="48">
    <w:name w:val="annotation reference"/>
    <w:basedOn w:val="39"/>
    <w:qFormat/>
    <w:uiPriority w:val="99"/>
    <w:rPr>
      <w:sz w:val="21"/>
      <w:szCs w:val="21"/>
    </w:rPr>
  </w:style>
  <w:style w:type="character" w:styleId="49">
    <w:name w:val="HTML Cite"/>
    <w:unhideWhenUsed/>
    <w:qFormat/>
    <w:uiPriority w:val="99"/>
  </w:style>
  <w:style w:type="character" w:customStyle="1" w:styleId="50">
    <w:name w:val="标题 1 字符"/>
    <w:basedOn w:val="39"/>
    <w:link w:val="2"/>
    <w:qFormat/>
    <w:uiPriority w:val="0"/>
    <w:rPr>
      <w:rFonts w:ascii="Arial" w:hAnsi="Arial" w:eastAsia="黑体"/>
      <w:b/>
      <w:bCs/>
      <w:kern w:val="44"/>
      <w:szCs w:val="44"/>
    </w:rPr>
  </w:style>
  <w:style w:type="character" w:customStyle="1" w:styleId="51">
    <w:name w:val="标题 2 字符"/>
    <w:basedOn w:val="39"/>
    <w:link w:val="3"/>
    <w:qFormat/>
    <w:uiPriority w:val="0"/>
    <w:rPr>
      <w:rFonts w:ascii="Arial" w:hAnsi="Arial" w:eastAsia="黑体" w:cs="Times New Roman"/>
      <w:kern w:val="44"/>
      <w:sz w:val="28"/>
      <w:szCs w:val="32"/>
    </w:rPr>
  </w:style>
  <w:style w:type="character" w:customStyle="1" w:styleId="52">
    <w:name w:val="标题 3 字符"/>
    <w:basedOn w:val="39"/>
    <w:link w:val="4"/>
    <w:qFormat/>
    <w:uiPriority w:val="9"/>
    <w:rPr>
      <w:rFonts w:ascii="Arial" w:hAnsi="Arial" w:eastAsia="黑体" w:cs="Times New Roman"/>
      <w:bCs/>
      <w:kern w:val="44"/>
      <w:sz w:val="24"/>
      <w:szCs w:val="32"/>
    </w:rPr>
  </w:style>
  <w:style w:type="character" w:customStyle="1" w:styleId="53">
    <w:name w:val="标题 4 字符"/>
    <w:basedOn w:val="39"/>
    <w:link w:val="5"/>
    <w:qFormat/>
    <w:uiPriority w:val="9"/>
    <w:rPr>
      <w:rFonts w:ascii="Arial" w:hAnsi="Arial" w:eastAsia="黑体" w:cs="Times New Roman"/>
      <w:kern w:val="44"/>
      <w:sz w:val="24"/>
      <w:szCs w:val="28"/>
    </w:rPr>
  </w:style>
  <w:style w:type="paragraph" w:customStyle="1" w:styleId="54">
    <w:name w:val="图表标题"/>
    <w:basedOn w:val="1"/>
    <w:next w:val="1"/>
    <w:qFormat/>
    <w:uiPriority w:val="0"/>
    <w:pPr>
      <w:ind w:firstLine="0" w:firstLineChars="0"/>
      <w:jc w:val="center"/>
    </w:pPr>
    <w:rPr>
      <w:b/>
      <w:sz w:val="21"/>
      <w:szCs w:val="24"/>
    </w:rPr>
  </w:style>
  <w:style w:type="paragraph" w:customStyle="1" w:styleId="55">
    <w:name w:val="STC 表格"/>
    <w:basedOn w:val="1"/>
    <w:link w:val="57"/>
    <w:qFormat/>
    <w:uiPriority w:val="0"/>
    <w:pPr>
      <w:widowControl w:val="0"/>
      <w:autoSpaceDE w:val="0"/>
      <w:autoSpaceDN w:val="0"/>
      <w:adjustRightInd w:val="0"/>
      <w:snapToGrid w:val="0"/>
      <w:spacing w:line="240" w:lineRule="auto"/>
      <w:ind w:firstLine="0" w:firstLineChars="0"/>
      <w:jc w:val="center"/>
    </w:pPr>
    <w:rPr>
      <w:rFonts w:ascii="宋体" w:hAnsi="宋体" w:cs="宋体"/>
      <w:kern w:val="0"/>
      <w:sz w:val="21"/>
      <w:szCs w:val="20"/>
      <w:lang w:eastAsia="en-US"/>
    </w:rPr>
  </w:style>
  <w:style w:type="paragraph" w:customStyle="1" w:styleId="56">
    <w:name w:val="表格文字"/>
    <w:basedOn w:val="1"/>
    <w:qFormat/>
    <w:uiPriority w:val="0"/>
    <w:pPr>
      <w:widowControl w:val="0"/>
      <w:autoSpaceDE w:val="0"/>
      <w:autoSpaceDN w:val="0"/>
      <w:spacing w:line="240" w:lineRule="auto"/>
      <w:ind w:firstLine="0" w:firstLineChars="0"/>
      <w:jc w:val="center"/>
    </w:pPr>
    <w:rPr>
      <w:rFonts w:cs="Times New Roman"/>
      <w:kern w:val="0"/>
      <w:sz w:val="21"/>
      <w:szCs w:val="20"/>
    </w:rPr>
  </w:style>
  <w:style w:type="character" w:customStyle="1" w:styleId="57">
    <w:name w:val="STC 表格 字符"/>
    <w:link w:val="55"/>
    <w:qFormat/>
    <w:locked/>
    <w:uiPriority w:val="0"/>
    <w:rPr>
      <w:rFonts w:ascii="宋体" w:hAnsi="宋体" w:eastAsia="宋体" w:cs="宋体"/>
      <w:kern w:val="0"/>
      <w:sz w:val="21"/>
      <w:szCs w:val="20"/>
      <w:lang w:eastAsia="en-US"/>
    </w:rPr>
  </w:style>
  <w:style w:type="paragraph" w:customStyle="1" w:styleId="58">
    <w:name w:val="STC表头"/>
    <w:basedOn w:val="1"/>
    <w:link w:val="59"/>
    <w:qFormat/>
    <w:uiPriority w:val="0"/>
    <w:pPr>
      <w:adjustRightInd w:val="0"/>
      <w:snapToGrid w:val="0"/>
      <w:spacing w:before="50" w:beforeLines="50"/>
      <w:ind w:firstLine="0" w:firstLineChars="0"/>
      <w:jc w:val="center"/>
      <w:textAlignment w:val="center"/>
    </w:pPr>
    <w:rPr>
      <w:rFonts w:ascii="宋体" w:cs="Times New Roman"/>
      <w:kern w:val="0"/>
      <w:sz w:val="21"/>
      <w:szCs w:val="20"/>
    </w:rPr>
  </w:style>
  <w:style w:type="character" w:customStyle="1" w:styleId="59">
    <w:name w:val="STC表头 字符"/>
    <w:link w:val="58"/>
    <w:qFormat/>
    <w:uiPriority w:val="0"/>
    <w:rPr>
      <w:rFonts w:ascii="宋体" w:hAnsi="Times New Roman" w:eastAsia="宋体" w:cs="Times New Roman"/>
      <w:kern w:val="0"/>
      <w:sz w:val="21"/>
      <w:szCs w:val="20"/>
    </w:rPr>
  </w:style>
  <w:style w:type="paragraph" w:customStyle="1" w:styleId="60">
    <w:name w:val="STC 正文"/>
    <w:basedOn w:val="1"/>
    <w:link w:val="61"/>
    <w:qFormat/>
    <w:uiPriority w:val="0"/>
    <w:pPr>
      <w:adjustRightInd w:val="0"/>
      <w:snapToGrid w:val="0"/>
      <w:spacing w:line="331" w:lineRule="auto"/>
    </w:pPr>
    <w:rPr>
      <w:rFonts w:ascii="宋体" w:hAnsi="宋体" w:cs="Times New Roman"/>
      <w:kern w:val="0"/>
      <w:szCs w:val="24"/>
    </w:rPr>
  </w:style>
  <w:style w:type="character" w:customStyle="1" w:styleId="61">
    <w:name w:val="STC 正文 字符"/>
    <w:link w:val="60"/>
    <w:qFormat/>
    <w:locked/>
    <w:uiPriority w:val="0"/>
    <w:rPr>
      <w:rFonts w:ascii="宋体" w:hAnsi="宋体" w:eastAsia="宋体" w:cs="Times New Roman"/>
      <w:kern w:val="0"/>
      <w:sz w:val="24"/>
      <w:szCs w:val="24"/>
    </w:rPr>
  </w:style>
  <w:style w:type="character" w:customStyle="1" w:styleId="62">
    <w:name w:val="正文 首行缩进:  2 字符 SL CON Char"/>
    <w:link w:val="63"/>
    <w:qFormat/>
    <w:uiPriority w:val="0"/>
    <w:rPr>
      <w:rFonts w:ascii="宋体" w:hAnsi="Times New Roman" w:cs="宋体"/>
      <w:sz w:val="24"/>
      <w:szCs w:val="24"/>
    </w:rPr>
  </w:style>
  <w:style w:type="paragraph" w:customStyle="1" w:styleId="63">
    <w:name w:val="正文 首行缩进:  2 字符 SL CON"/>
    <w:basedOn w:val="1"/>
    <w:link w:val="62"/>
    <w:qFormat/>
    <w:uiPriority w:val="0"/>
    <w:pPr>
      <w:tabs>
        <w:tab w:val="left" w:pos="377"/>
      </w:tabs>
    </w:pPr>
    <w:rPr>
      <w:rFonts w:ascii="宋体" w:eastAsia="仿宋_GB2312" w:cs="宋体"/>
      <w:szCs w:val="24"/>
    </w:rPr>
  </w:style>
  <w:style w:type="paragraph" w:customStyle="1" w:styleId="64">
    <w:name w:val="STC表格"/>
    <w:link w:val="65"/>
    <w:qFormat/>
    <w:uiPriority w:val="0"/>
    <w:pPr>
      <w:widowControl w:val="0"/>
      <w:adjustRightInd w:val="0"/>
      <w:snapToGrid w:val="0"/>
      <w:jc w:val="center"/>
    </w:pPr>
    <w:rPr>
      <w:rFonts w:ascii="宋体" w:hAnsi="宋体" w:eastAsia="宋体" w:cs="Times New Roman"/>
      <w:sz w:val="21"/>
      <w:lang w:val="en-US" w:eastAsia="zh-CN" w:bidi="ar-SA"/>
    </w:rPr>
  </w:style>
  <w:style w:type="character" w:customStyle="1" w:styleId="65">
    <w:name w:val="STC表格 字符"/>
    <w:link w:val="64"/>
    <w:qFormat/>
    <w:locked/>
    <w:uiPriority w:val="0"/>
    <w:rPr>
      <w:rFonts w:ascii="宋体" w:hAnsi="宋体" w:eastAsia="宋体" w:cs="Times New Roman"/>
      <w:kern w:val="0"/>
      <w:sz w:val="21"/>
      <w:szCs w:val="20"/>
    </w:rPr>
  </w:style>
  <w:style w:type="character" w:customStyle="1" w:styleId="66">
    <w:name w:val="标题 5 字符"/>
    <w:basedOn w:val="39"/>
    <w:link w:val="6"/>
    <w:qFormat/>
    <w:uiPriority w:val="9"/>
    <w:rPr>
      <w:rFonts w:ascii="Times New Roman" w:hAnsi="Times New Roman" w:eastAsia="宋体" w:cs="Times New Roman"/>
      <w:b/>
      <w:bCs/>
      <w:kern w:val="44"/>
      <w:sz w:val="24"/>
      <w:szCs w:val="28"/>
    </w:rPr>
  </w:style>
  <w:style w:type="character" w:customStyle="1" w:styleId="67">
    <w:name w:val="标题 6 字符"/>
    <w:basedOn w:val="39"/>
    <w:link w:val="7"/>
    <w:qFormat/>
    <w:uiPriority w:val="9"/>
    <w:rPr>
      <w:rFonts w:ascii="宋体" w:eastAsia="宋体" w:hAnsiTheme="majorHAnsi" w:cstheme="majorBidi"/>
      <w:bCs/>
      <w:sz w:val="24"/>
      <w:szCs w:val="24"/>
    </w:rPr>
  </w:style>
  <w:style w:type="character" w:customStyle="1" w:styleId="68">
    <w:name w:val="标题 7 字符"/>
    <w:basedOn w:val="39"/>
    <w:link w:val="8"/>
    <w:qFormat/>
    <w:uiPriority w:val="9"/>
    <w:rPr>
      <w:rFonts w:ascii="宋体" w:eastAsia="宋体"/>
      <w:bCs/>
      <w:sz w:val="24"/>
      <w:szCs w:val="24"/>
    </w:rPr>
  </w:style>
  <w:style w:type="character" w:customStyle="1" w:styleId="69">
    <w:name w:val="标题 8 字符"/>
    <w:basedOn w:val="39"/>
    <w:link w:val="9"/>
    <w:qFormat/>
    <w:uiPriority w:val="0"/>
    <w:rPr>
      <w:rFonts w:ascii="宋体" w:eastAsia="宋体" w:hAnsiTheme="majorHAnsi" w:cstheme="majorBidi"/>
      <w:sz w:val="24"/>
      <w:szCs w:val="24"/>
    </w:rPr>
  </w:style>
  <w:style w:type="character" w:customStyle="1" w:styleId="70">
    <w:name w:val="标题 9 字符"/>
    <w:basedOn w:val="39"/>
    <w:link w:val="10"/>
    <w:qFormat/>
    <w:uiPriority w:val="9"/>
    <w:rPr>
      <w:rFonts w:ascii="宋体" w:eastAsia="宋体" w:hAnsiTheme="majorHAnsi" w:cstheme="majorBidi"/>
      <w:sz w:val="24"/>
      <w:szCs w:val="21"/>
    </w:rPr>
  </w:style>
  <w:style w:type="character" w:customStyle="1" w:styleId="71">
    <w:name w:val="批注文字 字符"/>
    <w:basedOn w:val="39"/>
    <w:link w:val="16"/>
    <w:qFormat/>
    <w:uiPriority w:val="99"/>
    <w:rPr>
      <w:rFonts w:ascii="Calibri" w:hAnsi="Calibri" w:eastAsia="宋体" w:cs="Times New Roman"/>
      <w:kern w:val="0"/>
      <w:sz w:val="20"/>
      <w:szCs w:val="20"/>
    </w:rPr>
  </w:style>
  <w:style w:type="character" w:customStyle="1" w:styleId="72">
    <w:name w:val="批注主题 字符"/>
    <w:basedOn w:val="71"/>
    <w:link w:val="35"/>
    <w:semiHidden/>
    <w:qFormat/>
    <w:uiPriority w:val="99"/>
    <w:rPr>
      <w:rFonts w:ascii="Calibri" w:hAnsi="Calibri" w:eastAsia="宋体" w:cs="Times New Roman"/>
      <w:b/>
      <w:bCs/>
      <w:kern w:val="0"/>
      <w:sz w:val="20"/>
      <w:szCs w:val="20"/>
    </w:rPr>
  </w:style>
  <w:style w:type="character" w:customStyle="1" w:styleId="73">
    <w:name w:val="页眉 字符"/>
    <w:basedOn w:val="39"/>
    <w:link w:val="25"/>
    <w:qFormat/>
    <w:uiPriority w:val="0"/>
    <w:rPr>
      <w:rFonts w:ascii="Calibri" w:hAnsi="Calibri" w:eastAsia="宋体" w:cs="Times New Roman"/>
      <w:kern w:val="0"/>
      <w:sz w:val="18"/>
      <w:szCs w:val="18"/>
    </w:rPr>
  </w:style>
  <w:style w:type="character" w:customStyle="1" w:styleId="74">
    <w:name w:val="页脚 字符"/>
    <w:basedOn w:val="39"/>
    <w:link w:val="24"/>
    <w:qFormat/>
    <w:uiPriority w:val="99"/>
    <w:rPr>
      <w:rFonts w:ascii="Calibri" w:hAnsi="Calibri" w:eastAsia="宋体" w:cs="Times New Roman"/>
      <w:kern w:val="0"/>
      <w:sz w:val="18"/>
      <w:szCs w:val="18"/>
    </w:rPr>
  </w:style>
  <w:style w:type="paragraph" w:styleId="75">
    <w:name w:val="List Paragraph"/>
    <w:basedOn w:val="1"/>
    <w:qFormat/>
    <w:uiPriority w:val="0"/>
    <w:pPr>
      <w:spacing w:beforeAutospacing="1"/>
      <w:ind w:firstLine="420"/>
      <w:jc w:val="left"/>
    </w:pPr>
    <w:rPr>
      <w:rFonts w:ascii="Calibri" w:hAnsi="Calibri" w:cs="Times New Roman"/>
      <w:kern w:val="0"/>
      <w:sz w:val="20"/>
      <w:szCs w:val="20"/>
    </w:rPr>
  </w:style>
  <w:style w:type="character" w:customStyle="1" w:styleId="76">
    <w:name w:val="表格 Char"/>
    <w:link w:val="77"/>
    <w:qFormat/>
    <w:locked/>
    <w:uiPriority w:val="0"/>
    <w:rPr>
      <w:rFonts w:ascii="Times New Roman" w:hAnsi="Times New Roman"/>
      <w:color w:val="000000"/>
      <w:sz w:val="21"/>
      <w:szCs w:val="21"/>
    </w:rPr>
  </w:style>
  <w:style w:type="paragraph" w:customStyle="1" w:styleId="77">
    <w:name w:val="表格"/>
    <w:next w:val="1"/>
    <w:link w:val="76"/>
    <w:qFormat/>
    <w:uiPriority w:val="0"/>
    <w:pPr>
      <w:ind w:left="51" w:right="51"/>
      <w:jc w:val="center"/>
    </w:pPr>
    <w:rPr>
      <w:rFonts w:ascii="Times New Roman" w:hAnsi="Times New Roman" w:eastAsia="仿宋_GB2312" w:cstheme="minorBidi"/>
      <w:color w:val="000000"/>
      <w:kern w:val="2"/>
      <w:sz w:val="21"/>
      <w:szCs w:val="21"/>
      <w:lang w:val="en-US" w:eastAsia="zh-CN" w:bidi="ar-SA"/>
    </w:rPr>
  </w:style>
  <w:style w:type="paragraph" w:customStyle="1" w:styleId="78">
    <w:name w:val="修订1"/>
    <w:hidden/>
    <w:qFormat/>
    <w:uiPriority w:val="99"/>
    <w:pPr>
      <w:spacing w:beforeAutospacing="1" w:line="360" w:lineRule="auto"/>
    </w:pPr>
    <w:rPr>
      <w:rFonts w:ascii="Calibri" w:hAnsi="Calibri" w:eastAsia="宋体" w:cs="Times New Roman"/>
      <w:kern w:val="2"/>
      <w:sz w:val="21"/>
      <w:szCs w:val="21"/>
      <w:lang w:val="en-US" w:eastAsia="zh-CN" w:bidi="ar-SA"/>
    </w:rPr>
  </w:style>
  <w:style w:type="character" w:customStyle="1" w:styleId="79">
    <w:name w:val="批注框文本 字符"/>
    <w:basedOn w:val="39"/>
    <w:link w:val="23"/>
    <w:qFormat/>
    <w:uiPriority w:val="99"/>
    <w:rPr>
      <w:rFonts w:ascii="Calibri" w:hAnsi="Calibri" w:eastAsia="宋体" w:cs="Times New Roman"/>
      <w:kern w:val="0"/>
      <w:sz w:val="18"/>
      <w:szCs w:val="18"/>
    </w:rPr>
  </w:style>
  <w:style w:type="character" w:customStyle="1" w:styleId="80">
    <w:name w:val="尾注文本 字符"/>
    <w:basedOn w:val="39"/>
    <w:link w:val="22"/>
    <w:semiHidden/>
    <w:qFormat/>
    <w:uiPriority w:val="99"/>
    <w:rPr>
      <w:rFonts w:ascii="Calibri" w:hAnsi="Calibri" w:eastAsia="宋体" w:cs="Times New Roman"/>
      <w:kern w:val="0"/>
      <w:sz w:val="20"/>
      <w:szCs w:val="20"/>
    </w:rPr>
  </w:style>
  <w:style w:type="character" w:customStyle="1" w:styleId="81">
    <w:name w:val="题注 字符"/>
    <w:link w:val="14"/>
    <w:qFormat/>
    <w:locked/>
    <w:uiPriority w:val="0"/>
    <w:rPr>
      <w:rFonts w:eastAsia="黑体" w:asciiTheme="majorHAnsi" w:hAnsiTheme="majorHAnsi" w:cstheme="majorBidi"/>
      <w:kern w:val="0"/>
      <w:sz w:val="20"/>
      <w:szCs w:val="20"/>
    </w:rPr>
  </w:style>
  <w:style w:type="character" w:customStyle="1" w:styleId="82">
    <w:name w:val="注释标题 字符"/>
    <w:basedOn w:val="39"/>
    <w:link w:val="12"/>
    <w:semiHidden/>
    <w:qFormat/>
    <w:uiPriority w:val="99"/>
    <w:rPr>
      <w:rFonts w:ascii="Calibri" w:hAnsi="Calibri" w:eastAsia="宋体" w:cs="Times New Roman"/>
      <w:kern w:val="0"/>
      <w:sz w:val="20"/>
      <w:szCs w:val="20"/>
    </w:rPr>
  </w:style>
  <w:style w:type="character" w:customStyle="1" w:styleId="83">
    <w:name w:val="正文文本 字符"/>
    <w:basedOn w:val="39"/>
    <w:link w:val="17"/>
    <w:qFormat/>
    <w:uiPriority w:val="0"/>
    <w:rPr>
      <w:rFonts w:ascii="Calibri" w:hAnsi="Calibri" w:eastAsia="宋体" w:cs="Times New Roman"/>
      <w:kern w:val="0"/>
      <w:sz w:val="20"/>
      <w:szCs w:val="20"/>
    </w:rPr>
  </w:style>
  <w:style w:type="character" w:customStyle="1" w:styleId="84">
    <w:name w:val="正文文本首行缩进 字符"/>
    <w:basedOn w:val="83"/>
    <w:link w:val="36"/>
    <w:semiHidden/>
    <w:qFormat/>
    <w:uiPriority w:val="99"/>
    <w:rPr>
      <w:rFonts w:ascii="Calibri" w:hAnsi="Calibri" w:eastAsia="宋体" w:cs="Times New Roman"/>
      <w:kern w:val="0"/>
      <w:sz w:val="20"/>
      <w:szCs w:val="20"/>
    </w:rPr>
  </w:style>
  <w:style w:type="paragraph" w:customStyle="1" w:styleId="85">
    <w:name w:val="列出段落1"/>
    <w:basedOn w:val="1"/>
    <w:qFormat/>
    <w:uiPriority w:val="34"/>
    <w:pPr>
      <w:spacing w:beforeAutospacing="1"/>
      <w:ind w:firstLine="420"/>
      <w:jc w:val="left"/>
    </w:pPr>
    <w:rPr>
      <w:rFonts w:cs="Times New Roman"/>
      <w:kern w:val="0"/>
    </w:rPr>
  </w:style>
  <w:style w:type="character" w:customStyle="1" w:styleId="86">
    <w:name w:val="正文格式 Char"/>
    <w:link w:val="87"/>
    <w:qFormat/>
    <w:locked/>
    <w:uiPriority w:val="0"/>
    <w:rPr>
      <w:rFonts w:ascii="宋体" w:hAnsi="宋体"/>
      <w:sz w:val="24"/>
      <w:szCs w:val="24"/>
    </w:rPr>
  </w:style>
  <w:style w:type="paragraph" w:customStyle="1" w:styleId="87">
    <w:name w:val="正文格式"/>
    <w:basedOn w:val="1"/>
    <w:link w:val="86"/>
    <w:qFormat/>
    <w:uiPriority w:val="0"/>
    <w:pPr>
      <w:spacing w:beforeAutospacing="1"/>
      <w:ind w:firstLine="482" w:firstLineChars="0"/>
      <w:jc w:val="left"/>
    </w:pPr>
    <w:rPr>
      <w:rFonts w:ascii="宋体" w:hAnsi="宋体" w:eastAsia="仿宋_GB2312"/>
      <w:szCs w:val="24"/>
    </w:rPr>
  </w:style>
  <w:style w:type="paragraph" w:customStyle="1" w:styleId="88">
    <w:name w:val="附件"/>
    <w:basedOn w:val="3"/>
    <w:qFormat/>
    <w:uiPriority w:val="0"/>
    <w:pPr>
      <w:keepLines w:val="0"/>
      <w:widowControl w:val="0"/>
      <w:numPr>
        <w:ilvl w:val="0"/>
        <w:numId w:val="0"/>
      </w:numPr>
      <w:adjustRightInd w:val="0"/>
      <w:snapToGrid w:val="0"/>
      <w:spacing w:before="0" w:after="0"/>
    </w:pPr>
    <w:rPr>
      <w:rFonts w:ascii="黑体" w:hAnsiTheme="majorHAnsi" w:cstheme="majorBidi"/>
      <w:bCs/>
      <w:kern w:val="2"/>
    </w:rPr>
  </w:style>
  <w:style w:type="paragraph" w:customStyle="1" w:styleId="89">
    <w:name w:val="附图"/>
    <w:qFormat/>
    <w:uiPriority w:val="0"/>
    <w:pPr>
      <w:keepNext/>
      <w:outlineLvl w:val="1"/>
    </w:pPr>
    <w:rPr>
      <w:rFonts w:ascii="黑体" w:hAnsi="黑体" w:eastAsia="黑体" w:cstheme="minorBidi"/>
      <w:kern w:val="2"/>
      <w:sz w:val="28"/>
      <w:szCs w:val="28"/>
      <w:lang w:val="en-US" w:eastAsia="zh-CN" w:bidi="ar-SA"/>
    </w:rPr>
  </w:style>
  <w:style w:type="paragraph" w:customStyle="1" w:styleId="90">
    <w:name w:val="样式 正文 首行缩进:  2 字符 SL CON + 首行缩进:  2 字符"/>
    <w:basedOn w:val="1"/>
    <w:link w:val="91"/>
    <w:qFormat/>
    <w:uiPriority w:val="0"/>
    <w:pPr>
      <w:tabs>
        <w:tab w:val="left" w:pos="377"/>
      </w:tabs>
      <w:jc w:val="left"/>
    </w:pPr>
    <w:rPr>
      <w:rFonts w:ascii="宋体" w:hAnsi="宋体" w:cs="Times New Roman"/>
      <w:kern w:val="0"/>
      <w:szCs w:val="20"/>
      <w:lang w:val="zh-CN"/>
    </w:rPr>
  </w:style>
  <w:style w:type="character" w:customStyle="1" w:styleId="91">
    <w:name w:val="样式 正文 首行缩进:  2 字符 SL CON + 首行缩进:  2 字符 Char"/>
    <w:link w:val="90"/>
    <w:qFormat/>
    <w:uiPriority w:val="0"/>
    <w:rPr>
      <w:rFonts w:ascii="宋体" w:hAnsi="宋体" w:eastAsia="宋体" w:cs="Times New Roman"/>
      <w:kern w:val="0"/>
      <w:sz w:val="24"/>
      <w:szCs w:val="20"/>
      <w:lang w:val="zh-CN"/>
    </w:rPr>
  </w:style>
  <w:style w:type="paragraph" w:customStyle="1" w:styleId="92">
    <w:name w:val="标题3-4.3"/>
    <w:basedOn w:val="4"/>
    <w:qFormat/>
    <w:uiPriority w:val="0"/>
    <w:pPr>
      <w:widowControl w:val="0"/>
      <w:numPr>
        <w:ilvl w:val="0"/>
        <w:numId w:val="0"/>
      </w:numPr>
      <w:tabs>
        <w:tab w:val="left" w:pos="377"/>
        <w:tab w:val="left" w:pos="567"/>
        <w:tab w:val="left" w:pos="720"/>
        <w:tab w:val="left" w:pos="840"/>
      </w:tabs>
      <w:autoSpaceDE w:val="0"/>
      <w:autoSpaceDN w:val="0"/>
      <w:adjustRightInd w:val="0"/>
      <w:snapToGrid w:val="0"/>
      <w:spacing w:before="0" w:after="0"/>
      <w:jc w:val="both"/>
    </w:pPr>
    <w:rPr>
      <w:rFonts w:ascii="Times New Roman" w:hAnsi="Times New Roman" w:eastAsia="宋体"/>
      <w:bCs w:val="0"/>
      <w:spacing w:val="10"/>
      <w:kern w:val="0"/>
      <w:szCs w:val="20"/>
    </w:rPr>
  </w:style>
  <w:style w:type="paragraph" w:customStyle="1" w:styleId="93">
    <w:name w:val="主标题 样式 小一 加粗 居中(SL CON)"/>
    <w:basedOn w:val="1"/>
    <w:qFormat/>
    <w:uiPriority w:val="0"/>
    <w:pPr>
      <w:tabs>
        <w:tab w:val="left" w:pos="377"/>
      </w:tabs>
      <w:spacing w:line="300" w:lineRule="auto"/>
      <w:ind w:firstLine="0" w:firstLineChars="0"/>
      <w:jc w:val="center"/>
    </w:pPr>
    <w:rPr>
      <w:rFonts w:ascii="宋体" w:cs="宋体"/>
      <w:b/>
      <w:bCs/>
      <w:kern w:val="0"/>
      <w:sz w:val="48"/>
      <w:szCs w:val="20"/>
    </w:rPr>
  </w:style>
  <w:style w:type="character" w:customStyle="1" w:styleId="94">
    <w:name w:val="表格内字体 Char"/>
    <w:link w:val="95"/>
    <w:qFormat/>
    <w:uiPriority w:val="0"/>
    <w:rPr>
      <w:rFonts w:ascii="宋体" w:hAnsi="宋体"/>
      <w:bCs/>
      <w:lang w:val="zh-CN"/>
    </w:rPr>
  </w:style>
  <w:style w:type="paragraph" w:customStyle="1" w:styleId="95">
    <w:name w:val="表格内字体"/>
    <w:basedOn w:val="1"/>
    <w:next w:val="1"/>
    <w:link w:val="94"/>
    <w:qFormat/>
    <w:uiPriority w:val="0"/>
    <w:pPr>
      <w:widowControl w:val="0"/>
      <w:spacing w:line="240" w:lineRule="auto"/>
      <w:ind w:firstLine="0" w:firstLineChars="0"/>
      <w:jc w:val="center"/>
    </w:pPr>
    <w:rPr>
      <w:rFonts w:ascii="宋体" w:hAnsi="宋体" w:eastAsia="仿宋_GB2312"/>
      <w:bCs/>
      <w:sz w:val="32"/>
      <w:lang w:val="zh-CN"/>
    </w:rPr>
  </w:style>
  <w:style w:type="paragraph" w:customStyle="1" w:styleId="96">
    <w:name w:val="表图题"/>
    <w:link w:val="97"/>
    <w:qFormat/>
    <w:uiPriority w:val="0"/>
    <w:pPr>
      <w:widowControl w:val="0"/>
      <w:tabs>
        <w:tab w:val="center" w:pos="4156"/>
      </w:tabs>
      <w:adjustRightInd w:val="0"/>
      <w:snapToGrid w:val="0"/>
      <w:spacing w:before="50" w:beforeLines="50"/>
      <w:jc w:val="center"/>
    </w:pPr>
    <w:rPr>
      <w:rFonts w:ascii="Times New Roman" w:hAnsi="Times New Roman" w:eastAsia="黑体" w:cs="Times New Roman"/>
      <w:kern w:val="2"/>
      <w:sz w:val="21"/>
      <w:szCs w:val="21"/>
      <w:lang w:val="en-US" w:eastAsia="zh-CN" w:bidi="ar-SA"/>
    </w:rPr>
  </w:style>
  <w:style w:type="character" w:customStyle="1" w:styleId="97">
    <w:name w:val="表图题 Char"/>
    <w:link w:val="96"/>
    <w:qFormat/>
    <w:uiPriority w:val="0"/>
    <w:rPr>
      <w:rFonts w:ascii="Times New Roman" w:hAnsi="Times New Roman" w:eastAsia="黑体" w:cs="Times New Roman"/>
      <w:sz w:val="21"/>
      <w:szCs w:val="21"/>
    </w:rPr>
  </w:style>
  <w:style w:type="character" w:customStyle="1" w:styleId="98">
    <w:name w:val="题注 字符1"/>
    <w:qFormat/>
    <w:uiPriority w:val="35"/>
    <w:rPr>
      <w:rFonts w:ascii="宋体" w:hAnsi="Cambria" w:eastAsia="宋体" w:cs="Times New Roman"/>
      <w:kern w:val="2"/>
      <w:sz w:val="21"/>
    </w:rPr>
  </w:style>
  <w:style w:type="paragraph" w:customStyle="1" w:styleId="99">
    <w:name w:val="表头"/>
    <w:basedOn w:val="1"/>
    <w:link w:val="100"/>
    <w:qFormat/>
    <w:uiPriority w:val="0"/>
    <w:pPr>
      <w:widowControl w:val="0"/>
      <w:spacing w:line="240" w:lineRule="auto"/>
      <w:ind w:firstLine="0" w:firstLineChars="0"/>
      <w:jc w:val="center"/>
    </w:pPr>
    <w:rPr>
      <w:rFonts w:eastAsia="黑体" w:cs="Times New Roman"/>
      <w:kern w:val="0"/>
      <w:sz w:val="21"/>
      <w:szCs w:val="21"/>
    </w:rPr>
  </w:style>
  <w:style w:type="character" w:customStyle="1" w:styleId="100">
    <w:name w:val="表头 Char Char"/>
    <w:link w:val="99"/>
    <w:qFormat/>
    <w:uiPriority w:val="0"/>
    <w:rPr>
      <w:rFonts w:ascii="Times New Roman" w:hAnsi="Times New Roman" w:eastAsia="黑体" w:cs="Times New Roman"/>
      <w:kern w:val="0"/>
      <w:sz w:val="21"/>
      <w:szCs w:val="21"/>
    </w:rPr>
  </w:style>
  <w:style w:type="table" w:customStyle="1" w:styleId="101">
    <w:name w:val="专业网格1"/>
    <w:basedOn w:val="37"/>
    <w:qFormat/>
    <w:uiPriority w:val="0"/>
    <w:pPr>
      <w:widowControl w:val="0"/>
      <w:spacing w:after="200" w:line="276"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02">
    <w:name w:val="正文缩进 字符"/>
    <w:link w:val="13"/>
    <w:qFormat/>
    <w:uiPriority w:val="0"/>
    <w:rPr>
      <w:rFonts w:ascii="Times New Roman" w:hAnsi="Times New Roman" w:eastAsia="宋体" w:cs="Times New Roman"/>
      <w:spacing w:val="10"/>
      <w:kern w:val="0"/>
      <w:sz w:val="24"/>
      <w:szCs w:val="20"/>
    </w:rPr>
  </w:style>
  <w:style w:type="paragraph" w:customStyle="1" w:styleId="103">
    <w:name w:val="Table Paragraph"/>
    <w:basedOn w:val="1"/>
    <w:qFormat/>
    <w:uiPriority w:val="1"/>
    <w:pPr>
      <w:widowControl w:val="0"/>
      <w:autoSpaceDE w:val="0"/>
      <w:autoSpaceDN w:val="0"/>
      <w:spacing w:before="34" w:line="240" w:lineRule="auto"/>
      <w:ind w:firstLine="0" w:firstLineChars="0"/>
      <w:jc w:val="center"/>
    </w:pPr>
    <w:rPr>
      <w:rFonts w:ascii="宋体" w:hAnsi="宋体" w:cs="宋体"/>
      <w:kern w:val="0"/>
      <w:sz w:val="22"/>
      <w:lang w:val="zh-CN" w:bidi="zh-CN"/>
    </w:rPr>
  </w:style>
  <w:style w:type="table" w:customStyle="1" w:styleId="104">
    <w:name w:val="Table Normal"/>
    <w:semiHidden/>
    <w:qFormat/>
    <w:uiPriority w:val="2"/>
    <w:pPr>
      <w:widowControl w:val="0"/>
      <w:autoSpaceDE w:val="0"/>
      <w:autoSpaceDN w:val="0"/>
    </w:pPr>
    <w:rPr>
      <w:rFonts w:eastAsia="Times New Roman" w:asciiTheme="minorHAnsi"/>
      <w:sz w:val="22"/>
      <w:lang w:eastAsia="en-US"/>
    </w:rPr>
    <w:tblPr>
      <w:tblCellMar>
        <w:top w:w="0" w:type="dxa"/>
        <w:left w:w="0" w:type="dxa"/>
        <w:bottom w:w="0" w:type="dxa"/>
        <w:right w:w="0" w:type="dxa"/>
      </w:tblCellMar>
    </w:tblPr>
  </w:style>
  <w:style w:type="table" w:customStyle="1" w:styleId="105">
    <w:name w:val="Table Normal1"/>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06">
    <w:name w:val="表内文字 样式 五号 居中 行距: 单倍行距 SL CON"/>
    <w:basedOn w:val="1"/>
    <w:link w:val="107"/>
    <w:qFormat/>
    <w:uiPriority w:val="0"/>
    <w:pPr>
      <w:tabs>
        <w:tab w:val="left" w:pos="377"/>
      </w:tabs>
      <w:spacing w:line="240" w:lineRule="auto"/>
      <w:ind w:firstLine="0" w:firstLineChars="0"/>
      <w:jc w:val="center"/>
    </w:pPr>
    <w:rPr>
      <w:rFonts w:ascii="宋体" w:cs="宋体"/>
      <w:kern w:val="0"/>
      <w:sz w:val="20"/>
      <w:szCs w:val="20"/>
    </w:rPr>
  </w:style>
  <w:style w:type="character" w:customStyle="1" w:styleId="107">
    <w:name w:val="表内文字 样式 五号 居中 行距: 单倍行距 SL CON Char"/>
    <w:link w:val="106"/>
    <w:qFormat/>
    <w:uiPriority w:val="0"/>
    <w:rPr>
      <w:rFonts w:ascii="宋体" w:hAnsi="Times New Roman" w:eastAsia="宋体" w:cs="宋体"/>
      <w:kern w:val="0"/>
      <w:sz w:val="20"/>
      <w:szCs w:val="20"/>
    </w:rPr>
  </w:style>
  <w:style w:type="paragraph" w:customStyle="1" w:styleId="108">
    <w:name w:val="xl63"/>
    <w:basedOn w:val="1"/>
    <w:qFormat/>
    <w:uiPriority w:val="0"/>
    <w:pPr>
      <w:pBdr>
        <w:top w:val="single" w:color="auto" w:sz="8" w:space="0"/>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09">
    <w:name w:val="xl64"/>
    <w:basedOn w:val="1"/>
    <w:qFormat/>
    <w:uiPriority w:val="0"/>
    <w:pPr>
      <w:pBdr>
        <w:top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0">
    <w:name w:val="xl65"/>
    <w:basedOn w:val="1"/>
    <w:qFormat/>
    <w:uiPriority w:val="0"/>
    <w:pPr>
      <w:pBdr>
        <w:left w:val="single" w:color="auto" w:sz="8" w:space="0"/>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1">
    <w:name w:val="xl66"/>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color w:val="000000"/>
      <w:kern w:val="0"/>
      <w:sz w:val="20"/>
      <w:szCs w:val="20"/>
    </w:rPr>
  </w:style>
  <w:style w:type="paragraph" w:customStyle="1" w:styleId="112">
    <w:name w:val="xl67"/>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13">
    <w:name w:val="xl68"/>
    <w:basedOn w:val="1"/>
    <w:qFormat/>
    <w:uiPriority w:val="0"/>
    <w:pPr>
      <w:pBdr>
        <w:bottom w:val="single" w:color="auto" w:sz="8" w:space="0"/>
        <w:right w:val="single" w:color="auto" w:sz="8" w:space="0"/>
      </w:pBdr>
      <w:spacing w:before="100" w:beforeAutospacing="1" w:after="100" w:afterAutospacing="1" w:line="240" w:lineRule="auto"/>
      <w:ind w:firstLine="0" w:firstLineChars="0"/>
      <w:jc w:val="center"/>
      <w:textAlignment w:val="center"/>
    </w:pPr>
    <w:rPr>
      <w:rFonts w:ascii="宋体" w:hAnsi="宋体" w:cs="宋体"/>
      <w:kern w:val="0"/>
      <w:sz w:val="20"/>
      <w:szCs w:val="20"/>
    </w:rPr>
  </w:style>
  <w:style w:type="paragraph" w:customStyle="1" w:styleId="114">
    <w:name w:val="STC备注"/>
    <w:basedOn w:val="1"/>
    <w:link w:val="115"/>
    <w:qFormat/>
    <w:uiPriority w:val="0"/>
    <w:pPr>
      <w:adjustRightInd w:val="0"/>
      <w:snapToGrid w:val="0"/>
      <w:spacing w:before="100" w:beforeAutospacing="1" w:line="240" w:lineRule="auto"/>
      <w:ind w:firstLine="0" w:firstLineChars="0"/>
      <w:jc w:val="left"/>
      <w:textAlignment w:val="center"/>
    </w:pPr>
    <w:rPr>
      <w:rFonts w:cs="Times New Roman" w:asciiTheme="minorEastAsia"/>
      <w:kern w:val="0"/>
      <w:sz w:val="20"/>
      <w:szCs w:val="20"/>
    </w:rPr>
  </w:style>
  <w:style w:type="character" w:customStyle="1" w:styleId="115">
    <w:name w:val="STC备注 字符"/>
    <w:link w:val="114"/>
    <w:qFormat/>
    <w:uiPriority w:val="0"/>
    <w:rPr>
      <w:rFonts w:hAnsi="Times New Roman" w:eastAsia="宋体" w:cs="Times New Roman" w:asciiTheme="minorEastAsia"/>
      <w:kern w:val="0"/>
      <w:sz w:val="20"/>
      <w:szCs w:val="20"/>
    </w:rPr>
  </w:style>
  <w:style w:type="table" w:customStyle="1" w:styleId="116">
    <w:name w:val="Table Normal2"/>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table" w:customStyle="1" w:styleId="117">
    <w:name w:val="Table Normal3"/>
    <w:semiHidden/>
    <w:unhideWhenUsed/>
    <w:qFormat/>
    <w:uiPriority w:val="2"/>
    <w:pPr>
      <w:widowControl w:val="0"/>
      <w:autoSpaceDE w:val="0"/>
      <w:autoSpaceDN w:val="0"/>
    </w:pPr>
    <w:rPr>
      <w:rFonts w:asciiTheme="minorHAnsi" w:eastAsiaTheme="minorEastAsia"/>
      <w:sz w:val="22"/>
      <w:lang w:eastAsia="en-US"/>
    </w:rPr>
    <w:tblPr>
      <w:tblCellMar>
        <w:top w:w="0" w:type="dxa"/>
        <w:left w:w="0" w:type="dxa"/>
        <w:bottom w:w="0" w:type="dxa"/>
        <w:right w:w="0" w:type="dxa"/>
      </w:tblCellMar>
    </w:tblPr>
  </w:style>
  <w:style w:type="paragraph" w:customStyle="1" w:styleId="11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table" w:customStyle="1" w:styleId="119">
    <w:name w:val="TableGrid"/>
    <w:qFormat/>
    <w:uiPriority w:val="0"/>
    <w:rPr>
      <w:rFonts w:asciiTheme="minorHAnsi" w:eastAsiaTheme="minorEastAsia"/>
      <w:sz w:val="22"/>
      <w:szCs w:val="24"/>
      <w14:ligatures w14:val="standardContextual"/>
    </w:rPr>
    <w:tblPr>
      <w:tblCellMar>
        <w:top w:w="0" w:type="dxa"/>
        <w:left w:w="0" w:type="dxa"/>
        <w:bottom w:w="0" w:type="dxa"/>
        <w:right w:w="0" w:type="dxa"/>
      </w:tblCellMar>
    </w:tblPr>
  </w:style>
  <w:style w:type="character" w:customStyle="1" w:styleId="120">
    <w:name w:val="未处理的提及1"/>
    <w:basedOn w:val="39"/>
    <w:semiHidden/>
    <w:unhideWhenUsed/>
    <w:qFormat/>
    <w:uiPriority w:val="99"/>
    <w:rPr>
      <w:color w:val="605E5C"/>
      <w:shd w:val="clear" w:color="auto" w:fill="E1DFDD"/>
    </w:rPr>
  </w:style>
  <w:style w:type="character" w:customStyle="1" w:styleId="121">
    <w:name w:val="页眉 字符1"/>
    <w:qFormat/>
    <w:uiPriority w:val="0"/>
    <w:rPr>
      <w:rFonts w:ascii="黑体" w:hAnsi="宋体" w:eastAsia="黑体"/>
      <w:kern w:val="2"/>
      <w:sz w:val="18"/>
      <w:szCs w:val="18"/>
    </w:rPr>
  </w:style>
  <w:style w:type="character" w:customStyle="1" w:styleId="122">
    <w:name w:val="文档结构图 字符"/>
    <w:basedOn w:val="39"/>
    <w:link w:val="15"/>
    <w:qFormat/>
    <w:uiPriority w:val="99"/>
    <w:rPr>
      <w:rFonts w:ascii="宋体" w:hAnsi="Times New Roman" w:eastAsia="宋体" w:cs="Times New Roman"/>
      <w:kern w:val="0"/>
      <w:sz w:val="18"/>
      <w:szCs w:val="18"/>
    </w:rPr>
  </w:style>
  <w:style w:type="character" w:customStyle="1" w:styleId="123">
    <w:name w:val="正文文本缩进 字符"/>
    <w:basedOn w:val="39"/>
    <w:link w:val="18"/>
    <w:qFormat/>
    <w:uiPriority w:val="0"/>
    <w:rPr>
      <w:rFonts w:ascii="宋体" w:hAnsi="宋体" w:eastAsia="宋体" w:cs="Times New Roman"/>
      <w:color w:val="000000"/>
      <w:sz w:val="24"/>
      <w:szCs w:val="24"/>
    </w:rPr>
  </w:style>
  <w:style w:type="character" w:customStyle="1" w:styleId="124">
    <w:name w:val="正文文本缩进 3 字符"/>
    <w:basedOn w:val="39"/>
    <w:link w:val="31"/>
    <w:qFormat/>
    <w:uiPriority w:val="0"/>
    <w:rPr>
      <w:rFonts w:ascii="Times New Roman" w:hAnsi="Times New Roman" w:eastAsia="宋体" w:cs="Times New Roman"/>
      <w:sz w:val="16"/>
      <w:szCs w:val="16"/>
    </w:rPr>
  </w:style>
  <w:style w:type="character" w:customStyle="1" w:styleId="125">
    <w:name w:val="num1"/>
    <w:qFormat/>
    <w:uiPriority w:val="0"/>
  </w:style>
  <w:style w:type="character" w:customStyle="1" w:styleId="126">
    <w:name w:val="num6"/>
    <w:qFormat/>
    <w:uiPriority w:val="0"/>
  </w:style>
  <w:style w:type="character" w:customStyle="1" w:styleId="127">
    <w:name w:val="num14"/>
    <w:qFormat/>
    <w:uiPriority w:val="0"/>
  </w:style>
  <w:style w:type="character" w:customStyle="1" w:styleId="128">
    <w:name w:val="num15"/>
    <w:qFormat/>
    <w:uiPriority w:val="0"/>
  </w:style>
  <w:style w:type="character" w:customStyle="1" w:styleId="129">
    <w:name w:val="font71"/>
    <w:qFormat/>
    <w:uiPriority w:val="0"/>
    <w:rPr>
      <w:rFonts w:hint="eastAsia" w:ascii="宋体" w:hAnsi="宋体" w:eastAsia="宋体" w:cs="宋体"/>
      <w:color w:val="333333"/>
      <w:sz w:val="15"/>
      <w:szCs w:val="15"/>
      <w:u w:val="none"/>
    </w:rPr>
  </w:style>
  <w:style w:type="character" w:customStyle="1" w:styleId="130">
    <w:name w:val="red"/>
    <w:qFormat/>
    <w:uiPriority w:val="0"/>
    <w:rPr>
      <w:color w:val="E3060B"/>
    </w:rPr>
  </w:style>
  <w:style w:type="character" w:customStyle="1" w:styleId="131">
    <w:name w:val="num11"/>
    <w:qFormat/>
    <w:uiPriority w:val="0"/>
    <w:rPr>
      <w:shd w:val="clear" w:color="auto" w:fill="FD0400"/>
    </w:rPr>
  </w:style>
  <w:style w:type="character" w:customStyle="1" w:styleId="132">
    <w:name w:val="font41"/>
    <w:qFormat/>
    <w:uiPriority w:val="0"/>
    <w:rPr>
      <w:rFonts w:hint="default" w:ascii="Times New Roman" w:hAnsi="Times New Roman" w:cs="Times New Roman"/>
      <w:color w:val="000000"/>
      <w:sz w:val="15"/>
      <w:szCs w:val="15"/>
      <w:u w:val="none"/>
    </w:rPr>
  </w:style>
  <w:style w:type="character" w:customStyle="1" w:styleId="133">
    <w:name w:val="num2"/>
    <w:qFormat/>
    <w:uiPriority w:val="0"/>
  </w:style>
  <w:style w:type="character" w:customStyle="1" w:styleId="134">
    <w:name w:val="num9"/>
    <w:qFormat/>
    <w:uiPriority w:val="0"/>
  </w:style>
  <w:style w:type="character" w:customStyle="1" w:styleId="135">
    <w:name w:val="num4"/>
    <w:qFormat/>
    <w:uiPriority w:val="0"/>
  </w:style>
  <w:style w:type="character" w:customStyle="1" w:styleId="136">
    <w:name w:val="shenbao"/>
    <w:qFormat/>
    <w:uiPriority w:val="0"/>
    <w:rPr>
      <w:color w:val="EF6334"/>
    </w:rPr>
  </w:style>
  <w:style w:type="character" w:customStyle="1" w:styleId="137">
    <w:name w:val="num13"/>
    <w:qFormat/>
    <w:uiPriority w:val="0"/>
  </w:style>
  <w:style w:type="character" w:customStyle="1" w:styleId="138">
    <w:name w:val="sj"/>
    <w:qFormat/>
    <w:uiPriority w:val="0"/>
  </w:style>
  <w:style w:type="character" w:customStyle="1" w:styleId="139">
    <w:name w:val="apple-converted-space"/>
    <w:qFormat/>
    <w:uiPriority w:val="0"/>
  </w:style>
  <w:style w:type="character" w:customStyle="1" w:styleId="140">
    <w:name w:val="dx"/>
    <w:qFormat/>
    <w:uiPriority w:val="0"/>
  </w:style>
  <w:style w:type="character" w:customStyle="1" w:styleId="141">
    <w:name w:val="dc"/>
    <w:qFormat/>
    <w:uiPriority w:val="0"/>
    <w:rPr>
      <w:b/>
      <w:color w:val="663300"/>
      <w:sz w:val="21"/>
      <w:szCs w:val="21"/>
    </w:rPr>
  </w:style>
  <w:style w:type="character" w:customStyle="1" w:styleId="142">
    <w:name w:val="speed"/>
    <w:qFormat/>
    <w:uiPriority w:val="0"/>
  </w:style>
  <w:style w:type="character" w:customStyle="1" w:styleId="143">
    <w:name w:val="keyword-span-wrap"/>
    <w:qFormat/>
    <w:uiPriority w:val="0"/>
    <w:rPr>
      <w:color w:val="19A97B"/>
    </w:rPr>
  </w:style>
  <w:style w:type="character" w:customStyle="1" w:styleId="144">
    <w:name w:val="num111"/>
    <w:qFormat/>
    <w:uiPriority w:val="0"/>
  </w:style>
  <w:style w:type="character" w:customStyle="1" w:styleId="145">
    <w:name w:val="num5"/>
    <w:qFormat/>
    <w:uiPriority w:val="0"/>
  </w:style>
  <w:style w:type="character" w:customStyle="1" w:styleId="146">
    <w:name w:val="font61"/>
    <w:qFormat/>
    <w:uiPriority w:val="0"/>
    <w:rPr>
      <w:rFonts w:hint="eastAsia" w:ascii="宋体" w:hAnsi="宋体" w:eastAsia="宋体" w:cs="宋体"/>
      <w:color w:val="000000"/>
      <w:sz w:val="20"/>
      <w:szCs w:val="20"/>
      <w:u w:val="none"/>
    </w:rPr>
  </w:style>
  <w:style w:type="character" w:customStyle="1" w:styleId="147">
    <w:name w:val="fgray"/>
    <w:qFormat/>
    <w:uiPriority w:val="0"/>
  </w:style>
  <w:style w:type="character" w:customStyle="1" w:styleId="148">
    <w:name w:val="num12"/>
    <w:qFormat/>
    <w:uiPriority w:val="0"/>
  </w:style>
  <w:style w:type="character" w:customStyle="1" w:styleId="149">
    <w:name w:val="font21"/>
    <w:qFormat/>
    <w:uiPriority w:val="0"/>
    <w:rPr>
      <w:rFonts w:hint="default" w:ascii="Times New Roman" w:hAnsi="Times New Roman" w:cs="Times New Roman"/>
      <w:color w:val="000000"/>
      <w:sz w:val="18"/>
      <w:szCs w:val="18"/>
      <w:u w:val="none"/>
      <w:vertAlign w:val="subscript"/>
    </w:rPr>
  </w:style>
  <w:style w:type="character" w:customStyle="1" w:styleId="150">
    <w:name w:val="num21"/>
    <w:qFormat/>
    <w:uiPriority w:val="0"/>
    <w:rPr>
      <w:shd w:val="clear" w:color="auto" w:fill="FDC003"/>
    </w:rPr>
  </w:style>
  <w:style w:type="character" w:customStyle="1" w:styleId="151">
    <w:name w:val="gray2"/>
    <w:qFormat/>
    <w:uiPriority w:val="0"/>
    <w:rPr>
      <w:color w:val="B5B5B5"/>
    </w:rPr>
  </w:style>
  <w:style w:type="character" w:customStyle="1" w:styleId="152">
    <w:name w:val="5文章(治) Char"/>
    <w:link w:val="153"/>
    <w:qFormat/>
    <w:uiPriority w:val="0"/>
    <w:rPr>
      <w:snapToGrid w:val="0"/>
      <w:sz w:val="28"/>
      <w:szCs w:val="28"/>
    </w:rPr>
  </w:style>
  <w:style w:type="paragraph" w:customStyle="1" w:styleId="153">
    <w:name w:val="5文章(治)"/>
    <w:basedOn w:val="1"/>
    <w:link w:val="152"/>
    <w:qFormat/>
    <w:uiPriority w:val="0"/>
    <w:pPr>
      <w:widowControl w:val="0"/>
      <w:ind w:firstLine="560"/>
      <w:jc w:val="left"/>
    </w:pPr>
    <w:rPr>
      <w:rFonts w:ascii="仿宋_GB2312" w:eastAsia="仿宋_GB2312" w:hAnsiTheme="minorHAnsi"/>
      <w:snapToGrid w:val="0"/>
      <w:sz w:val="28"/>
      <w:szCs w:val="28"/>
    </w:rPr>
  </w:style>
  <w:style w:type="character" w:customStyle="1" w:styleId="154">
    <w:name w:val="chakan"/>
    <w:qFormat/>
    <w:uiPriority w:val="0"/>
    <w:rPr>
      <w:color w:val="0064EA"/>
    </w:rPr>
  </w:style>
  <w:style w:type="character" w:customStyle="1" w:styleId="155">
    <w:name w:val="time"/>
    <w:qFormat/>
    <w:uiPriority w:val="0"/>
    <w:rPr>
      <w:color w:val="888888"/>
    </w:rPr>
  </w:style>
  <w:style w:type="character" w:customStyle="1" w:styleId="156">
    <w:name w:val="num8"/>
    <w:qFormat/>
    <w:uiPriority w:val="0"/>
  </w:style>
  <w:style w:type="character" w:customStyle="1" w:styleId="157">
    <w:name w:val="num7"/>
    <w:qFormat/>
    <w:uiPriority w:val="0"/>
  </w:style>
  <w:style w:type="character" w:customStyle="1" w:styleId="158">
    <w:name w:val="font01"/>
    <w:qFormat/>
    <w:uiPriority w:val="0"/>
    <w:rPr>
      <w:rFonts w:hint="eastAsia" w:ascii="仿宋_GB2312" w:eastAsia="仿宋_GB2312" w:cs="仿宋_GB2312"/>
      <w:color w:val="000000"/>
      <w:sz w:val="22"/>
      <w:szCs w:val="22"/>
      <w:u w:val="none"/>
    </w:rPr>
  </w:style>
  <w:style w:type="character" w:customStyle="1" w:styleId="159">
    <w:name w:val="font51"/>
    <w:qFormat/>
    <w:uiPriority w:val="0"/>
    <w:rPr>
      <w:rFonts w:hint="default" w:ascii="Times New Roman" w:hAnsi="Times New Roman" w:cs="Times New Roman"/>
      <w:color w:val="333333"/>
      <w:sz w:val="15"/>
      <w:szCs w:val="15"/>
      <w:u w:val="none"/>
    </w:rPr>
  </w:style>
  <w:style w:type="character" w:customStyle="1" w:styleId="160">
    <w:name w:val="time1"/>
    <w:qFormat/>
    <w:uiPriority w:val="0"/>
    <w:rPr>
      <w:color w:val="888888"/>
    </w:rPr>
  </w:style>
  <w:style w:type="character" w:customStyle="1" w:styleId="161">
    <w:name w:val="time2"/>
    <w:qFormat/>
    <w:uiPriority w:val="0"/>
    <w:rPr>
      <w:color w:val="777777"/>
      <w:sz w:val="18"/>
      <w:szCs w:val="18"/>
    </w:rPr>
  </w:style>
  <w:style w:type="character" w:customStyle="1" w:styleId="162">
    <w:name w:val="num3"/>
    <w:qFormat/>
    <w:uiPriority w:val="0"/>
  </w:style>
  <w:style w:type="character" w:customStyle="1" w:styleId="163">
    <w:name w:val="num31"/>
    <w:qFormat/>
    <w:uiPriority w:val="0"/>
    <w:rPr>
      <w:shd w:val="clear" w:color="auto" w:fill="C5FE01"/>
    </w:rPr>
  </w:style>
  <w:style w:type="character" w:customStyle="1" w:styleId="164">
    <w:name w:val="txt1"/>
    <w:qFormat/>
    <w:uiPriority w:val="0"/>
    <w:rPr>
      <w:color w:val="A6A6A6"/>
      <w:sz w:val="21"/>
      <w:szCs w:val="21"/>
    </w:rPr>
  </w:style>
  <w:style w:type="character" w:customStyle="1" w:styleId="165">
    <w:name w:val="num10"/>
    <w:qFormat/>
    <w:uiPriority w:val="0"/>
  </w:style>
  <w:style w:type="character" w:customStyle="1" w:styleId="166">
    <w:name w:val="checkbox2"/>
    <w:qFormat/>
    <w:uiPriority w:val="0"/>
  </w:style>
  <w:style w:type="character" w:customStyle="1" w:styleId="167">
    <w:name w:val="font11"/>
    <w:qFormat/>
    <w:uiPriority w:val="0"/>
    <w:rPr>
      <w:rFonts w:hint="default" w:ascii="Times New Roman" w:hAnsi="Times New Roman" w:cs="Times New Roman"/>
      <w:color w:val="000000"/>
      <w:sz w:val="22"/>
      <w:szCs w:val="22"/>
      <w:u w:val="none"/>
    </w:rPr>
  </w:style>
  <w:style w:type="character" w:customStyle="1" w:styleId="168">
    <w:name w:val="font31"/>
    <w:qFormat/>
    <w:uiPriority w:val="0"/>
    <w:rPr>
      <w:rFonts w:ascii="Calibri" w:hAnsi="Calibri" w:cs="Calibri"/>
      <w:color w:val="000000"/>
      <w:sz w:val="18"/>
      <w:szCs w:val="18"/>
      <w:u w:val="none"/>
    </w:rPr>
  </w:style>
  <w:style w:type="paragraph" w:customStyle="1" w:styleId="169">
    <w:name w:val="Char Char Char"/>
    <w:basedOn w:val="1"/>
    <w:qFormat/>
    <w:uiPriority w:val="0"/>
    <w:pPr>
      <w:spacing w:line="240" w:lineRule="auto"/>
      <w:ind w:firstLine="0" w:firstLineChars="0"/>
      <w:jc w:val="left"/>
    </w:pPr>
    <w:rPr>
      <w:rFonts w:cs="Times New Roman"/>
      <w:kern w:val="0"/>
      <w:sz w:val="20"/>
      <w:szCs w:val="20"/>
    </w:rPr>
  </w:style>
  <w:style w:type="paragraph" w:customStyle="1" w:styleId="170">
    <w:name w:val="Body text|1"/>
    <w:basedOn w:val="1"/>
    <w:qFormat/>
    <w:uiPriority w:val="0"/>
    <w:pPr>
      <w:widowControl w:val="0"/>
      <w:spacing w:line="413" w:lineRule="auto"/>
      <w:ind w:firstLine="400" w:firstLineChars="0"/>
    </w:pPr>
    <w:rPr>
      <w:rFonts w:ascii="宋体" w:hAnsi="宋体" w:cs="宋体"/>
      <w:sz w:val="28"/>
      <w:szCs w:val="28"/>
      <w:lang w:val="zh-TW" w:eastAsia="zh-TW" w:bidi="zh-TW"/>
    </w:rPr>
  </w:style>
  <w:style w:type="paragraph" w:customStyle="1" w:styleId="171">
    <w:name w:val="Other|1"/>
    <w:basedOn w:val="1"/>
    <w:unhideWhenUsed/>
    <w:qFormat/>
    <w:uiPriority w:val="0"/>
    <w:pPr>
      <w:widowControl w:val="0"/>
      <w:spacing w:line="240" w:lineRule="auto"/>
      <w:ind w:firstLine="0" w:firstLineChars="0"/>
      <w:jc w:val="center"/>
    </w:pPr>
    <w:rPr>
      <w:rFonts w:hint="eastAsia" w:cs="Times New Roman"/>
      <w:sz w:val="26"/>
      <w:szCs w:val="24"/>
    </w:rPr>
  </w:style>
  <w:style w:type="paragraph" w:customStyle="1" w:styleId="172">
    <w:name w:val="列表段落1"/>
    <w:basedOn w:val="1"/>
    <w:qFormat/>
    <w:uiPriority w:val="34"/>
    <w:pPr>
      <w:widowControl w:val="0"/>
      <w:spacing w:line="240" w:lineRule="auto"/>
      <w:ind w:firstLine="420" w:firstLineChars="0"/>
    </w:pPr>
    <w:rPr>
      <w:rFonts w:cs="Times New Roman"/>
      <w:sz w:val="21"/>
      <w:szCs w:val="24"/>
    </w:rPr>
  </w:style>
  <w:style w:type="paragraph" w:customStyle="1" w:styleId="173">
    <w:name w:val="Char"/>
    <w:basedOn w:val="1"/>
    <w:qFormat/>
    <w:uiPriority w:val="0"/>
    <w:pPr>
      <w:widowControl w:val="0"/>
      <w:ind w:firstLine="0" w:firstLineChars="0"/>
    </w:pPr>
    <w:rPr>
      <w:rFonts w:ascii="仿宋_GB2312" w:hAnsi="Tahoma" w:eastAsia="仿宋_GB2312" w:cs="Times New Roman"/>
      <w:sz w:val="21"/>
      <w:szCs w:val="21"/>
    </w:rPr>
  </w:style>
  <w:style w:type="paragraph" w:customStyle="1" w:styleId="174">
    <w:name w:val="图题"/>
    <w:basedOn w:val="13"/>
    <w:next w:val="87"/>
    <w:qFormat/>
    <w:uiPriority w:val="0"/>
    <w:pPr>
      <w:tabs>
        <w:tab w:val="left" w:pos="0"/>
      </w:tabs>
      <w:adjustRightInd w:val="0"/>
      <w:ind w:firstLine="0"/>
      <w:jc w:val="center"/>
      <w:textAlignment w:val="baseline"/>
      <w:outlineLvl w:val="1"/>
    </w:pPr>
    <w:rPr>
      <w:rFonts w:ascii="黑体" w:hAnsi="黑体" w:eastAsia="黑体" w:cs="宋体"/>
      <w:b/>
      <w:spacing w:val="0"/>
      <w:sz w:val="32"/>
      <w:szCs w:val="32"/>
    </w:rPr>
  </w:style>
  <w:style w:type="paragraph" w:customStyle="1" w:styleId="175">
    <w:name w:val="表内宋5中"/>
    <w:basedOn w:val="1"/>
    <w:qFormat/>
    <w:uiPriority w:val="0"/>
    <w:pPr>
      <w:widowControl w:val="0"/>
      <w:autoSpaceDE w:val="0"/>
      <w:autoSpaceDN w:val="0"/>
      <w:adjustRightInd w:val="0"/>
      <w:snapToGrid w:val="0"/>
      <w:spacing w:line="240" w:lineRule="auto"/>
      <w:ind w:firstLine="0" w:firstLineChars="0"/>
      <w:jc w:val="center"/>
    </w:pPr>
    <w:rPr>
      <w:rFonts w:ascii="宋体" w:hAnsi="宋体" w:cs="Times New Roman"/>
      <w:kern w:val="0"/>
      <w:sz w:val="21"/>
      <w:szCs w:val="20"/>
    </w:rPr>
  </w:style>
  <w:style w:type="paragraph" w:customStyle="1" w:styleId="176">
    <w:name w:val="reader-word-layer reader-word-s5-1 reader-word-s5-10"/>
    <w:basedOn w:val="1"/>
    <w:qFormat/>
    <w:uiPriority w:val="0"/>
    <w:pPr>
      <w:spacing w:before="100" w:beforeAutospacing="1" w:after="100" w:afterAutospacing="1" w:line="240" w:lineRule="auto"/>
      <w:ind w:firstLine="0" w:firstLineChars="0"/>
      <w:jc w:val="left"/>
    </w:pPr>
    <w:rPr>
      <w:rFonts w:ascii="宋体" w:hAnsi="宋体" w:cs="宋体"/>
      <w:kern w:val="0"/>
      <w:szCs w:val="24"/>
    </w:rPr>
  </w:style>
  <w:style w:type="table" w:customStyle="1" w:styleId="177">
    <w:name w:val="网格型1"/>
    <w:basedOn w:val="37"/>
    <w:unhideWhenUsed/>
    <w:qFormat/>
    <w:uiPriority w:val="99"/>
    <w:pPr>
      <w:widowControl w:val="0"/>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78">
    <w:name w:val="TOC 标题1"/>
    <w:basedOn w:val="2"/>
    <w:next w:val="1"/>
    <w:qFormat/>
    <w:uiPriority w:val="39"/>
    <w:pPr>
      <w:pageBreakBefore w:val="0"/>
      <w:tabs>
        <w:tab w:val="left" w:pos="0"/>
        <w:tab w:val="left" w:pos="275"/>
      </w:tabs>
      <w:spacing w:before="480" w:line="276" w:lineRule="auto"/>
      <w:ind w:left="425" w:hanging="425"/>
      <w:jc w:val="left"/>
      <w:outlineLvl w:val="9"/>
    </w:pPr>
    <w:rPr>
      <w:rFonts w:ascii="Cambria" w:hAnsi="Cambria" w:eastAsia="宋体" w:cs="Times New Roman"/>
      <w:color w:val="365F91"/>
      <w:kern w:val="0"/>
      <w:sz w:val="28"/>
      <w:szCs w:val="28"/>
    </w:rPr>
  </w:style>
  <w:style w:type="character" w:customStyle="1" w:styleId="179">
    <w:name w:val="font81"/>
    <w:qFormat/>
    <w:uiPriority w:val="0"/>
    <w:rPr>
      <w:rFonts w:ascii="Arial" w:hAnsi="Arial" w:cs="Arial"/>
      <w:color w:val="000000"/>
      <w:sz w:val="16"/>
      <w:szCs w:val="16"/>
      <w:u w:val="none"/>
    </w:rPr>
  </w:style>
  <w:style w:type="character" w:customStyle="1" w:styleId="180">
    <w:name w:val="fontstyle01"/>
    <w:basedOn w:val="39"/>
    <w:qFormat/>
    <w:uiPriority w:val="0"/>
    <w:rPr>
      <w:rFonts w:hint="eastAsia" w:ascii="黑体" w:hAnsi="黑体" w:eastAsia="黑体"/>
      <w:color w:val="000000"/>
      <w:sz w:val="22"/>
      <w:szCs w:val="22"/>
    </w:rPr>
  </w:style>
  <w:style w:type="paragraph" w:customStyle="1" w:styleId="181">
    <w:name w:val="！正文"/>
    <w:basedOn w:val="1"/>
    <w:qFormat/>
    <w:uiPriority w:val="0"/>
    <w:pPr>
      <w:widowControl w:val="0"/>
    </w:pPr>
    <w:rPr>
      <w:rFonts w:cs="Times New Roman"/>
      <w:szCs w:val="24"/>
    </w:rPr>
  </w:style>
  <w:style w:type="paragraph" w:customStyle="1" w:styleId="182">
    <w:name w:val="表内容"/>
    <w:next w:val="1"/>
    <w:qFormat/>
    <w:uiPriority w:val="0"/>
    <w:pPr>
      <w:widowControl w:val="0"/>
      <w:adjustRightInd w:val="0"/>
      <w:snapToGrid w:val="0"/>
      <w:jc w:val="center"/>
    </w:pPr>
    <w:rPr>
      <w:rFonts w:ascii="Times New Roman" w:hAnsi="Times New Roman" w:eastAsia="宋体" w:cs="Times New Roman"/>
      <w:bCs/>
      <w:sz w:val="21"/>
      <w:szCs w:val="21"/>
      <w:lang w:val="en-US" w:eastAsia="zh-CN" w:bidi="ar-SA"/>
    </w:rPr>
  </w:style>
  <w:style w:type="paragraph" w:customStyle="1" w:styleId="183">
    <w:name w:val="表格内容及图件BCER"/>
    <w:qFormat/>
    <w:uiPriority w:val="0"/>
    <w:pPr>
      <w:spacing w:line="400" w:lineRule="exact"/>
      <w:jc w:val="center"/>
    </w:pPr>
    <w:rPr>
      <w:rFonts w:ascii="Arial" w:hAnsi="Arial" w:eastAsia="宋体" w:cs="Times New Roman"/>
      <w:kern w:val="2"/>
      <w:sz w:val="21"/>
      <w:szCs w:val="22"/>
      <w:lang w:val="en-US" w:eastAsia="zh-CN" w:bidi="ar-SA"/>
    </w:rPr>
  </w:style>
  <w:style w:type="paragraph" w:customStyle="1" w:styleId="184">
    <w:name w:val="表名"/>
    <w:basedOn w:val="1"/>
    <w:qFormat/>
    <w:uiPriority w:val="0"/>
    <w:pPr>
      <w:ind w:firstLine="422"/>
      <w:jc w:val="center"/>
    </w:pPr>
    <w:rPr>
      <w:b/>
      <w:bCs/>
    </w:rPr>
  </w:style>
  <w:style w:type="paragraph" w:customStyle="1" w:styleId="185">
    <w:name w:val="SSEC 表字居中"/>
    <w:link w:val="186"/>
    <w:qFormat/>
    <w:uiPriority w:val="0"/>
    <w:pPr>
      <w:widowControl w:val="0"/>
      <w:adjustRightInd w:val="0"/>
      <w:snapToGrid w:val="0"/>
      <w:jc w:val="center"/>
      <w:textAlignment w:val="center"/>
    </w:pPr>
    <w:rPr>
      <w:rFonts w:ascii="宋体" w:hAnsi="Times New Roman" w:eastAsia="宋体" w:cstheme="minorBidi"/>
      <w:kern w:val="2"/>
      <w:sz w:val="21"/>
      <w:szCs w:val="21"/>
      <w:lang w:val="en-US" w:eastAsia="zh-CN" w:bidi="ar-SA"/>
    </w:rPr>
  </w:style>
  <w:style w:type="character" w:customStyle="1" w:styleId="186">
    <w:name w:val="SSEC 表字居中 字符"/>
    <w:basedOn w:val="39"/>
    <w:link w:val="185"/>
    <w:qFormat/>
    <w:uiPriority w:val="0"/>
    <w:rPr>
      <w:rFonts w:ascii="宋体" w:cstheme="minorBidi"/>
      <w:kern w:val="2"/>
      <w:sz w:val="21"/>
      <w:szCs w:val="21"/>
    </w:rPr>
  </w:style>
  <w:style w:type="table" w:customStyle="1" w:styleId="187">
    <w:name w:val="SSEC表格样式"/>
    <w:basedOn w:val="37"/>
    <w:qFormat/>
    <w:uiPriority w:val="99"/>
    <w:pPr>
      <w:adjustRightInd w:val="0"/>
      <w:snapToGrid w:val="0"/>
    </w:pPr>
    <w:rPr>
      <w:rFonts w:cstheme="minorBidi"/>
      <w:kern w:val="2"/>
      <w:sz w:val="21"/>
      <w:szCs w:val="21"/>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jc w:val="center"/>
    </w:trPr>
    <w:tcPr>
      <w:vAlign w:val="center"/>
    </w:tcPr>
  </w:style>
  <w:style w:type="paragraph" w:customStyle="1" w:styleId="188">
    <w:name w:val="SSEC 正文"/>
    <w:link w:val="189"/>
    <w:qFormat/>
    <w:uiPriority w:val="0"/>
    <w:pPr>
      <w:widowControl w:val="0"/>
      <w:adjustRightInd w:val="0"/>
      <w:snapToGrid w:val="0"/>
      <w:spacing w:line="331" w:lineRule="auto"/>
      <w:ind w:firstLine="200" w:firstLineChars="200"/>
      <w:jc w:val="both"/>
    </w:pPr>
    <w:rPr>
      <w:rFonts w:ascii="宋体" w:hAnsi="宋体" w:eastAsia="宋体" w:cstheme="minorBidi"/>
      <w:kern w:val="2"/>
      <w:sz w:val="24"/>
      <w:szCs w:val="24"/>
      <w:lang w:val="en-US" w:eastAsia="zh-CN" w:bidi="ar-SA"/>
    </w:rPr>
  </w:style>
  <w:style w:type="character" w:customStyle="1" w:styleId="189">
    <w:name w:val="SSEC 正文 字符"/>
    <w:basedOn w:val="39"/>
    <w:link w:val="188"/>
    <w:qFormat/>
    <w:uiPriority w:val="0"/>
    <w:rPr>
      <w:rFonts w:ascii="宋体" w:hAnsi="宋体" w:cstheme="minorBidi"/>
      <w:kern w:val="2"/>
      <w:sz w:val="24"/>
      <w:szCs w:val="24"/>
    </w:rPr>
  </w:style>
  <w:style w:type="paragraph" w:customStyle="1" w:styleId="190">
    <w:name w:val="图表题注"/>
    <w:basedOn w:val="1"/>
    <w:next w:val="1"/>
    <w:link w:val="191"/>
    <w:qFormat/>
    <w:uiPriority w:val="0"/>
    <w:pPr>
      <w:keepNext/>
      <w:adjustRightInd w:val="0"/>
      <w:snapToGrid w:val="0"/>
      <w:spacing w:line="240" w:lineRule="auto"/>
      <w:ind w:firstLine="0" w:firstLineChars="0"/>
      <w:jc w:val="center"/>
    </w:pPr>
    <w:rPr>
      <w:rFonts w:ascii="黑体" w:hAnsi="黑体" w:eastAsia="黑体" w:cs="仿宋_GB2312"/>
      <w:bCs/>
      <w:color w:val="000000"/>
      <w:kern w:val="0"/>
      <w:sz w:val="21"/>
      <w:szCs w:val="28"/>
    </w:rPr>
  </w:style>
  <w:style w:type="character" w:customStyle="1" w:styleId="191">
    <w:name w:val="图表题注 Char"/>
    <w:link w:val="190"/>
    <w:qFormat/>
    <w:uiPriority w:val="0"/>
    <w:rPr>
      <w:rFonts w:ascii="黑体" w:hAnsi="黑体" w:eastAsia="黑体" w:cs="仿宋_GB2312"/>
      <w:bCs/>
      <w:color w:val="000000"/>
      <w:sz w:val="21"/>
      <w:szCs w:val="28"/>
    </w:rPr>
  </w:style>
  <w:style w:type="paragraph" w:customStyle="1" w:styleId="192">
    <w:name w:val="大标题"/>
    <w:basedOn w:val="1"/>
    <w:next w:val="1"/>
    <w:link w:val="193"/>
    <w:qFormat/>
    <w:uiPriority w:val="0"/>
    <w:pPr>
      <w:keepNext/>
      <w:keepLines/>
      <w:widowControl w:val="0"/>
      <w:spacing w:line="600" w:lineRule="exact"/>
      <w:ind w:firstLine="0" w:firstLineChars="0"/>
      <w:jc w:val="center"/>
      <w:outlineLvl w:val="0"/>
    </w:pPr>
    <w:rPr>
      <w:rFonts w:ascii="方正小标宋简体" w:hAnsi="方正小标宋简体" w:eastAsia="方正小标宋简体" w:cs="Times New Roman"/>
      <w:kern w:val="44"/>
      <w:sz w:val="44"/>
      <w:szCs w:val="44"/>
    </w:rPr>
  </w:style>
  <w:style w:type="character" w:customStyle="1" w:styleId="193">
    <w:name w:val="大标题 Char"/>
    <w:link w:val="192"/>
    <w:qFormat/>
    <w:uiPriority w:val="0"/>
    <w:rPr>
      <w:rFonts w:ascii="方正小标宋简体" w:hAnsi="方正小标宋简体" w:eastAsia="方正小标宋简体"/>
      <w:kern w:val="44"/>
      <w:sz w:val="44"/>
      <w:szCs w:val="44"/>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4" Type="http://schemas.openxmlformats.org/officeDocument/2006/relationships/fontTable" Target="fontTable.xml"/><Relationship Id="rId53" Type="http://schemas.openxmlformats.org/officeDocument/2006/relationships/customXml" Target="../customXml/item2.xml"/><Relationship Id="rId52" Type="http://schemas.openxmlformats.org/officeDocument/2006/relationships/numbering" Target="numbering.xml"/><Relationship Id="rId51" Type="http://schemas.openxmlformats.org/officeDocument/2006/relationships/customXml" Target="../customXml/item1.xml"/><Relationship Id="rId50" Type="http://schemas.openxmlformats.org/officeDocument/2006/relationships/image" Target="media/image37.jpeg"/><Relationship Id="rId5" Type="http://schemas.openxmlformats.org/officeDocument/2006/relationships/header" Target="header1.xml"/><Relationship Id="rId49" Type="http://schemas.openxmlformats.org/officeDocument/2006/relationships/image" Target="media/image36.jpeg"/><Relationship Id="rId48" Type="http://schemas.openxmlformats.org/officeDocument/2006/relationships/image" Target="media/image35.jpeg"/><Relationship Id="rId47" Type="http://schemas.openxmlformats.org/officeDocument/2006/relationships/image" Target="media/image34.jpeg"/><Relationship Id="rId46" Type="http://schemas.openxmlformats.org/officeDocument/2006/relationships/image" Target="media/image33.jpeg"/><Relationship Id="rId45" Type="http://schemas.openxmlformats.org/officeDocument/2006/relationships/image" Target="media/image32.jpeg"/><Relationship Id="rId44" Type="http://schemas.openxmlformats.org/officeDocument/2006/relationships/image" Target="media/image31.jpeg"/><Relationship Id="rId43" Type="http://schemas.openxmlformats.org/officeDocument/2006/relationships/image" Target="media/image30.jpeg"/><Relationship Id="rId42" Type="http://schemas.openxmlformats.org/officeDocument/2006/relationships/image" Target="media/image29.jpeg"/><Relationship Id="rId41" Type="http://schemas.openxmlformats.org/officeDocument/2006/relationships/image" Target="media/image28.jpeg"/><Relationship Id="rId40" Type="http://schemas.openxmlformats.org/officeDocument/2006/relationships/image" Target="media/image27.jpeg"/><Relationship Id="rId4" Type="http://schemas.openxmlformats.org/officeDocument/2006/relationships/endnotes" Target="endnotes.xml"/><Relationship Id="rId39" Type="http://schemas.openxmlformats.org/officeDocument/2006/relationships/image" Target="media/image26.jpeg"/><Relationship Id="rId38" Type="http://schemas.openxmlformats.org/officeDocument/2006/relationships/image" Target="media/image25.png"/><Relationship Id="rId37" Type="http://schemas.openxmlformats.org/officeDocument/2006/relationships/image" Target="media/image24.jpeg"/><Relationship Id="rId36" Type="http://schemas.openxmlformats.org/officeDocument/2006/relationships/image" Target="media/image23.jpeg"/><Relationship Id="rId35" Type="http://schemas.openxmlformats.org/officeDocument/2006/relationships/image" Target="media/image22.jpeg"/><Relationship Id="rId34" Type="http://schemas.openxmlformats.org/officeDocument/2006/relationships/image" Target="media/image21.jpeg"/><Relationship Id="rId33" Type="http://schemas.openxmlformats.org/officeDocument/2006/relationships/image" Target="media/image20.jpeg"/><Relationship Id="rId32" Type="http://schemas.openxmlformats.org/officeDocument/2006/relationships/image" Target="media/image19.jpeg"/><Relationship Id="rId31" Type="http://schemas.openxmlformats.org/officeDocument/2006/relationships/image" Target="media/image18.jpeg"/><Relationship Id="rId30" Type="http://schemas.openxmlformats.org/officeDocument/2006/relationships/image" Target="media/image17.jpeg"/><Relationship Id="rId3" Type="http://schemas.openxmlformats.org/officeDocument/2006/relationships/footnotes" Target="footnotes.xml"/><Relationship Id="rId29" Type="http://schemas.openxmlformats.org/officeDocument/2006/relationships/image" Target="media/image16.jpeg"/><Relationship Id="rId28" Type="http://schemas.openxmlformats.org/officeDocument/2006/relationships/image" Target="media/image15.jpeg"/><Relationship Id="rId27" Type="http://schemas.openxmlformats.org/officeDocument/2006/relationships/image" Target="media/image14.jpeg"/><Relationship Id="rId26" Type="http://schemas.openxmlformats.org/officeDocument/2006/relationships/image" Target="media/image13.jpeg"/><Relationship Id="rId25" Type="http://schemas.openxmlformats.org/officeDocument/2006/relationships/image" Target="media/image12.jpeg"/><Relationship Id="rId24" Type="http://schemas.openxmlformats.org/officeDocument/2006/relationships/image" Target="media/image11.jpeg"/><Relationship Id="rId23" Type="http://schemas.openxmlformats.org/officeDocument/2006/relationships/image" Target="media/image10.jpeg"/><Relationship Id="rId22" Type="http://schemas.openxmlformats.org/officeDocument/2006/relationships/image" Target="media/image9.jpeg"/><Relationship Id="rId21" Type="http://schemas.openxmlformats.org/officeDocument/2006/relationships/image" Target="media/image8.jpeg"/><Relationship Id="rId20" Type="http://schemas.openxmlformats.org/officeDocument/2006/relationships/image" Target="media/image7.jpeg"/><Relationship Id="rId2" Type="http://schemas.openxmlformats.org/officeDocument/2006/relationships/settings" Target="settings.xml"/><Relationship Id="rId19" Type="http://schemas.openxmlformats.org/officeDocument/2006/relationships/image" Target="media/image6.jpeg"/><Relationship Id="rId18" Type="http://schemas.openxmlformats.org/officeDocument/2006/relationships/image" Target="media/image5.jpeg"/><Relationship Id="rId17" Type="http://schemas.openxmlformats.org/officeDocument/2006/relationships/image" Target="media/image4.jpeg"/><Relationship Id="rId16" Type="http://schemas.openxmlformats.org/officeDocument/2006/relationships/image" Target="media/image3.jpeg"/><Relationship Id="rId15" Type="http://schemas.openxmlformats.org/officeDocument/2006/relationships/image" Target="media/image2.jpeg"/><Relationship Id="rId14" Type="http://schemas.openxmlformats.org/officeDocument/2006/relationships/image" Target="media/image1.jpe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B8D94D-4434-46F7-A62E-C18D03DA0A5B}">
  <ds:schemaRefs/>
</ds:datastoreItem>
</file>

<file path=docProps/app.xml><?xml version="1.0" encoding="utf-8"?>
<Properties xmlns="http://schemas.openxmlformats.org/officeDocument/2006/extended-properties" xmlns:vt="http://schemas.openxmlformats.org/officeDocument/2006/docPropsVTypes">
  <Template>Normal</Template>
  <Pages>62</Pages>
  <Words>1045</Words>
  <Characters>1190</Characters>
  <Lines>138</Lines>
  <Paragraphs>38</Paragraphs>
  <TotalTime>1644</TotalTime>
  <ScaleCrop>false</ScaleCrop>
  <LinksUpToDate>false</LinksUpToDate>
  <CharactersWithSpaces>1209</CharactersWithSpaces>
  <Application>WPS Office_12.8.2.18606_F1E327BC-269C-435d-A152-05C5408002CA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2024-12-16T02:06:00Z</dcterms:created>
  <dc:creator>ben ben</dc:creator>
  <cp:lastModifiedBy>朱发强</cp:lastModifiedBy>
  <cp:lastPrinted>2024-06-24T10:03:00Z</cp:lastPrinted>
  <dcterms:modified xsi:type="dcterms:W3CDTF">2025-08-19T00:37:08Z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2024-05-19T14:06:53Z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72d63b01-4ddc-48ab-ad92-8e593bbe785e</vt:lpwstr>
  </property>
  <property fmtid="{D5CDD505-2E9C-101B-9397-08002B2CF9AE}" pid="7" name="MSIP_Label_defa4170-0d19-0005-0004-bc88714345d2_ActionId">
    <vt:lpwstr>4d90c0b5-6ad3-469f-aa07-97ecad7c614a</vt:lpwstr>
  </property>
  <property fmtid="{D5CDD505-2E9C-101B-9397-08002B2CF9AE}" pid="8" name="MSIP_Label_defa4170-0d19-0005-0004-bc88714345d2_ContentBits">
    <vt:lpwstr>0</vt:lpwstr>
  </property>
  <property fmtid="{D5CDD505-2E9C-101B-9397-08002B2CF9AE}" pid="9" name="KSOProductBuildVer">
    <vt:lpwstr>2052-12.8.2.18606</vt:lpwstr>
  </property>
  <property fmtid="{D5CDD505-2E9C-101B-9397-08002B2CF9AE}" pid="10" name="ICV">
    <vt:lpwstr>4FDFA856A5264188B9B18A577B6999EF_13</vt:lpwstr>
  </property>
  <property fmtid="{D5CDD505-2E9C-101B-9397-08002B2CF9AE}" pid="11" name="KSOTemplateDocerSaveRecord">
    <vt:lpwstr>eyJoZGlkIjoiNGRhZWU5ZDFlOWU4OThlYzk5MTBkNDFkMDdlOGZjMTgiLCJ1c2VySWQiOiIyNTU4NzM5MDcifQ==</vt:lpwstr>
  </property>
</Properties>
</file>