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81FD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bottom"/>
        <w:rPr>
          <w:rFonts w:hint="eastAsia" w:ascii="黑体" w:hAnsi="黑体" w:eastAsia="黑体" w:cs="黑体"/>
          <w:bCs/>
          <w:spacing w:val="0"/>
          <w:kern w:val="2"/>
          <w:sz w:val="28"/>
          <w:szCs w:val="28"/>
          <w:lang w:val="en-US" w:eastAsia="zh-CN"/>
        </w:rPr>
      </w:pPr>
      <w:r>
        <w:rPr>
          <w:rFonts w:hint="eastAsia" w:ascii="黑体" w:hAnsi="黑体" w:eastAsia="黑体" w:cs="黑体"/>
          <w:bCs/>
          <w:spacing w:val="23"/>
          <w:kern w:val="2"/>
          <w:sz w:val="28"/>
          <w:szCs w:val="28"/>
          <w:lang w:val="en-US" w:eastAsia="zh-CN"/>
        </w:rPr>
        <w:t>十六届人大常委会</w:t>
      </w:r>
    </w:p>
    <w:p w14:paraId="0093130A">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firstLine="0" w:firstLineChars="0"/>
        <w:textAlignment w:val="auto"/>
        <w:rPr>
          <w:rFonts w:hint="default" w:ascii="黑体" w:hAnsi="黑体" w:eastAsia="黑体" w:cs="黑体"/>
          <w:bCs/>
          <w:spacing w:val="-11"/>
          <w:kern w:val="2"/>
          <w:sz w:val="28"/>
          <w:szCs w:val="28"/>
          <w:lang w:val="en-US" w:eastAsia="zh-CN" w:bidi="zh-CN"/>
        </w:rPr>
      </w:pPr>
      <w:r>
        <w:rPr>
          <w:rFonts w:hint="eastAsia" w:ascii="黑体" w:hAnsi="黑体" w:eastAsia="黑体" w:cs="黑体"/>
          <w:bCs/>
          <w:spacing w:val="-11"/>
          <w:kern w:val="2"/>
          <w:sz w:val="28"/>
          <w:szCs w:val="28"/>
          <w:lang w:val="en-US" w:eastAsia="zh-CN" w:bidi="zh-CN"/>
        </w:rPr>
        <w:t>第二十二次会议文件五</w:t>
      </w:r>
    </w:p>
    <w:p w14:paraId="22127F78">
      <w:pPr>
        <w:pStyle w:val="2"/>
        <w:keepNext w:val="0"/>
        <w:keepLines w:val="0"/>
        <w:pageBreakBefore w:val="0"/>
        <w:widowControl w:val="0"/>
        <w:kinsoku/>
        <w:wordWrap/>
        <w:overflowPunct/>
        <w:topLinePunct w:val="0"/>
        <w:autoSpaceDE/>
        <w:autoSpaceDN/>
        <w:bidi w:val="0"/>
        <w:adjustRightInd/>
        <w:snapToGrid/>
        <w:spacing w:before="0" w:beforeAutospacing="0" w:after="0" w:line="400" w:lineRule="exact"/>
        <w:textAlignment w:val="auto"/>
        <w:rPr>
          <w:rFonts w:hint="default"/>
          <w:lang w:val="en-US" w:eastAsia="zh-CN"/>
        </w:rPr>
      </w:pPr>
    </w:p>
    <w:p w14:paraId="38F04D47">
      <w:pPr>
        <w:pStyle w:val="5"/>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val="0"/>
          <w:bCs/>
          <w:color w:val="auto"/>
          <w:sz w:val="44"/>
          <w:szCs w:val="44"/>
          <w:highlight w:val="none"/>
          <w:shd w:val="clear" w:color="auto" w:fill="auto"/>
          <w:lang w:val="en-US" w:eastAsia="zh-CN"/>
        </w:rPr>
      </w:pPr>
      <w:r>
        <w:rPr>
          <w:rFonts w:hint="eastAsia" w:ascii="方正小标宋简体" w:hAnsi="方正小标宋简体" w:eastAsia="方正小标宋简体" w:cs="方正小标宋简体"/>
          <w:b w:val="0"/>
          <w:bCs/>
          <w:color w:val="auto"/>
          <w:sz w:val="44"/>
          <w:szCs w:val="44"/>
          <w:highlight w:val="none"/>
          <w:shd w:val="clear" w:color="auto" w:fill="auto"/>
        </w:rPr>
        <w:t>桐柏县</w:t>
      </w:r>
      <w:r>
        <w:rPr>
          <w:rFonts w:hint="eastAsia" w:ascii="方正小标宋简体" w:hAnsi="方正小标宋简体" w:eastAsia="方正小标宋简体" w:cs="方正小标宋简体"/>
          <w:b w:val="0"/>
          <w:bCs/>
          <w:color w:val="auto"/>
          <w:sz w:val="44"/>
          <w:szCs w:val="44"/>
          <w:highlight w:val="none"/>
          <w:shd w:val="clear" w:color="auto" w:fill="auto"/>
          <w:lang w:val="en-US" w:eastAsia="zh-CN"/>
        </w:rPr>
        <w:t>人民政府</w:t>
      </w:r>
      <w:bookmarkStart w:id="2" w:name="_GoBack"/>
      <w:bookmarkEnd w:id="2"/>
    </w:p>
    <w:p w14:paraId="38CBA873">
      <w:pPr>
        <w:pStyle w:val="5"/>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val="0"/>
          <w:bCs/>
          <w:color w:val="auto"/>
          <w:sz w:val="44"/>
          <w:szCs w:val="44"/>
          <w:highlight w:val="none"/>
          <w:shd w:val="clear" w:color="auto" w:fill="auto"/>
        </w:rPr>
      </w:pPr>
      <w:r>
        <w:rPr>
          <w:rFonts w:hint="eastAsia" w:ascii="方正小标宋简体" w:hAnsi="方正小标宋简体" w:eastAsia="方正小标宋简体" w:cs="方正小标宋简体"/>
          <w:b w:val="0"/>
          <w:bCs/>
          <w:color w:val="auto"/>
          <w:sz w:val="44"/>
          <w:szCs w:val="44"/>
          <w:highlight w:val="none"/>
          <w:shd w:val="clear" w:color="auto" w:fill="auto"/>
          <w:lang w:val="en-US" w:eastAsia="zh-CN"/>
        </w:rPr>
        <w:t>关于</w:t>
      </w:r>
      <w:r>
        <w:rPr>
          <w:rFonts w:hint="eastAsia" w:ascii="方正小标宋简体" w:hAnsi="方正小标宋简体" w:eastAsia="方正小标宋简体" w:cs="方正小标宋简体"/>
          <w:b w:val="0"/>
          <w:bCs/>
          <w:color w:val="auto"/>
          <w:sz w:val="44"/>
          <w:szCs w:val="44"/>
          <w:highlight w:val="none"/>
          <w:shd w:val="clear" w:color="auto" w:fill="auto"/>
        </w:rPr>
        <w:t>20</w:t>
      </w:r>
      <w:r>
        <w:rPr>
          <w:rFonts w:hint="eastAsia" w:ascii="方正小标宋简体" w:hAnsi="方正小标宋简体" w:eastAsia="方正小标宋简体" w:cs="方正小标宋简体"/>
          <w:b w:val="0"/>
          <w:bCs/>
          <w:color w:val="auto"/>
          <w:sz w:val="44"/>
          <w:szCs w:val="44"/>
          <w:highlight w:val="none"/>
          <w:shd w:val="clear" w:color="auto" w:fill="auto"/>
          <w:lang w:val="en-US" w:eastAsia="zh-CN"/>
        </w:rPr>
        <w:t>24</w:t>
      </w:r>
      <w:r>
        <w:rPr>
          <w:rFonts w:hint="eastAsia" w:ascii="方正小标宋简体" w:hAnsi="方正小标宋简体" w:eastAsia="方正小标宋简体" w:cs="方正小标宋简体"/>
          <w:b w:val="0"/>
          <w:bCs/>
          <w:color w:val="auto"/>
          <w:sz w:val="44"/>
          <w:szCs w:val="44"/>
          <w:highlight w:val="none"/>
          <w:shd w:val="clear" w:color="auto" w:fill="auto"/>
        </w:rPr>
        <w:t>年财政决算草案和</w:t>
      </w:r>
    </w:p>
    <w:p w14:paraId="235399BE">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color w:val="auto"/>
          <w:sz w:val="44"/>
          <w:szCs w:val="44"/>
          <w:highlight w:val="none"/>
          <w:shd w:val="clear" w:color="auto" w:fill="auto"/>
        </w:rPr>
      </w:pPr>
      <w:r>
        <w:rPr>
          <w:rFonts w:hint="eastAsia" w:ascii="方正小标宋简体" w:hAnsi="方正小标宋简体" w:eastAsia="方正小标宋简体" w:cs="方正小标宋简体"/>
          <w:b w:val="0"/>
          <w:bCs/>
          <w:color w:val="auto"/>
          <w:sz w:val="44"/>
          <w:szCs w:val="44"/>
          <w:highlight w:val="none"/>
          <w:shd w:val="clear" w:color="auto" w:fill="auto"/>
        </w:rPr>
        <w:t>20</w:t>
      </w:r>
      <w:r>
        <w:rPr>
          <w:rFonts w:hint="eastAsia" w:ascii="方正小标宋简体" w:hAnsi="方正小标宋简体" w:eastAsia="方正小标宋简体" w:cs="方正小标宋简体"/>
          <w:b w:val="0"/>
          <w:bCs/>
          <w:color w:val="auto"/>
          <w:sz w:val="44"/>
          <w:szCs w:val="44"/>
          <w:highlight w:val="none"/>
          <w:shd w:val="clear" w:color="auto" w:fill="auto"/>
          <w:lang w:val="en-US" w:eastAsia="zh-CN"/>
        </w:rPr>
        <w:t>25</w:t>
      </w:r>
      <w:r>
        <w:rPr>
          <w:rFonts w:hint="eastAsia" w:ascii="方正小标宋简体" w:hAnsi="方正小标宋简体" w:eastAsia="方正小标宋简体" w:cs="方正小标宋简体"/>
          <w:b w:val="0"/>
          <w:bCs/>
          <w:color w:val="auto"/>
          <w:sz w:val="44"/>
          <w:szCs w:val="44"/>
          <w:highlight w:val="none"/>
          <w:shd w:val="clear" w:color="auto" w:fill="auto"/>
        </w:rPr>
        <w:t>年上半年财政预算执行情况的报告</w:t>
      </w:r>
    </w:p>
    <w:p w14:paraId="7BE0A788">
      <w:pPr>
        <w:jc w:val="center"/>
        <w:rPr>
          <w:rFonts w:hint="eastAsia" w:ascii="楷体_GB2312" w:hAnsi="楷体_GB2312" w:eastAsia="楷体_GB2312" w:cs="楷体_GB2312"/>
          <w:b w:val="0"/>
          <w:bCs/>
          <w:color w:val="auto"/>
          <w:sz w:val="32"/>
          <w:szCs w:val="32"/>
        </w:rPr>
      </w:pPr>
      <w:r>
        <w:rPr>
          <w:rFonts w:hint="eastAsia" w:ascii="黑体" w:hAnsi="黑体" w:eastAsia="黑体" w:cs="黑体"/>
          <w:b w:val="0"/>
          <w:bCs/>
          <w:color w:val="auto"/>
          <w:sz w:val="32"/>
          <w:szCs w:val="32"/>
          <w:lang w:eastAsia="zh-CN"/>
        </w:rPr>
        <w:t>——</w:t>
      </w:r>
      <w:r>
        <w:rPr>
          <w:rFonts w:hint="eastAsia" w:ascii="楷体_GB2312" w:hAnsi="楷体_GB2312" w:eastAsia="楷体_GB2312" w:cs="楷体_GB2312"/>
          <w:b w:val="0"/>
          <w:bCs/>
          <w:color w:val="auto"/>
          <w:spacing w:val="-11"/>
          <w:sz w:val="32"/>
          <w:szCs w:val="32"/>
        </w:rPr>
        <w:t>20</w:t>
      </w:r>
      <w:r>
        <w:rPr>
          <w:rFonts w:hint="eastAsia" w:ascii="楷体_GB2312" w:hAnsi="楷体_GB2312" w:eastAsia="楷体_GB2312" w:cs="楷体_GB2312"/>
          <w:b w:val="0"/>
          <w:bCs/>
          <w:color w:val="auto"/>
          <w:spacing w:val="-11"/>
          <w:sz w:val="32"/>
          <w:szCs w:val="32"/>
          <w:lang w:val="en-US" w:eastAsia="zh-CN"/>
        </w:rPr>
        <w:t>25</w:t>
      </w:r>
      <w:r>
        <w:rPr>
          <w:rFonts w:hint="eastAsia" w:ascii="楷体_GB2312" w:hAnsi="楷体_GB2312" w:eastAsia="楷体_GB2312" w:cs="楷体_GB2312"/>
          <w:b w:val="0"/>
          <w:bCs/>
          <w:color w:val="auto"/>
          <w:spacing w:val="-11"/>
          <w:sz w:val="32"/>
          <w:szCs w:val="32"/>
        </w:rPr>
        <w:t>年</w:t>
      </w:r>
      <w:r>
        <w:rPr>
          <w:rFonts w:hint="eastAsia" w:ascii="楷体_GB2312" w:hAnsi="楷体_GB2312" w:eastAsia="楷体_GB2312" w:cs="楷体_GB2312"/>
          <w:b w:val="0"/>
          <w:bCs/>
          <w:color w:val="auto"/>
          <w:spacing w:val="-11"/>
          <w:sz w:val="32"/>
          <w:szCs w:val="32"/>
          <w:lang w:val="en-US" w:eastAsia="zh-CN"/>
        </w:rPr>
        <w:t>8</w:t>
      </w:r>
      <w:r>
        <w:rPr>
          <w:rFonts w:hint="eastAsia" w:ascii="楷体_GB2312" w:hAnsi="楷体_GB2312" w:eastAsia="楷体_GB2312" w:cs="楷体_GB2312"/>
          <w:b w:val="0"/>
          <w:bCs/>
          <w:color w:val="auto"/>
          <w:spacing w:val="-11"/>
          <w:sz w:val="32"/>
          <w:szCs w:val="32"/>
        </w:rPr>
        <w:t>月</w:t>
      </w:r>
      <w:r>
        <w:rPr>
          <w:rFonts w:hint="eastAsia" w:ascii="楷体_GB2312" w:hAnsi="楷体_GB2312" w:eastAsia="楷体_GB2312" w:cs="楷体_GB2312"/>
          <w:b w:val="0"/>
          <w:bCs/>
          <w:color w:val="auto"/>
          <w:spacing w:val="-11"/>
          <w:sz w:val="32"/>
          <w:szCs w:val="32"/>
          <w:lang w:val="en-US" w:eastAsia="zh-CN"/>
        </w:rPr>
        <w:t>12</w:t>
      </w:r>
      <w:r>
        <w:rPr>
          <w:rFonts w:hint="eastAsia" w:ascii="楷体_GB2312" w:hAnsi="楷体_GB2312" w:eastAsia="楷体_GB2312" w:cs="楷体_GB2312"/>
          <w:b w:val="0"/>
          <w:bCs/>
          <w:color w:val="auto"/>
          <w:spacing w:val="-11"/>
          <w:sz w:val="32"/>
          <w:szCs w:val="32"/>
        </w:rPr>
        <w:t>日在县</w:t>
      </w:r>
      <w:r>
        <w:rPr>
          <w:rFonts w:hint="eastAsia" w:ascii="楷体_GB2312" w:hAnsi="楷体_GB2312" w:eastAsia="楷体_GB2312" w:cs="楷体_GB2312"/>
          <w:b w:val="0"/>
          <w:bCs/>
          <w:color w:val="auto"/>
          <w:spacing w:val="-11"/>
          <w:sz w:val="32"/>
          <w:szCs w:val="32"/>
          <w:lang w:eastAsia="zh-CN"/>
        </w:rPr>
        <w:t>十</w:t>
      </w:r>
      <w:r>
        <w:rPr>
          <w:rFonts w:hint="eastAsia" w:ascii="楷体_GB2312" w:hAnsi="楷体_GB2312" w:eastAsia="楷体_GB2312" w:cs="楷体_GB2312"/>
          <w:b w:val="0"/>
          <w:bCs/>
          <w:color w:val="auto"/>
          <w:spacing w:val="-11"/>
          <w:sz w:val="32"/>
          <w:szCs w:val="32"/>
          <w:lang w:val="en-US" w:eastAsia="zh-CN"/>
        </w:rPr>
        <w:t>六</w:t>
      </w:r>
      <w:r>
        <w:rPr>
          <w:rFonts w:hint="eastAsia" w:ascii="楷体_GB2312" w:hAnsi="楷体_GB2312" w:eastAsia="楷体_GB2312" w:cs="楷体_GB2312"/>
          <w:b w:val="0"/>
          <w:bCs/>
          <w:color w:val="auto"/>
          <w:spacing w:val="-11"/>
          <w:sz w:val="32"/>
          <w:szCs w:val="32"/>
        </w:rPr>
        <w:t>届人大常委会第</w:t>
      </w:r>
      <w:r>
        <w:rPr>
          <w:rFonts w:hint="eastAsia" w:ascii="楷体_GB2312" w:hAnsi="楷体_GB2312" w:eastAsia="楷体_GB2312" w:cs="楷体_GB2312"/>
          <w:b w:val="0"/>
          <w:bCs/>
          <w:color w:val="auto"/>
          <w:spacing w:val="-11"/>
          <w:sz w:val="32"/>
          <w:szCs w:val="32"/>
          <w:lang w:val="en-US" w:eastAsia="zh-CN"/>
        </w:rPr>
        <w:t>二十二</w:t>
      </w:r>
      <w:r>
        <w:rPr>
          <w:rFonts w:hint="eastAsia" w:ascii="楷体_GB2312" w:hAnsi="楷体_GB2312" w:eastAsia="楷体_GB2312" w:cs="楷体_GB2312"/>
          <w:b w:val="0"/>
          <w:bCs/>
          <w:color w:val="auto"/>
          <w:spacing w:val="-11"/>
          <w:sz w:val="32"/>
          <w:szCs w:val="32"/>
        </w:rPr>
        <w:t>次会议上</w:t>
      </w:r>
    </w:p>
    <w:p w14:paraId="7308FAA5">
      <w:pPr>
        <w:jc w:val="center"/>
        <w:rPr>
          <w:rFonts w:hint="eastAsia" w:ascii="楷体_GB2312" w:hAnsi="楷体_GB2312" w:eastAsia="楷体_GB2312" w:cs="楷体_GB2312"/>
          <w:b w:val="0"/>
          <w:bCs/>
          <w:color w:val="auto"/>
          <w:sz w:val="32"/>
          <w:szCs w:val="32"/>
          <w:lang w:val="en-US"/>
        </w:rPr>
      </w:pPr>
      <w:r>
        <w:rPr>
          <w:rFonts w:hint="eastAsia" w:ascii="楷体_GB2312" w:hAnsi="楷体_GB2312" w:eastAsia="楷体_GB2312" w:cs="楷体_GB2312"/>
          <w:b w:val="0"/>
          <w:bCs/>
          <w:color w:val="auto"/>
          <w:sz w:val="32"/>
          <w:szCs w:val="32"/>
        </w:rPr>
        <w:t xml:space="preserve">县财政局局长  </w:t>
      </w:r>
      <w:r>
        <w:rPr>
          <w:rFonts w:hint="eastAsia" w:ascii="楷体_GB2312" w:hAnsi="楷体_GB2312" w:eastAsia="楷体_GB2312" w:cs="楷体_GB2312"/>
          <w:b w:val="0"/>
          <w:bCs/>
          <w:color w:val="auto"/>
          <w:sz w:val="32"/>
          <w:szCs w:val="32"/>
          <w:lang w:val="en-US" w:eastAsia="zh-CN"/>
        </w:rPr>
        <w:t>王广武</w:t>
      </w:r>
    </w:p>
    <w:p w14:paraId="6FC2D6D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shd w:val="clear" w:color="auto" w:fill="auto"/>
        </w:rPr>
      </w:pPr>
    </w:p>
    <w:p w14:paraId="7A217921">
      <w:pPr>
        <w:keepNext w:val="0"/>
        <w:keepLines w:val="0"/>
        <w:pageBreakBefore w:val="0"/>
        <w:widowControl w:val="0"/>
        <w:kinsoku/>
        <w:wordWrap/>
        <w:overflowPunct/>
        <w:topLinePunct w:val="0"/>
        <w:autoSpaceDE/>
        <w:autoSpaceDN/>
        <w:bidi w:val="0"/>
        <w:adjustRightInd/>
        <w:snapToGrid/>
        <w:spacing w:beforeAutospacing="0" w:line="560" w:lineRule="exact"/>
        <w:ind w:left="0" w:right="0"/>
        <w:jc w:val="both"/>
        <w:textAlignment w:val="auto"/>
        <w:rPr>
          <w:rFonts w:hint="eastAsia" w:ascii="仿宋_GB2312" w:hAnsi="仿宋_GB2312" w:eastAsia="仿宋_GB2312" w:cs="仿宋_GB2312"/>
          <w:color w:val="auto"/>
          <w:spacing w:val="0"/>
          <w:sz w:val="32"/>
          <w:szCs w:val="32"/>
          <w:highlight w:val="none"/>
          <w:shd w:val="clear" w:color="auto" w:fill="auto"/>
        </w:rPr>
      </w:pPr>
      <w:r>
        <w:rPr>
          <w:rFonts w:hint="eastAsia" w:ascii="仿宋_GB2312" w:hAnsi="仿宋_GB2312" w:eastAsia="仿宋_GB2312" w:cs="仿宋_GB2312"/>
          <w:color w:val="auto"/>
          <w:spacing w:val="0"/>
          <w:sz w:val="32"/>
          <w:szCs w:val="32"/>
          <w:highlight w:val="none"/>
          <w:shd w:val="clear" w:color="auto" w:fill="auto"/>
        </w:rPr>
        <w:t>主任、各位副主任、各位委员：</w:t>
      </w:r>
    </w:p>
    <w:p w14:paraId="14A49B69">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shd w:val="clear" w:color="auto" w:fill="auto"/>
        </w:rPr>
      </w:pPr>
      <w:r>
        <w:rPr>
          <w:rFonts w:hint="eastAsia" w:ascii="仿宋_GB2312" w:hAnsi="仿宋_GB2312" w:eastAsia="仿宋_GB2312" w:cs="仿宋_GB2312"/>
          <w:color w:val="auto"/>
          <w:spacing w:val="0"/>
          <w:sz w:val="32"/>
          <w:szCs w:val="32"/>
          <w:highlight w:val="none"/>
          <w:shd w:val="clear" w:color="auto" w:fill="auto"/>
        </w:rPr>
        <w:t>我受县人民政府委托，向县</w:t>
      </w:r>
      <w:r>
        <w:rPr>
          <w:rFonts w:hint="eastAsia" w:ascii="仿宋_GB2312" w:hAnsi="仿宋_GB2312" w:eastAsia="仿宋_GB2312" w:cs="仿宋_GB2312"/>
          <w:color w:val="auto"/>
          <w:spacing w:val="0"/>
          <w:sz w:val="32"/>
          <w:szCs w:val="32"/>
          <w:highlight w:val="none"/>
          <w:shd w:val="clear" w:color="auto" w:fill="auto"/>
          <w:lang w:val="en-US" w:eastAsia="zh-CN"/>
        </w:rPr>
        <w:t>十六</w:t>
      </w:r>
      <w:r>
        <w:rPr>
          <w:rFonts w:hint="eastAsia" w:ascii="仿宋_GB2312" w:hAnsi="仿宋_GB2312" w:eastAsia="仿宋_GB2312" w:cs="仿宋_GB2312"/>
          <w:color w:val="auto"/>
          <w:spacing w:val="0"/>
          <w:sz w:val="32"/>
          <w:szCs w:val="32"/>
          <w:highlight w:val="none"/>
          <w:shd w:val="clear" w:color="auto" w:fill="auto"/>
        </w:rPr>
        <w:t>届人大常委会第</w:t>
      </w:r>
      <w:r>
        <w:rPr>
          <w:rFonts w:hint="eastAsia" w:ascii="仿宋_GB2312" w:hAnsi="仿宋_GB2312" w:eastAsia="仿宋_GB2312" w:cs="仿宋_GB2312"/>
          <w:color w:val="auto"/>
          <w:spacing w:val="0"/>
          <w:sz w:val="32"/>
          <w:szCs w:val="32"/>
          <w:highlight w:val="none"/>
          <w:shd w:val="clear" w:color="auto" w:fill="auto"/>
          <w:lang w:val="en-US" w:eastAsia="zh-CN"/>
        </w:rPr>
        <w:t>二十二</w:t>
      </w:r>
      <w:r>
        <w:rPr>
          <w:rFonts w:hint="eastAsia" w:ascii="仿宋_GB2312" w:hAnsi="仿宋_GB2312" w:eastAsia="仿宋_GB2312" w:cs="仿宋_GB2312"/>
          <w:color w:val="auto"/>
          <w:spacing w:val="0"/>
          <w:sz w:val="32"/>
          <w:szCs w:val="32"/>
          <w:highlight w:val="none"/>
          <w:shd w:val="clear" w:color="auto" w:fill="auto"/>
        </w:rPr>
        <w:t>次会议</w:t>
      </w:r>
      <w:r>
        <w:rPr>
          <w:rFonts w:hint="eastAsia" w:ascii="仿宋_GB2312" w:hAnsi="仿宋_GB2312" w:eastAsia="仿宋_GB2312" w:cs="仿宋_GB2312"/>
          <w:color w:val="auto"/>
          <w:spacing w:val="0"/>
          <w:sz w:val="32"/>
          <w:szCs w:val="32"/>
          <w:highlight w:val="none"/>
          <w:shd w:val="clear" w:color="auto" w:fill="auto"/>
          <w:lang w:val="en-US" w:eastAsia="zh-CN"/>
        </w:rPr>
        <w:t>报告</w:t>
      </w:r>
      <w:r>
        <w:rPr>
          <w:rFonts w:hint="eastAsia" w:ascii="仿宋_GB2312" w:hAnsi="仿宋_GB2312" w:eastAsia="仿宋_GB2312" w:cs="仿宋_GB2312"/>
          <w:color w:val="auto"/>
          <w:spacing w:val="0"/>
          <w:sz w:val="32"/>
          <w:szCs w:val="32"/>
          <w:highlight w:val="none"/>
          <w:shd w:val="clear" w:color="auto" w:fill="auto"/>
        </w:rPr>
        <w:t>20</w:t>
      </w:r>
      <w:r>
        <w:rPr>
          <w:rFonts w:hint="eastAsia" w:ascii="仿宋_GB2312" w:hAnsi="仿宋_GB2312" w:eastAsia="仿宋_GB2312" w:cs="仿宋_GB2312"/>
          <w:color w:val="auto"/>
          <w:spacing w:val="0"/>
          <w:sz w:val="32"/>
          <w:szCs w:val="32"/>
          <w:highlight w:val="none"/>
          <w:shd w:val="clear" w:color="auto" w:fill="auto"/>
          <w:lang w:val="en-US" w:eastAsia="zh-CN"/>
        </w:rPr>
        <w:t>24</w:t>
      </w:r>
      <w:r>
        <w:rPr>
          <w:rFonts w:hint="eastAsia" w:ascii="仿宋_GB2312" w:hAnsi="仿宋_GB2312" w:eastAsia="仿宋_GB2312" w:cs="仿宋_GB2312"/>
          <w:color w:val="auto"/>
          <w:spacing w:val="0"/>
          <w:sz w:val="32"/>
          <w:szCs w:val="32"/>
          <w:highlight w:val="none"/>
          <w:shd w:val="clear" w:color="auto" w:fill="auto"/>
        </w:rPr>
        <w:t>年财政决算草案和20</w:t>
      </w:r>
      <w:r>
        <w:rPr>
          <w:rFonts w:hint="eastAsia" w:ascii="仿宋_GB2312" w:hAnsi="仿宋_GB2312" w:eastAsia="仿宋_GB2312" w:cs="仿宋_GB2312"/>
          <w:color w:val="auto"/>
          <w:spacing w:val="0"/>
          <w:sz w:val="32"/>
          <w:szCs w:val="32"/>
          <w:highlight w:val="none"/>
          <w:shd w:val="clear" w:color="auto" w:fill="auto"/>
          <w:lang w:val="en-US" w:eastAsia="zh-CN"/>
        </w:rPr>
        <w:t>25</w:t>
      </w:r>
      <w:r>
        <w:rPr>
          <w:rFonts w:hint="eastAsia" w:ascii="仿宋_GB2312" w:hAnsi="仿宋_GB2312" w:eastAsia="仿宋_GB2312" w:cs="仿宋_GB2312"/>
          <w:color w:val="auto"/>
          <w:spacing w:val="0"/>
          <w:sz w:val="32"/>
          <w:szCs w:val="32"/>
          <w:highlight w:val="none"/>
          <w:shd w:val="clear" w:color="auto" w:fill="auto"/>
        </w:rPr>
        <w:t>年上半年财政预算执行情况，请予审议。</w:t>
      </w:r>
    </w:p>
    <w:p w14:paraId="5915FB4D">
      <w:pPr>
        <w:keepNext w:val="0"/>
        <w:keepLines w:val="0"/>
        <w:pageBreakBefore w:val="0"/>
        <w:widowControl w:val="0"/>
        <w:kinsoku/>
        <w:wordWrap/>
        <w:overflowPunct/>
        <w:topLinePunct w:val="0"/>
        <w:autoSpaceDE/>
        <w:bidi w:val="0"/>
        <w:adjustRightInd w:val="0"/>
        <w:snapToGrid w:val="0"/>
        <w:spacing w:beforeAutospacing="0" w:line="560" w:lineRule="exact"/>
        <w:ind w:left="0" w:leftChars="0" w:right="0" w:firstLine="640" w:firstLineChars="200"/>
        <w:jc w:val="both"/>
        <w:textAlignment w:val="auto"/>
        <w:outlineLvl w:val="1"/>
        <w:rPr>
          <w:rFonts w:hint="eastAsia" w:ascii="黑体" w:hAnsi="黑体" w:eastAsia="黑体" w:cs="黑体"/>
          <w:b w:val="0"/>
          <w:bCs/>
          <w:color w:val="auto"/>
          <w:spacing w:val="0"/>
          <w:sz w:val="32"/>
          <w:szCs w:val="32"/>
          <w:highlight w:val="none"/>
          <w:shd w:val="clear" w:color="auto" w:fill="auto"/>
        </w:rPr>
      </w:pPr>
      <w:r>
        <w:rPr>
          <w:rFonts w:hint="eastAsia" w:ascii="黑体" w:hAnsi="黑体" w:eastAsia="黑体" w:cs="黑体"/>
          <w:b w:val="0"/>
          <w:bCs/>
          <w:color w:val="auto"/>
          <w:spacing w:val="0"/>
          <w:sz w:val="32"/>
          <w:szCs w:val="32"/>
          <w:highlight w:val="none"/>
          <w:shd w:val="clear" w:color="auto" w:fill="auto"/>
        </w:rPr>
        <w:t>一、20</w:t>
      </w:r>
      <w:r>
        <w:rPr>
          <w:rFonts w:hint="eastAsia" w:ascii="黑体" w:hAnsi="黑体" w:eastAsia="黑体" w:cs="黑体"/>
          <w:b w:val="0"/>
          <w:bCs/>
          <w:color w:val="auto"/>
          <w:spacing w:val="0"/>
          <w:sz w:val="32"/>
          <w:szCs w:val="32"/>
          <w:highlight w:val="none"/>
          <w:shd w:val="clear" w:color="auto" w:fill="auto"/>
          <w:lang w:val="en-US" w:eastAsia="zh-CN"/>
        </w:rPr>
        <w:t>24</w:t>
      </w:r>
      <w:r>
        <w:rPr>
          <w:rFonts w:hint="eastAsia" w:ascii="黑体" w:hAnsi="黑体" w:eastAsia="黑体" w:cs="黑体"/>
          <w:b w:val="0"/>
          <w:bCs/>
          <w:color w:val="auto"/>
          <w:spacing w:val="0"/>
          <w:sz w:val="32"/>
          <w:szCs w:val="32"/>
          <w:highlight w:val="none"/>
          <w:shd w:val="clear" w:color="auto" w:fill="auto"/>
        </w:rPr>
        <w:t>年财政决算情况</w:t>
      </w:r>
    </w:p>
    <w:p w14:paraId="085FF579">
      <w:pPr>
        <w:pStyle w:val="10"/>
        <w:keepNext w:val="0"/>
        <w:keepLines w:val="0"/>
        <w:pageBreakBefore w:val="0"/>
        <w:widowControl w:val="0"/>
        <w:numPr>
          <w:ilvl w:val="0"/>
          <w:numId w:val="0"/>
        </w:numPr>
        <w:kinsoku/>
        <w:wordWrap/>
        <w:overflowPunct/>
        <w:topLinePunct w:val="0"/>
        <w:autoSpaceDE/>
        <w:bidi w:val="0"/>
        <w:spacing w:beforeAutospacing="0" w:line="560" w:lineRule="exact"/>
        <w:ind w:left="0" w:leftChars="0" w:right="0" w:rightChars="0" w:firstLine="643" w:firstLineChars="200"/>
        <w:jc w:val="both"/>
        <w:textAlignment w:val="auto"/>
        <w:rPr>
          <w:rFonts w:hint="eastAsia" w:ascii="楷体_GB2312" w:hAnsi="楷体_GB2312" w:eastAsia="楷体_GB2312" w:cs="楷体_GB2312"/>
          <w:b/>
          <w:bCs w:val="0"/>
          <w:color w:val="auto"/>
          <w:spacing w:val="0"/>
          <w:kern w:val="2"/>
          <w:sz w:val="32"/>
          <w:szCs w:val="32"/>
          <w:highlight w:val="none"/>
          <w:shd w:val="clear" w:color="auto" w:fill="auto"/>
          <w:lang w:val="en-US" w:eastAsia="zh-CN" w:bidi="ar-SA"/>
        </w:rPr>
      </w:pPr>
      <w:r>
        <w:rPr>
          <w:rFonts w:hint="eastAsia" w:ascii="楷体_GB2312" w:hAnsi="楷体_GB2312" w:eastAsia="楷体_GB2312" w:cs="楷体_GB2312"/>
          <w:b/>
          <w:bCs w:val="0"/>
          <w:color w:val="auto"/>
          <w:spacing w:val="0"/>
          <w:kern w:val="2"/>
          <w:sz w:val="32"/>
          <w:szCs w:val="32"/>
          <w:shd w:val="clear" w:fill="auto"/>
          <w:lang w:val="en-US" w:eastAsia="zh-CN" w:bidi="ar-SA"/>
        </w:rPr>
        <w:t>（一）</w:t>
      </w:r>
      <w:r>
        <w:rPr>
          <w:rFonts w:hint="eastAsia" w:ascii="楷体_GB2312" w:hAnsi="楷体_GB2312" w:eastAsia="楷体_GB2312" w:cs="楷体_GB2312"/>
          <w:b/>
          <w:bCs w:val="0"/>
          <w:color w:val="auto"/>
          <w:spacing w:val="0"/>
          <w:kern w:val="2"/>
          <w:sz w:val="32"/>
          <w:szCs w:val="32"/>
          <w:highlight w:val="none"/>
          <w:shd w:val="clear" w:color="auto" w:fill="auto"/>
          <w:lang w:val="en-US" w:eastAsia="zh-CN" w:bidi="ar-SA"/>
        </w:rPr>
        <w:t>一般公共预算</w:t>
      </w:r>
    </w:p>
    <w:p w14:paraId="0BA4A176">
      <w:pPr>
        <w:keepNext w:val="0"/>
        <w:keepLines w:val="0"/>
        <w:pageBreakBefore w:val="0"/>
        <w:widowControl w:val="0"/>
        <w:numPr>
          <w:ilvl w:val="0"/>
          <w:numId w:val="0"/>
        </w:numPr>
        <w:kinsoku/>
        <w:wordWrap/>
        <w:overflowPunct/>
        <w:topLinePunct w:val="0"/>
        <w:autoSpaceDE/>
        <w:autoSpaceDN/>
        <w:bidi w:val="0"/>
        <w:spacing w:before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2024年全县一般公共预算收入完成12.88亿元，</w:t>
      </w:r>
      <w:r>
        <w:rPr>
          <w:rFonts w:hint="eastAsia" w:ascii="仿宋_GB2312" w:hAnsi="仿宋_GB2312" w:eastAsia="仿宋_GB2312" w:cs="仿宋_GB2312"/>
          <w:color w:val="000000" w:themeColor="text1"/>
          <w:spacing w:val="0"/>
          <w:sz w:val="32"/>
          <w:szCs w:val="32"/>
          <w:highlight w:val="none"/>
          <w:shd w:val="clear" w:color="auto" w:fill="auto"/>
          <w:lang w:val="en-US" w:eastAsia="zh-CN"/>
          <w14:textFill>
            <w14:solidFill>
              <w14:schemeClr w14:val="tx1"/>
            </w14:solidFill>
          </w14:textFill>
        </w:rPr>
        <w:t>为预算的76.1%，下降17.5%，加上上级补助、债务转贷等收入，总计63.73亿元；一般公共预算支出完成43.82亿元，为调整预算的80.9%，同比增长23.5%，加上上解上级、债务还本等支出，总计47.81亿元。收支相抵，结转下年支出15.92亿元。</w:t>
      </w:r>
    </w:p>
    <w:p w14:paraId="24C08DDD">
      <w:pPr>
        <w:pStyle w:val="10"/>
        <w:keepNext w:val="0"/>
        <w:keepLines w:val="0"/>
        <w:pageBreakBefore w:val="0"/>
        <w:widowControl w:val="0"/>
        <w:numPr>
          <w:ilvl w:val="0"/>
          <w:numId w:val="0"/>
        </w:numPr>
        <w:kinsoku/>
        <w:wordWrap/>
        <w:overflowPunct/>
        <w:topLinePunct w:val="0"/>
        <w:autoSpaceDE/>
        <w:bidi w:val="0"/>
        <w:spacing w:beforeAutospacing="0" w:line="560" w:lineRule="exact"/>
        <w:ind w:left="0" w:leftChars="0" w:right="0" w:rightChars="0" w:firstLine="643" w:firstLineChars="200"/>
        <w:jc w:val="both"/>
        <w:textAlignment w:val="auto"/>
        <w:rPr>
          <w:rFonts w:hint="eastAsia" w:ascii="楷体_GB2312" w:hAnsi="楷体_GB2312" w:eastAsia="楷体_GB2312" w:cs="楷体_GB2312"/>
          <w:b/>
          <w:bCs w:val="0"/>
          <w:color w:val="auto"/>
          <w:spacing w:val="0"/>
          <w:kern w:val="2"/>
          <w:sz w:val="32"/>
          <w:szCs w:val="32"/>
          <w:highlight w:val="none"/>
          <w:shd w:val="clear" w:color="auto" w:fill="auto"/>
          <w:lang w:val="en-US" w:eastAsia="zh-CN" w:bidi="ar-SA"/>
        </w:rPr>
      </w:pPr>
      <w:r>
        <w:rPr>
          <w:rFonts w:hint="eastAsia" w:ascii="楷体_GB2312" w:hAnsi="楷体_GB2312" w:eastAsia="楷体_GB2312" w:cs="楷体_GB2312"/>
          <w:b/>
          <w:bCs w:val="0"/>
          <w:color w:val="auto"/>
          <w:spacing w:val="0"/>
          <w:kern w:val="2"/>
          <w:sz w:val="32"/>
          <w:szCs w:val="32"/>
          <w:shd w:val="clear" w:fill="auto"/>
          <w:lang w:val="en-US" w:eastAsia="zh-CN" w:bidi="ar-SA"/>
        </w:rPr>
        <w:t>（二）</w:t>
      </w:r>
      <w:r>
        <w:rPr>
          <w:rFonts w:hint="eastAsia" w:ascii="楷体_GB2312" w:hAnsi="楷体_GB2312" w:eastAsia="楷体_GB2312" w:cs="楷体_GB2312"/>
          <w:b/>
          <w:bCs w:val="0"/>
          <w:color w:val="auto"/>
          <w:spacing w:val="0"/>
          <w:kern w:val="2"/>
          <w:sz w:val="32"/>
          <w:szCs w:val="32"/>
          <w:highlight w:val="none"/>
          <w:shd w:val="clear" w:color="auto" w:fill="auto"/>
          <w:lang w:val="en-US" w:eastAsia="zh-CN" w:bidi="ar-SA"/>
        </w:rPr>
        <w:t>政府性基金预算</w:t>
      </w:r>
    </w:p>
    <w:p w14:paraId="4B9ABCF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leftChars="0" w:right="0" w:firstLine="692" w:firstLineChars="200"/>
        <w:jc w:val="both"/>
        <w:textAlignment w:val="auto"/>
        <w:outlineLvl w:val="1"/>
        <w:rPr>
          <w:rFonts w:hint="eastAsia" w:ascii="仿宋_GB2312" w:hAnsi="仿宋_GB2312" w:eastAsia="仿宋_GB2312" w:cs="仿宋_GB2312"/>
          <w:color w:val="000000" w:themeColor="text1"/>
          <w:spacing w:val="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pacing w:val="13"/>
          <w:sz w:val="32"/>
          <w:szCs w:val="32"/>
          <w:highlight w:val="none"/>
          <w:lang w:val="en-US" w:eastAsia="zh-CN"/>
          <w14:textFill>
            <w14:solidFill>
              <w14:schemeClr w14:val="tx1"/>
            </w14:solidFill>
          </w14:textFill>
        </w:rPr>
        <w:t>2024年全县政府性基金预算收入完成3.16亿元，</w:t>
      </w:r>
      <w:r>
        <w:rPr>
          <w:rFonts w:hint="eastAsia" w:ascii="仿宋_GB2312" w:hAnsi="仿宋_GB2312" w:eastAsia="仿宋_GB2312" w:cs="仿宋_GB2312"/>
          <w:color w:val="000000" w:themeColor="text1"/>
          <w:spacing w:val="0"/>
          <w:sz w:val="32"/>
          <w:szCs w:val="32"/>
          <w:highlight w:val="none"/>
          <w:shd w:val="clear" w:color="auto" w:fill="auto"/>
          <w:lang w:val="en-US" w:eastAsia="zh-CN"/>
          <w14:textFill>
            <w14:solidFill>
              <w14:schemeClr w14:val="tx1"/>
            </w14:solidFill>
          </w14:textFill>
        </w:rPr>
        <w:t>为预算的51.2%，同比下降33.8%，加上上级补助、债务转贷等收入，总计20.13亿元；政府性基金预算支出完成12.6亿元，为调整预算的75.6%，同比增长3.5%，加上上解上级、债务还本等支出，总计16.06亿元。收支相抵，结转下年支出4.07亿元。</w:t>
      </w:r>
    </w:p>
    <w:p w14:paraId="6E3F733F">
      <w:pPr>
        <w:pStyle w:val="10"/>
        <w:keepNext w:val="0"/>
        <w:keepLines w:val="0"/>
        <w:pageBreakBefore w:val="0"/>
        <w:widowControl w:val="0"/>
        <w:numPr>
          <w:ilvl w:val="0"/>
          <w:numId w:val="0"/>
        </w:numPr>
        <w:kinsoku/>
        <w:wordWrap/>
        <w:overflowPunct/>
        <w:topLinePunct w:val="0"/>
        <w:autoSpaceDE/>
        <w:bidi w:val="0"/>
        <w:spacing w:beforeAutospacing="0" w:line="560" w:lineRule="exact"/>
        <w:ind w:left="0" w:leftChars="0" w:right="0" w:rightChars="0" w:firstLine="643" w:firstLineChars="200"/>
        <w:jc w:val="both"/>
        <w:textAlignment w:val="auto"/>
        <w:rPr>
          <w:rFonts w:hint="eastAsia" w:ascii="楷体_GB2312" w:hAnsi="楷体_GB2312" w:eastAsia="楷体_GB2312" w:cs="楷体_GB2312"/>
          <w:b/>
          <w:bCs w:val="0"/>
          <w:color w:val="auto"/>
          <w:spacing w:val="0"/>
          <w:kern w:val="2"/>
          <w:sz w:val="32"/>
          <w:szCs w:val="32"/>
          <w:highlight w:val="none"/>
          <w:shd w:val="clear" w:color="auto" w:fill="auto"/>
          <w:lang w:val="en-US" w:eastAsia="zh-CN" w:bidi="ar-SA"/>
        </w:rPr>
      </w:pPr>
      <w:r>
        <w:rPr>
          <w:rFonts w:hint="eastAsia" w:ascii="楷体_GB2312" w:hAnsi="楷体_GB2312" w:eastAsia="楷体_GB2312" w:cs="楷体_GB2312"/>
          <w:b/>
          <w:bCs w:val="0"/>
          <w:color w:val="auto"/>
          <w:spacing w:val="0"/>
          <w:kern w:val="2"/>
          <w:sz w:val="32"/>
          <w:szCs w:val="32"/>
          <w:shd w:val="clear" w:fill="auto"/>
          <w:lang w:val="en-US" w:eastAsia="zh-CN" w:bidi="ar-SA"/>
        </w:rPr>
        <w:t>（三）</w:t>
      </w:r>
      <w:r>
        <w:rPr>
          <w:rFonts w:hint="eastAsia" w:ascii="楷体_GB2312" w:hAnsi="楷体_GB2312" w:eastAsia="楷体_GB2312" w:cs="楷体_GB2312"/>
          <w:b/>
          <w:bCs w:val="0"/>
          <w:color w:val="auto"/>
          <w:spacing w:val="0"/>
          <w:kern w:val="2"/>
          <w:sz w:val="32"/>
          <w:szCs w:val="32"/>
          <w:highlight w:val="none"/>
          <w:shd w:val="clear" w:color="auto" w:fill="auto"/>
          <w:lang w:val="en-US" w:eastAsia="zh-CN" w:bidi="ar-SA"/>
        </w:rPr>
        <w:t>国有资本经营预算</w:t>
      </w:r>
    </w:p>
    <w:p w14:paraId="0F2B6E4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60" w:lineRule="exact"/>
        <w:ind w:left="0" w:right="0" w:firstLine="640" w:firstLineChars="200"/>
        <w:textAlignment w:val="auto"/>
        <w:outlineLvl w:val="1"/>
        <w:rPr>
          <w:rFonts w:hint="eastAsia" w:ascii="仿宋_GB2312" w:hAnsi="仿宋_GB2312" w:eastAsia="仿宋_GB2312" w:cs="仿宋_GB2312"/>
          <w:color w:val="000000" w:themeColor="text1"/>
          <w:spacing w:val="0"/>
          <w:sz w:val="32"/>
          <w:szCs w:val="32"/>
          <w:highlight w:val="yellow"/>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shd w:val="clear" w:color="auto" w:fill="auto"/>
          <w:lang w:val="en-US" w:eastAsia="zh-CN"/>
          <w14:textFill>
            <w14:solidFill>
              <w14:schemeClr w14:val="tx1"/>
            </w14:solidFill>
          </w14:textFill>
        </w:rPr>
        <w:t>2024年全县国有资本经营预算收入完成215万元，上级补助收入228万元，上年结余2948万元；本年支出3223万元，结转下年支出168万元。</w:t>
      </w:r>
    </w:p>
    <w:p w14:paraId="4F31903A">
      <w:pPr>
        <w:keepNext w:val="0"/>
        <w:keepLines w:val="0"/>
        <w:pageBreakBefore w:val="0"/>
        <w:widowControl w:val="0"/>
        <w:numPr>
          <w:ilvl w:val="0"/>
          <w:numId w:val="0"/>
        </w:numPr>
        <w:kinsoku/>
        <w:wordWrap/>
        <w:overflowPunct/>
        <w:topLinePunct w:val="0"/>
        <w:autoSpaceDE/>
        <w:autoSpaceDN/>
        <w:bidi w:val="0"/>
        <w:spacing w:beforeAutospacing="0" w:line="560" w:lineRule="exact"/>
        <w:ind w:left="0" w:leftChars="0" w:right="0" w:rightChars="0" w:firstLine="643" w:firstLineChars="200"/>
        <w:jc w:val="both"/>
        <w:textAlignment w:val="auto"/>
        <w:rPr>
          <w:rFonts w:hint="eastAsia" w:ascii="楷体_GB2312" w:hAnsi="楷体_GB2312" w:eastAsia="楷体_GB2312" w:cs="楷体_GB2312"/>
          <w:b/>
          <w:bCs w:val="0"/>
          <w:color w:val="auto"/>
          <w:spacing w:val="0"/>
          <w:kern w:val="2"/>
          <w:sz w:val="32"/>
          <w:szCs w:val="32"/>
          <w:highlight w:val="none"/>
          <w:shd w:val="clear" w:color="auto" w:fill="auto"/>
          <w:lang w:val="en-US" w:eastAsia="zh-CN" w:bidi="ar-SA"/>
        </w:rPr>
      </w:pPr>
      <w:r>
        <w:rPr>
          <w:rFonts w:hint="eastAsia" w:ascii="楷体_GB2312" w:hAnsi="楷体_GB2312" w:eastAsia="楷体_GB2312" w:cs="楷体_GB2312"/>
          <w:b/>
          <w:bCs w:val="0"/>
          <w:color w:val="auto"/>
          <w:spacing w:val="0"/>
          <w:kern w:val="2"/>
          <w:sz w:val="32"/>
          <w:szCs w:val="32"/>
          <w:shd w:val="clear" w:fill="auto"/>
          <w:lang w:val="en-US" w:eastAsia="zh-CN" w:bidi="ar-SA"/>
        </w:rPr>
        <w:t>（四）</w:t>
      </w:r>
      <w:r>
        <w:rPr>
          <w:rFonts w:hint="eastAsia" w:ascii="楷体_GB2312" w:hAnsi="楷体_GB2312" w:eastAsia="楷体_GB2312" w:cs="楷体_GB2312"/>
          <w:b/>
          <w:bCs w:val="0"/>
          <w:color w:val="auto"/>
          <w:spacing w:val="0"/>
          <w:kern w:val="2"/>
          <w:sz w:val="32"/>
          <w:szCs w:val="32"/>
          <w:highlight w:val="none"/>
          <w:shd w:val="clear" w:color="auto" w:fill="auto"/>
          <w:lang w:val="en-US" w:eastAsia="zh-CN" w:bidi="ar-SA"/>
        </w:rPr>
        <w:t>社会保险基金预算</w:t>
      </w:r>
    </w:p>
    <w:p w14:paraId="396CF548">
      <w:pPr>
        <w:keepNext w:val="0"/>
        <w:keepLines w:val="0"/>
        <w:pageBreakBefore w:val="0"/>
        <w:widowControl w:val="0"/>
        <w:numPr>
          <w:ilvl w:val="0"/>
          <w:numId w:val="0"/>
        </w:numPr>
        <w:kinsoku/>
        <w:wordWrap/>
        <w:overflowPunct/>
        <w:topLinePunct w:val="0"/>
        <w:autoSpaceDE/>
        <w:autoSpaceDN/>
        <w:bidi w:val="0"/>
        <w:spacing w:beforeAutospacing="0" w:line="560" w:lineRule="exact"/>
        <w:ind w:left="0" w:leftChars="0" w:right="0" w:firstLine="692" w:firstLineChars="200"/>
        <w:jc w:val="left"/>
        <w:textAlignment w:val="auto"/>
        <w:rPr>
          <w:rFonts w:hint="eastAsia" w:ascii="仿宋_GB2312" w:hAnsi="仿宋_GB2312" w:eastAsia="仿宋_GB2312" w:cs="仿宋_GB2312"/>
          <w:color w:val="auto"/>
          <w:spacing w:val="0"/>
          <w:sz w:val="32"/>
          <w:szCs w:val="32"/>
          <w:highlight w:val="none"/>
          <w:shd w:val="clear" w:color="auto" w:fill="auto"/>
          <w:lang w:val="en-US"/>
        </w:rPr>
      </w:pPr>
      <w:r>
        <w:rPr>
          <w:rFonts w:hint="eastAsia" w:ascii="仿宋_GB2312" w:hAnsi="仿宋_GB2312" w:eastAsia="仿宋_GB2312" w:cs="仿宋_GB2312"/>
          <w:color w:val="auto"/>
          <w:spacing w:val="13"/>
          <w:sz w:val="32"/>
          <w:szCs w:val="32"/>
          <w:highlight w:val="none"/>
          <w:lang w:val="en-US" w:eastAsia="zh-CN"/>
        </w:rPr>
        <w:t>2024年全县社会保险基金预算收入完成4.54亿元</w:t>
      </w:r>
      <w:r>
        <w:rPr>
          <w:rFonts w:hint="eastAsia" w:ascii="仿宋_GB2312" w:hAnsi="仿宋_GB2312" w:eastAsia="仿宋_GB2312" w:cs="仿宋_GB2312"/>
          <w:color w:val="auto"/>
          <w:spacing w:val="0"/>
          <w:sz w:val="32"/>
          <w:szCs w:val="32"/>
          <w:highlight w:val="none"/>
          <w:shd w:val="clear" w:color="auto" w:fill="auto"/>
          <w:lang w:val="en-US" w:eastAsia="zh-CN"/>
        </w:rPr>
        <w:t>，</w:t>
      </w:r>
      <w:r>
        <w:rPr>
          <w:rFonts w:hint="eastAsia" w:ascii="仿宋_GB2312" w:hAnsi="仿宋_GB2312" w:eastAsia="仿宋_GB2312" w:cs="仿宋_GB2312"/>
          <w:color w:val="auto"/>
          <w:spacing w:val="13"/>
          <w:sz w:val="32"/>
          <w:szCs w:val="32"/>
          <w:highlight w:val="none"/>
          <w:lang w:val="en-US" w:eastAsia="zh-CN"/>
        </w:rPr>
        <w:t>社会保险基金预算支出完成4.49亿元。</w:t>
      </w:r>
    </w:p>
    <w:p w14:paraId="7067D725">
      <w:pPr>
        <w:keepNext w:val="0"/>
        <w:keepLines w:val="0"/>
        <w:pageBreakBefore w:val="0"/>
        <w:widowControl w:val="0"/>
        <w:numPr>
          <w:ilvl w:val="0"/>
          <w:numId w:val="0"/>
        </w:numPr>
        <w:kinsoku/>
        <w:wordWrap/>
        <w:overflowPunct/>
        <w:topLinePunct w:val="0"/>
        <w:autoSpaceDE/>
        <w:autoSpaceDN/>
        <w:bidi w:val="0"/>
        <w:spacing w:beforeAutospacing="0" w:line="560" w:lineRule="exact"/>
        <w:ind w:left="0" w:leftChars="0" w:right="0" w:rightChars="0" w:firstLine="643" w:firstLineChars="200"/>
        <w:jc w:val="both"/>
        <w:textAlignment w:val="auto"/>
        <w:rPr>
          <w:rFonts w:hint="eastAsia" w:ascii="楷体_GB2312" w:hAnsi="楷体_GB2312" w:eastAsia="楷体_GB2312" w:cs="楷体_GB2312"/>
          <w:b/>
          <w:bCs w:val="0"/>
          <w:color w:val="auto"/>
          <w:spacing w:val="0"/>
          <w:kern w:val="2"/>
          <w:sz w:val="32"/>
          <w:szCs w:val="32"/>
          <w:highlight w:val="none"/>
          <w:shd w:val="clear" w:color="auto" w:fill="auto"/>
          <w:lang w:val="en-US" w:eastAsia="zh-CN" w:bidi="ar-SA"/>
        </w:rPr>
      </w:pPr>
      <w:r>
        <w:rPr>
          <w:rFonts w:hint="eastAsia" w:ascii="楷体_GB2312" w:hAnsi="楷体_GB2312" w:eastAsia="楷体_GB2312" w:cs="楷体_GB2312"/>
          <w:b/>
          <w:bCs w:val="0"/>
          <w:color w:val="auto"/>
          <w:spacing w:val="0"/>
          <w:kern w:val="2"/>
          <w:sz w:val="32"/>
          <w:szCs w:val="32"/>
          <w:shd w:val="clear" w:fill="auto"/>
          <w:lang w:val="en-US" w:eastAsia="zh-CN" w:bidi="ar-SA"/>
        </w:rPr>
        <w:t>（五）</w:t>
      </w:r>
      <w:r>
        <w:rPr>
          <w:rFonts w:hint="eastAsia" w:ascii="楷体_GB2312" w:hAnsi="楷体_GB2312" w:eastAsia="楷体_GB2312" w:cs="楷体_GB2312"/>
          <w:b/>
          <w:bCs w:val="0"/>
          <w:color w:val="auto"/>
          <w:spacing w:val="0"/>
          <w:kern w:val="2"/>
          <w:sz w:val="32"/>
          <w:szCs w:val="32"/>
          <w:highlight w:val="none"/>
          <w:shd w:val="clear" w:color="auto" w:fill="auto"/>
          <w:lang w:val="en-US" w:eastAsia="zh-CN" w:bidi="ar-SA"/>
        </w:rPr>
        <w:t>政府债务情况</w:t>
      </w:r>
    </w:p>
    <w:p w14:paraId="53D6EA09">
      <w:pPr>
        <w:keepNext w:val="0"/>
        <w:keepLines w:val="0"/>
        <w:pageBreakBefore w:val="0"/>
        <w:widowControl w:val="0"/>
        <w:kinsoku/>
        <w:wordWrap/>
        <w:overflowPunct/>
        <w:topLinePunct w:val="0"/>
        <w:autoSpaceDE/>
        <w:autoSpaceDN/>
        <w:bidi w:val="0"/>
        <w:adjustRightInd w:val="0"/>
        <w:snapToGrid w:val="0"/>
        <w:spacing w:beforeAutospacing="0" w:line="560" w:lineRule="exact"/>
        <w:ind w:right="0" w:firstLine="692" w:firstLineChars="200"/>
        <w:jc w:val="both"/>
        <w:textAlignment w:val="auto"/>
        <w:rPr>
          <w:rFonts w:hint="eastAsia" w:ascii="仿宋_GB2312" w:hAnsi="仿宋_GB2312" w:eastAsia="仿宋_GB2312" w:cs="仿宋_GB2312"/>
          <w:color w:val="auto"/>
          <w:spacing w:val="0"/>
          <w:sz w:val="32"/>
          <w:szCs w:val="32"/>
          <w:shd w:val="clear" w:color="auto" w:fill="auto"/>
          <w:lang w:val="en-US" w:eastAsia="zh-CN"/>
        </w:rPr>
      </w:pPr>
      <w:r>
        <w:rPr>
          <w:rFonts w:hint="eastAsia" w:ascii="仿宋_GB2312" w:hAnsi="仿宋_GB2312" w:eastAsia="仿宋_GB2312" w:cs="仿宋_GB2312"/>
          <w:color w:val="auto"/>
          <w:spacing w:val="13"/>
          <w:sz w:val="32"/>
          <w:szCs w:val="32"/>
          <w:highlight w:val="none"/>
          <w:lang w:val="en-US" w:eastAsia="zh-CN"/>
        </w:rPr>
        <w:t>省财政厅核定我县2024年底政府法定债务限额66.66亿元，其中：一般债务限额12.56亿元，专项债务限额54.1亿元。截至2024年底，全县政府债务余额66.28亿元，其中：一般债务余额12.36亿元，专项债务余额53.92亿元。目前，我县债务率为106.4%，低于120%黄色警戒线，为无风险的绿色等级，全县政府性债务风险总体可控。</w:t>
      </w:r>
    </w:p>
    <w:p w14:paraId="445D3862">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仿宋_GB2312" w:hAnsi="仿宋_GB2312" w:eastAsia="仿宋_GB2312" w:cs="仿宋_GB2312"/>
          <w:color w:val="auto"/>
          <w:spacing w:val="0"/>
          <w:sz w:val="32"/>
          <w:szCs w:val="32"/>
          <w:highlight w:val="none"/>
          <w:shd w:val="clear" w:color="auto" w:fill="auto"/>
          <w:lang w:val="en-US" w:eastAsia="zh-CN"/>
        </w:rPr>
        <w:t>2024年，全县共新增政府债券12.15亿元，其中：一般债券1.35亿元，项目建设类专项债券8.06亿元，解决地方政府拖欠企业账款专项债券1.14亿元，置换隐性债务专项债券1.6亿元。</w:t>
      </w:r>
    </w:p>
    <w:p w14:paraId="490D5908">
      <w:pPr>
        <w:keepNext w:val="0"/>
        <w:keepLines w:val="0"/>
        <w:pageBreakBefore w:val="0"/>
        <w:widowControl w:val="0"/>
        <w:numPr>
          <w:ilvl w:val="0"/>
          <w:numId w:val="0"/>
        </w:numPr>
        <w:kinsoku/>
        <w:wordWrap/>
        <w:overflowPunct/>
        <w:topLinePunct w:val="0"/>
        <w:autoSpaceDE/>
        <w:autoSpaceDN/>
        <w:bidi w:val="0"/>
        <w:spacing w:beforeAutospacing="0" w:line="560" w:lineRule="exact"/>
        <w:ind w:left="0" w:leftChars="0" w:right="0" w:rightChars="0" w:firstLine="643" w:firstLineChars="200"/>
        <w:jc w:val="both"/>
        <w:textAlignment w:val="auto"/>
        <w:rPr>
          <w:rFonts w:hint="eastAsia" w:ascii="楷体_GB2312" w:hAnsi="楷体_GB2312" w:eastAsia="楷体_GB2312" w:cs="楷体_GB2312"/>
          <w:b/>
          <w:bCs w:val="0"/>
          <w:color w:val="auto"/>
          <w:spacing w:val="0"/>
          <w:kern w:val="2"/>
          <w:sz w:val="32"/>
          <w:szCs w:val="32"/>
          <w:highlight w:val="none"/>
          <w:shd w:val="clear" w:color="auto" w:fill="auto"/>
          <w:lang w:val="en-US" w:eastAsia="zh-CN" w:bidi="ar-SA"/>
        </w:rPr>
      </w:pPr>
      <w:r>
        <w:rPr>
          <w:rFonts w:hint="eastAsia" w:ascii="楷体_GB2312" w:hAnsi="楷体_GB2312" w:eastAsia="楷体_GB2312" w:cs="楷体_GB2312"/>
          <w:b/>
          <w:bCs w:val="0"/>
          <w:color w:val="auto"/>
          <w:spacing w:val="0"/>
          <w:kern w:val="2"/>
          <w:sz w:val="32"/>
          <w:szCs w:val="32"/>
          <w:shd w:val="clear" w:fill="auto"/>
          <w:lang w:val="en-US" w:eastAsia="zh-CN" w:bidi="ar-SA"/>
        </w:rPr>
        <w:t>（六）</w:t>
      </w:r>
      <w:r>
        <w:rPr>
          <w:rFonts w:hint="eastAsia" w:ascii="楷体_GB2312" w:hAnsi="楷体_GB2312" w:eastAsia="楷体_GB2312" w:cs="楷体_GB2312"/>
          <w:b/>
          <w:bCs w:val="0"/>
          <w:color w:val="auto"/>
          <w:spacing w:val="0"/>
          <w:kern w:val="2"/>
          <w:sz w:val="32"/>
          <w:szCs w:val="32"/>
          <w:highlight w:val="none"/>
          <w:shd w:val="clear" w:color="auto" w:fill="auto"/>
          <w:lang w:val="en-US" w:eastAsia="zh-CN" w:bidi="ar-SA"/>
        </w:rPr>
        <w:t>其他资金安排情况</w:t>
      </w:r>
    </w:p>
    <w:p w14:paraId="3E3E4338">
      <w:pPr>
        <w:keepNext w:val="0"/>
        <w:keepLines w:val="0"/>
        <w:pageBreakBefore w:val="0"/>
        <w:widowControl w:val="0"/>
        <w:kinsoku/>
        <w:wordWrap/>
        <w:overflowPunct/>
        <w:topLinePunct w:val="0"/>
        <w:autoSpaceDE/>
        <w:bidi w:val="0"/>
        <w:snapToGrid/>
        <w:spacing w:beforeAutospacing="0" w:line="560" w:lineRule="exact"/>
        <w:ind w:right="0" w:firstLine="643" w:firstLineChars="200"/>
        <w:jc w:val="both"/>
        <w:textAlignment w:val="auto"/>
        <w:rPr>
          <w:rFonts w:hint="eastAsia" w:ascii="仿宋" w:hAnsi="仿宋" w:eastAsia="仿宋" w:cs="仿宋"/>
          <w:color w:val="000000" w:themeColor="text1"/>
          <w:spacing w:val="0"/>
          <w:kern w:val="2"/>
          <w:sz w:val="32"/>
          <w:szCs w:val="32"/>
          <w:shd w:val="clear" w:color="auto" w:fill="auto"/>
          <w:lang w:val="en-US" w:eastAsia="zh-CN" w:bidi="ar"/>
          <w14:textFill>
            <w14:solidFill>
              <w14:schemeClr w14:val="tx1"/>
            </w14:solidFill>
          </w14:textFill>
        </w:rPr>
      </w:pPr>
      <w:r>
        <w:rPr>
          <w:rFonts w:hint="eastAsia" w:ascii="仿宋_GB2312" w:hAnsi="仿宋_GB2312" w:eastAsia="仿宋_GB2312" w:cs="仿宋_GB2312"/>
          <w:b/>
          <w:bCs/>
          <w:color w:val="000000" w:themeColor="text1"/>
          <w:spacing w:val="0"/>
          <w:sz w:val="32"/>
          <w:szCs w:val="32"/>
          <w:highlight w:val="none"/>
          <w:shd w:val="clear" w:color="auto" w:fill="auto"/>
          <w:lang w:val="en-US" w:eastAsia="zh-CN"/>
          <w14:textFill>
            <w14:solidFill>
              <w14:schemeClr w14:val="tx1"/>
            </w14:solidFill>
          </w14:textFill>
        </w:rPr>
        <w:t>结转</w:t>
      </w:r>
      <w:r>
        <w:rPr>
          <w:rFonts w:hint="eastAsia" w:ascii="仿宋_GB2312" w:hAnsi="仿宋_GB2312" w:eastAsia="仿宋_GB2312" w:cs="仿宋_GB2312"/>
          <w:b/>
          <w:bCs/>
          <w:color w:val="000000" w:themeColor="text1"/>
          <w:spacing w:val="0"/>
          <w:sz w:val="32"/>
          <w:szCs w:val="32"/>
          <w:highlight w:val="none"/>
          <w:shd w:val="clear" w:color="auto" w:fill="auto"/>
          <w14:textFill>
            <w14:solidFill>
              <w14:schemeClr w14:val="tx1"/>
            </w14:solidFill>
          </w14:textFill>
        </w:rPr>
        <w:t>结</w:t>
      </w:r>
      <w:r>
        <w:rPr>
          <w:rFonts w:hint="eastAsia" w:ascii="仿宋_GB2312" w:hAnsi="仿宋_GB2312" w:eastAsia="仿宋_GB2312" w:cs="仿宋_GB2312"/>
          <w:b/>
          <w:bCs/>
          <w:color w:val="000000" w:themeColor="text1"/>
          <w:spacing w:val="0"/>
          <w:sz w:val="32"/>
          <w:szCs w:val="32"/>
          <w:highlight w:val="none"/>
          <w:shd w:val="clear" w:color="auto" w:fill="auto"/>
          <w:lang w:eastAsia="zh-CN"/>
          <w14:textFill>
            <w14:solidFill>
              <w14:schemeClr w14:val="tx1"/>
            </w14:solidFill>
          </w14:textFill>
        </w:rPr>
        <w:t>余</w:t>
      </w:r>
      <w:r>
        <w:rPr>
          <w:rFonts w:hint="eastAsia" w:ascii="仿宋_GB2312" w:hAnsi="仿宋_GB2312" w:eastAsia="仿宋_GB2312" w:cs="仿宋_GB2312"/>
          <w:b/>
          <w:bCs/>
          <w:color w:val="000000" w:themeColor="text1"/>
          <w:spacing w:val="0"/>
          <w:sz w:val="32"/>
          <w:szCs w:val="32"/>
          <w:highlight w:val="none"/>
          <w:shd w:val="clear" w:color="auto" w:fill="auto"/>
          <w14:textFill>
            <w14:solidFill>
              <w14:schemeClr w14:val="tx1"/>
            </w14:solidFill>
          </w14:textFill>
        </w:rPr>
        <w:t>资金使用情况</w:t>
      </w:r>
      <w:r>
        <w:rPr>
          <w:rFonts w:hint="eastAsia" w:ascii="仿宋_GB2312" w:hAnsi="仿宋_GB2312" w:eastAsia="仿宋_GB2312" w:cs="仿宋_GB2312"/>
          <w:b/>
          <w:bCs/>
          <w:color w:val="000000" w:themeColor="text1"/>
          <w:spacing w:val="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shd w:val="clear" w:color="auto" w:fill="auto"/>
          <w14:textFill>
            <w14:solidFill>
              <w14:schemeClr w14:val="tx1"/>
            </w14:solidFill>
          </w14:textFill>
        </w:rPr>
        <w:t>20</w:t>
      </w:r>
      <w:r>
        <w:rPr>
          <w:rFonts w:hint="eastAsia" w:ascii="仿宋_GB2312" w:hAnsi="仿宋_GB2312" w:eastAsia="仿宋_GB2312" w:cs="仿宋_GB2312"/>
          <w:color w:val="000000" w:themeColor="text1"/>
          <w:spacing w:val="0"/>
          <w:sz w:val="32"/>
          <w:szCs w:val="32"/>
          <w:highlight w:val="none"/>
          <w:shd w:val="clear" w:color="auto" w:fill="auto"/>
          <w:lang w:val="en-US" w:eastAsia="zh-CN"/>
          <w14:textFill>
            <w14:solidFill>
              <w14:schemeClr w14:val="tx1"/>
            </w14:solidFill>
          </w14:textFill>
        </w:rPr>
        <w:t>24</w:t>
      </w:r>
      <w:r>
        <w:rPr>
          <w:rFonts w:hint="eastAsia" w:ascii="仿宋_GB2312" w:hAnsi="仿宋_GB2312" w:eastAsia="仿宋_GB2312" w:cs="仿宋_GB2312"/>
          <w:color w:val="000000" w:themeColor="text1"/>
          <w:spacing w:val="0"/>
          <w:sz w:val="32"/>
          <w:szCs w:val="32"/>
          <w:highlight w:val="none"/>
          <w:shd w:val="clear" w:color="auto" w:fill="auto"/>
          <w14:textFill>
            <w14:solidFill>
              <w14:schemeClr w14:val="tx1"/>
            </w14:solidFill>
          </w14:textFill>
        </w:rPr>
        <w:t>年我县</w:t>
      </w:r>
      <w:r>
        <w:rPr>
          <w:rFonts w:hint="eastAsia" w:ascii="仿宋_GB2312" w:hAnsi="仿宋_GB2312" w:eastAsia="仿宋_GB2312" w:cs="仿宋_GB2312"/>
          <w:color w:val="000000" w:themeColor="text1"/>
          <w:spacing w:val="0"/>
          <w:sz w:val="32"/>
          <w:szCs w:val="32"/>
          <w:highlight w:val="none"/>
          <w:shd w:val="clear" w:color="auto" w:fill="auto"/>
          <w:lang w:val="en-US" w:eastAsia="zh-CN"/>
          <w14:textFill>
            <w14:solidFill>
              <w14:schemeClr w14:val="tx1"/>
            </w14:solidFill>
          </w14:textFill>
        </w:rPr>
        <w:t>结转</w:t>
      </w:r>
      <w:r>
        <w:rPr>
          <w:rFonts w:hint="eastAsia" w:ascii="仿宋_GB2312" w:hAnsi="仿宋_GB2312" w:eastAsia="仿宋_GB2312" w:cs="仿宋_GB2312"/>
          <w:color w:val="000000" w:themeColor="text1"/>
          <w:spacing w:val="0"/>
          <w:sz w:val="32"/>
          <w:szCs w:val="32"/>
          <w:highlight w:val="none"/>
          <w:shd w:val="clear" w:color="auto" w:fill="auto"/>
          <w14:textFill>
            <w14:solidFill>
              <w14:schemeClr w14:val="tx1"/>
            </w14:solidFill>
          </w14:textFill>
        </w:rPr>
        <w:t>结</w:t>
      </w:r>
      <w:r>
        <w:rPr>
          <w:rFonts w:hint="eastAsia" w:ascii="仿宋_GB2312" w:hAnsi="仿宋_GB2312" w:eastAsia="仿宋_GB2312" w:cs="仿宋_GB2312"/>
          <w:color w:val="000000" w:themeColor="text1"/>
          <w:spacing w:val="0"/>
          <w:sz w:val="32"/>
          <w:szCs w:val="32"/>
          <w:highlight w:val="none"/>
          <w:shd w:val="clear" w:color="auto" w:fill="auto"/>
          <w:lang w:eastAsia="zh-CN"/>
          <w14:textFill>
            <w14:solidFill>
              <w14:schemeClr w14:val="tx1"/>
            </w14:solidFill>
          </w14:textFill>
        </w:rPr>
        <w:t>余</w:t>
      </w:r>
      <w:r>
        <w:rPr>
          <w:rFonts w:hint="eastAsia" w:ascii="仿宋_GB2312" w:hAnsi="仿宋_GB2312" w:eastAsia="仿宋_GB2312" w:cs="仿宋_GB2312"/>
          <w:color w:val="000000" w:themeColor="text1"/>
          <w:spacing w:val="0"/>
          <w:sz w:val="32"/>
          <w:szCs w:val="32"/>
          <w:highlight w:val="none"/>
          <w:shd w:val="clear" w:color="auto" w:fill="auto"/>
          <w14:textFill>
            <w14:solidFill>
              <w14:schemeClr w14:val="tx1"/>
            </w14:solidFill>
          </w14:textFill>
        </w:rPr>
        <w:t>资金</w:t>
      </w:r>
      <w:r>
        <w:rPr>
          <w:rFonts w:hint="eastAsia" w:ascii="仿宋_GB2312" w:hAnsi="仿宋_GB2312" w:eastAsia="仿宋_GB2312" w:cs="仿宋_GB2312"/>
          <w:color w:val="000000" w:themeColor="text1"/>
          <w:spacing w:val="0"/>
          <w:sz w:val="32"/>
          <w:szCs w:val="32"/>
          <w:highlight w:val="none"/>
          <w:shd w:val="clear" w:color="auto" w:fill="auto"/>
          <w:lang w:val="en-US" w:eastAsia="zh-CN"/>
          <w14:textFill>
            <w14:solidFill>
              <w14:schemeClr w14:val="tx1"/>
            </w14:solidFill>
          </w14:textFill>
        </w:rPr>
        <w:t>20.01亿元，按原用途继续使用</w:t>
      </w:r>
      <w:r>
        <w:rPr>
          <w:rFonts w:hint="eastAsia" w:ascii="仿宋_GB2312" w:hAnsi="仿宋_GB2312" w:eastAsia="仿宋_GB2312" w:cs="仿宋_GB2312"/>
          <w:color w:val="000000" w:themeColor="text1"/>
          <w:spacing w:val="0"/>
          <w:sz w:val="32"/>
          <w:szCs w:val="32"/>
          <w:highlight w:val="none"/>
          <w:shd w:val="clear" w:color="auto" w:fill="auto"/>
          <w:lang w:eastAsia="zh-CN"/>
          <w14:textFill>
            <w14:solidFill>
              <w14:schemeClr w14:val="tx1"/>
            </w14:solidFill>
          </w14:textFill>
        </w:rPr>
        <w:t>。</w:t>
      </w:r>
    </w:p>
    <w:p w14:paraId="26A5D030">
      <w:pPr>
        <w:keepNext w:val="0"/>
        <w:keepLines w:val="0"/>
        <w:pageBreakBefore w:val="0"/>
        <w:widowControl w:val="0"/>
        <w:kinsoku/>
        <w:wordWrap/>
        <w:overflowPunct/>
        <w:topLinePunct w:val="0"/>
        <w:autoSpaceDE/>
        <w:bidi w:val="0"/>
        <w:snapToGrid/>
        <w:spacing w:beforeAutospacing="0" w:line="560" w:lineRule="exact"/>
        <w:ind w:right="0" w:firstLine="640" w:firstLineChars="200"/>
        <w:jc w:val="both"/>
        <w:textAlignment w:val="auto"/>
        <w:rPr>
          <w:rFonts w:hint="eastAsia" w:ascii="仿宋_GB2312" w:hAnsi="仿宋_GB2312" w:eastAsia="仿宋_GB2312" w:cs="仿宋_GB2312"/>
          <w:color w:val="auto"/>
          <w:spacing w:val="0"/>
          <w:kern w:val="2"/>
          <w:sz w:val="32"/>
          <w:szCs w:val="32"/>
          <w:shd w:val="clear" w:color="auto" w:fill="auto"/>
          <w:lang w:val="en-US" w:eastAsia="zh-CN" w:bidi="ar"/>
        </w:rPr>
      </w:pPr>
      <w:r>
        <w:rPr>
          <w:rFonts w:hint="eastAsia" w:ascii="黑体" w:hAnsi="黑体" w:eastAsia="黑体" w:cs="黑体"/>
          <w:b w:val="0"/>
          <w:bCs w:val="0"/>
          <w:color w:val="auto"/>
          <w:spacing w:val="0"/>
          <w:sz w:val="32"/>
          <w:szCs w:val="32"/>
          <w:highlight w:val="none"/>
          <w:shd w:val="clear" w:color="auto" w:fill="auto"/>
          <w:lang w:val="en-US" w:eastAsia="zh-CN"/>
        </w:rPr>
        <w:t>二、2024年</w:t>
      </w:r>
      <w:r>
        <w:rPr>
          <w:rFonts w:hint="eastAsia" w:ascii="黑体" w:hAnsi="黑体" w:eastAsia="黑体" w:cs="黑体"/>
          <w:b w:val="0"/>
          <w:bCs w:val="0"/>
          <w:color w:val="auto"/>
          <w:spacing w:val="0"/>
          <w:sz w:val="32"/>
          <w:szCs w:val="32"/>
          <w:highlight w:val="none"/>
          <w:shd w:val="clear" w:color="auto" w:fill="auto"/>
        </w:rPr>
        <w:t>落实</w:t>
      </w:r>
      <w:r>
        <w:rPr>
          <w:rFonts w:hint="eastAsia" w:ascii="黑体" w:hAnsi="黑体" w:eastAsia="黑体" w:cs="黑体"/>
          <w:b w:val="0"/>
          <w:bCs w:val="0"/>
          <w:color w:val="auto"/>
          <w:spacing w:val="0"/>
          <w:sz w:val="32"/>
          <w:szCs w:val="32"/>
          <w:highlight w:val="none"/>
          <w:shd w:val="clear" w:color="auto" w:fill="auto"/>
          <w:lang w:val="en-US" w:eastAsia="zh-CN"/>
        </w:rPr>
        <w:t>县</w:t>
      </w:r>
      <w:r>
        <w:rPr>
          <w:rFonts w:hint="eastAsia" w:ascii="黑体" w:hAnsi="黑体" w:eastAsia="黑体" w:cs="黑体"/>
          <w:b w:val="0"/>
          <w:bCs w:val="0"/>
          <w:color w:val="auto"/>
          <w:spacing w:val="0"/>
          <w:sz w:val="32"/>
          <w:szCs w:val="32"/>
          <w:highlight w:val="none"/>
          <w:shd w:val="clear" w:color="auto" w:fill="auto"/>
        </w:rPr>
        <w:t>人大决议和财政工作情况</w:t>
      </w:r>
    </w:p>
    <w:p w14:paraId="549928EE">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80" w:lineRule="exact"/>
        <w:ind w:left="0" w:right="0" w:firstLine="640" w:firstLineChars="200"/>
        <w:jc w:val="both"/>
        <w:textAlignment w:val="auto"/>
        <w:rPr>
          <w:rFonts w:hint="eastAsia"/>
          <w:lang w:val="en-US" w:eastAsia="zh-CN"/>
        </w:rPr>
      </w:pPr>
      <w:r>
        <w:rPr>
          <w:rFonts w:hint="eastAsia" w:ascii="仿宋_GB2312" w:hAnsi="仿宋_GB2312" w:eastAsia="仿宋_GB2312" w:cs="仿宋_GB2312"/>
          <w:b w:val="0"/>
          <w:bCs w:val="0"/>
          <w:color w:val="auto"/>
          <w:sz w:val="32"/>
          <w:szCs w:val="32"/>
          <w:highlight w:val="none"/>
          <w:lang w:val="en-US" w:eastAsia="zh-CN"/>
        </w:rPr>
        <w:t>2024年，</w:t>
      </w:r>
      <w:r>
        <w:rPr>
          <w:rFonts w:hint="eastAsia" w:ascii="仿宋_GB2312" w:hAnsi="仿宋_GB2312" w:eastAsia="仿宋_GB2312" w:cs="仿宋_GB2312"/>
          <w:b w:val="0"/>
          <w:bCs w:val="0"/>
          <w:snapToGrid w:val="0"/>
          <w:color w:val="auto"/>
          <w:kern w:val="0"/>
          <w:sz w:val="32"/>
          <w:szCs w:val="32"/>
          <w:highlight w:val="none"/>
          <w:lang w:val="en-US" w:eastAsia="zh-CN"/>
        </w:rPr>
        <w:t>面对土地出让收入“断崖式”下跌、刚性支出有增无减的严峻形势。</w:t>
      </w:r>
      <w:r>
        <w:rPr>
          <w:rFonts w:hint="eastAsia" w:ascii="仿宋_GB2312" w:hAnsi="仿宋_GB2312" w:eastAsia="仿宋_GB2312" w:cs="仿宋_GB2312"/>
          <w:b w:val="0"/>
          <w:bCs w:val="0"/>
          <w:color w:val="auto"/>
          <w:sz w:val="32"/>
          <w:szCs w:val="32"/>
          <w:highlight w:val="none"/>
          <w:lang w:val="en-US" w:eastAsia="zh-CN"/>
        </w:rPr>
        <w:t>财政部门认真落实县人代会决议，坚持“紧日子保基本、调结构保战略”</w:t>
      </w:r>
      <w:r>
        <w:rPr>
          <w:rFonts w:hint="eastAsia" w:ascii="仿宋_GB2312" w:hAnsi="仿宋_GB2312" w:eastAsia="仿宋_GB2312" w:cs="仿宋_GB2312"/>
          <w:b w:val="0"/>
          <w:bCs w:val="0"/>
          <w:snapToGrid w:val="0"/>
          <w:color w:val="auto"/>
          <w:kern w:val="0"/>
          <w:sz w:val="32"/>
          <w:szCs w:val="32"/>
          <w:highlight w:val="none"/>
          <w:lang w:val="zh-CN" w:eastAsia="zh-CN"/>
        </w:rPr>
        <w:t>，</w:t>
      </w:r>
      <w:r>
        <w:rPr>
          <w:rFonts w:hint="eastAsia" w:ascii="仿宋_GB2312" w:hAnsi="仿宋_GB2312" w:eastAsia="仿宋_GB2312" w:cs="仿宋_GB2312"/>
          <w:b w:val="0"/>
          <w:bCs w:val="0"/>
          <w:snapToGrid w:val="0"/>
          <w:color w:val="auto"/>
          <w:kern w:val="0"/>
          <w:sz w:val="32"/>
          <w:szCs w:val="32"/>
          <w:highlight w:val="none"/>
          <w:lang w:val="en-US" w:eastAsia="zh-CN"/>
        </w:rPr>
        <w:t>统筹财政资源、优化支出结构、严格预算执行、加强风险防控，全县“三保”保障有力、民生不断改善，有效支撑了全县经济稳中向好。</w:t>
      </w:r>
      <w:r>
        <w:rPr>
          <w:rFonts w:hint="eastAsia" w:ascii="仿宋_GB2312" w:hAnsi="仿宋_GB2312" w:eastAsia="仿宋_GB2312" w:cs="仿宋_GB2312"/>
          <w:b/>
          <w:bCs/>
          <w:color w:val="auto"/>
          <w:spacing w:val="5"/>
          <w:sz w:val="32"/>
          <w:szCs w:val="32"/>
          <w:highlight w:val="none"/>
          <w:lang w:val="en-US" w:eastAsia="zh-CN"/>
        </w:rPr>
        <w:t>一是持续做好挖潜增收，培育壮大综合财力。</w:t>
      </w:r>
      <w:r>
        <w:rPr>
          <w:rFonts w:hint="eastAsia" w:ascii="仿宋_GB2312" w:hAnsi="仿宋_GB2312" w:eastAsia="仿宋_GB2312" w:cs="仿宋_GB2312"/>
          <w:b w:val="0"/>
          <w:bCs w:val="0"/>
          <w:snapToGrid w:val="0"/>
          <w:color w:val="auto"/>
          <w:kern w:val="0"/>
          <w:sz w:val="32"/>
          <w:szCs w:val="32"/>
          <w:highlight w:val="none"/>
          <w:lang w:val="en-US" w:eastAsia="zh-CN"/>
        </w:rPr>
        <w:t>紧盯碱硝化工等支柱税源，全面掌握企业运营情况，保证税收及时入库，2024年碱硝化工企业共完成地方级税收3.28亿元。强化综合治税，加强财税和行业主管部门工作联动，全面监控临时税源，深入挖掘税源潜力，2024年通过综合治税实现地方级税收9970万元。结合我县大别山革命老区和淮河源生态功能区的资源优势，抢抓中央预算内投资和特别国债等资金机遇，全年向上争取各类政策性资金39.2亿元，超长期特别国债资金8906万元，有效提高了财政保障能力。</w:t>
      </w:r>
      <w:r>
        <w:rPr>
          <w:rFonts w:hint="eastAsia" w:ascii="仿宋_GB2312" w:hAnsi="仿宋_GB2312" w:eastAsia="仿宋_GB2312" w:cs="仿宋_GB2312"/>
          <w:b/>
          <w:bCs/>
          <w:color w:val="auto"/>
          <w:spacing w:val="5"/>
          <w:sz w:val="32"/>
          <w:szCs w:val="32"/>
          <w:highlight w:val="none"/>
          <w:lang w:val="en-US" w:eastAsia="zh-CN"/>
        </w:rPr>
        <w:t>二是全力支持扩大投资，推动经济回升向好。</w:t>
      </w:r>
      <w:r>
        <w:rPr>
          <w:rFonts w:hint="eastAsia" w:ascii="仿宋_GB2312" w:hAnsi="仿宋_GB2312" w:eastAsia="仿宋_GB2312" w:cs="仿宋_GB2312"/>
          <w:b w:val="0"/>
          <w:bCs w:val="0"/>
          <w:snapToGrid w:val="0"/>
          <w:color w:val="auto"/>
          <w:kern w:val="0"/>
          <w:sz w:val="32"/>
          <w:szCs w:val="32"/>
          <w:highlight w:val="none"/>
          <w:lang w:val="en-US" w:eastAsia="zh-CN"/>
        </w:rPr>
        <w:t>全面落实国家助企惠企政策，全力落实政策性减税降费，2024年全县支持科技创新和制造业发展的主要政策减税降费及退税共计1.86亿元。积极进行助企纾困，为3家中小微企业提供2554万元过桥资金支持，帮助中小微企业解决融资难问题。争取“两新”政策资金4720万元，用于支持大规模设备更新和消费品以旧换新，进一步释放市场消费潜力。完成科技支出1537万元，助力科技创新，赋能新质产业转型升级。</w:t>
      </w:r>
      <w:r>
        <w:rPr>
          <w:rFonts w:hint="eastAsia" w:ascii="仿宋_GB2312" w:hAnsi="仿宋_GB2312" w:eastAsia="仿宋_GB2312" w:cs="仿宋_GB2312"/>
          <w:color w:val="auto"/>
          <w:sz w:val="32"/>
          <w:szCs w:val="32"/>
          <w:highlight w:val="none"/>
          <w:lang w:val="en-US" w:eastAsia="zh-CN"/>
        </w:rPr>
        <w:t>积极争取增发国债、超长期特别国债、新增专项债券等项目资金17.96亿元，促进了项目有效投资</w:t>
      </w:r>
      <w:r>
        <w:rPr>
          <w:rFonts w:hint="eastAsia" w:ascii="仿宋_GB2312" w:hAnsi="仿宋_GB2312" w:eastAsia="仿宋_GB2312" w:cs="仿宋_GB2312"/>
          <w:color w:val="auto"/>
          <w:sz w:val="32"/>
          <w:szCs w:val="32"/>
          <w:lang w:val="en-US" w:eastAsia="zh-CN"/>
        </w:rPr>
        <w:t>落地，</w:t>
      </w:r>
      <w:r>
        <w:rPr>
          <w:rFonts w:hint="eastAsia" w:ascii="仿宋_GB2312" w:hAnsi="仿宋_GB2312" w:eastAsia="仿宋_GB2312" w:cs="仿宋_GB2312"/>
          <w:b w:val="0"/>
          <w:bCs w:val="0"/>
          <w:snapToGrid w:val="0"/>
          <w:color w:val="auto"/>
          <w:kern w:val="0"/>
          <w:sz w:val="32"/>
          <w:szCs w:val="32"/>
          <w:highlight w:val="none"/>
          <w:lang w:val="en-US" w:eastAsia="zh-CN"/>
        </w:rPr>
        <w:t>支</w:t>
      </w:r>
      <w:r>
        <w:rPr>
          <w:rFonts w:hint="eastAsia" w:ascii="仿宋_GB2312" w:hAnsi="仿宋_GB2312" w:eastAsia="仿宋_GB2312" w:cs="仿宋_GB2312"/>
          <w:color w:val="auto"/>
          <w:sz w:val="32"/>
          <w:szCs w:val="32"/>
          <w:lang w:val="en-US" w:eastAsia="zh-CN"/>
        </w:rPr>
        <w:t>持“三个一批”“两重”等重大项目建设，有效带动社会投资，加快改善基础设施。</w:t>
      </w:r>
      <w:r>
        <w:rPr>
          <w:rFonts w:hint="eastAsia" w:ascii="仿宋_GB2312" w:hAnsi="仿宋_GB2312" w:eastAsia="仿宋_GB2312" w:cs="仿宋_GB2312"/>
          <w:b/>
          <w:bCs/>
          <w:color w:val="auto"/>
          <w:spacing w:val="5"/>
          <w:sz w:val="32"/>
          <w:szCs w:val="32"/>
          <w:highlight w:val="none"/>
          <w:lang w:val="en-US" w:eastAsia="zh-CN"/>
        </w:rPr>
        <w:t>三是切实保障改善民生，持续增进民生福祉。</w:t>
      </w:r>
      <w:r>
        <w:rPr>
          <w:rFonts w:hint="eastAsia" w:ascii="仿宋_GB2312" w:hAnsi="仿宋_GB2312" w:eastAsia="仿宋_GB2312" w:cs="仿宋_GB2312"/>
          <w:b w:val="0"/>
          <w:bCs w:val="0"/>
          <w:snapToGrid w:val="0"/>
          <w:color w:val="auto"/>
          <w:kern w:val="0"/>
          <w:sz w:val="32"/>
          <w:szCs w:val="32"/>
          <w:highlight w:val="none"/>
          <w:lang w:val="en-US" w:eastAsia="zh-CN"/>
        </w:rPr>
        <w:t>2024年全县完成民生支出33.5亿元，占一般公共预算支出的76.5%。筹措1.33亿元用于困难群众生活救助补助，确保特殊困难群众基本生活得到有效保障。筹措1.57亿元保证了城乡居民基本养老金和优抚对象补助及时足额发放。筹措基本公共卫生服务专项补助资金5804万元，支持完善公共卫生体系建设。筹措1895万元，全面落实对困难群众实施医疗救助。筹措4657.57万元用于公立中医院、妇幼保健院等项目建设，改善了县域医疗保障服务条件</w:t>
      </w:r>
      <w:bookmarkStart w:id="0" w:name="OLE_LINK1"/>
      <w:r>
        <w:rPr>
          <w:rFonts w:hint="eastAsia" w:ascii="仿宋_GB2312" w:hAnsi="仿宋_GB2312" w:eastAsia="仿宋_GB2312" w:cs="仿宋_GB2312"/>
          <w:b w:val="0"/>
          <w:bCs w:val="0"/>
          <w:snapToGrid w:val="0"/>
          <w:color w:val="auto"/>
          <w:kern w:val="0"/>
          <w:sz w:val="32"/>
          <w:szCs w:val="32"/>
          <w:highlight w:val="none"/>
          <w:lang w:val="en-US" w:eastAsia="zh-CN"/>
        </w:rPr>
        <w:t>；筹措1.34亿元巩固完善义务教育经费保障机制，推动义务教育均衡发展。筹措1532万元促进义务教育薄弱环节改善和能力提升。筹措2266万元强化学前教育普惠发展。筹措1237万元支持普通高中办学条件改善。筹措1410万元推进了职业教育内涵发展。筹措1200万元资助全县困难学生，保障了困难学生及时就学</w:t>
      </w:r>
      <w:bookmarkEnd w:id="0"/>
      <w:r>
        <w:rPr>
          <w:rFonts w:hint="eastAsia" w:ascii="仿宋_GB2312" w:hAnsi="仿宋_GB2312" w:eastAsia="仿宋_GB2312" w:cs="仿宋_GB2312"/>
          <w:b w:val="0"/>
          <w:bCs w:val="0"/>
          <w:snapToGrid w:val="0"/>
          <w:color w:val="auto"/>
          <w:kern w:val="0"/>
          <w:sz w:val="32"/>
          <w:szCs w:val="32"/>
          <w:highlight w:val="none"/>
          <w:lang w:val="en-US" w:eastAsia="zh-CN"/>
        </w:rPr>
        <w:t>；安排2.76亿元，用于生态环境保护、环境监测、城乡社区环境治理、防护林建设等。筹措2.72亿元，用于重点流域水污染防治，支持生态修复、农村环境整治、大气污染防治及县域卫生垃圾清运处理等项目建设，有效保障了生态安全。</w:t>
      </w:r>
      <w:r>
        <w:rPr>
          <w:rFonts w:hint="eastAsia" w:ascii="仿宋_GB2312" w:hAnsi="仿宋_GB2312" w:eastAsia="仿宋_GB2312" w:cs="仿宋_GB2312"/>
          <w:b/>
          <w:bCs/>
          <w:color w:val="auto"/>
          <w:spacing w:val="5"/>
          <w:sz w:val="32"/>
          <w:szCs w:val="32"/>
          <w:highlight w:val="none"/>
          <w:lang w:val="en-US" w:eastAsia="zh-CN"/>
        </w:rPr>
        <w:t>四是全面推进乡村振兴，统筹城乡融合发展。</w:t>
      </w:r>
      <w:r>
        <w:rPr>
          <w:rFonts w:hint="eastAsia" w:ascii="仿宋_GB2312" w:hAnsi="仿宋_GB2312" w:eastAsia="仿宋_GB2312" w:cs="仿宋_GB2312"/>
          <w:b w:val="0"/>
          <w:bCs w:val="0"/>
          <w:snapToGrid w:val="0"/>
          <w:color w:val="auto"/>
          <w:kern w:val="0"/>
          <w:sz w:val="32"/>
          <w:szCs w:val="32"/>
          <w:highlight w:val="none"/>
          <w:lang w:val="en-US" w:eastAsia="zh-CN"/>
        </w:rPr>
        <w:t>持续加大对乡村振兴、生态提质、城市更新等方面资金投入力度，推进城乡融合发展。2024年投入衔接资金1.87亿元，保障了巩固拓展脱贫攻坚成果和乡村振兴的有效衔接。发放耕地地力保护、农机购置补贴8051.82万元，提高了农业生产能力和农民种粮积极性。争取稻谷补贴、粮食生产一次性奖励资金和产粮（油）大县奖励资金4244万元，有效推进了粮食产业高质量发展。争取资金1923万元支持了美丽乡村以及农村公益事业建设。筹措1204万元支持污水管网建设、农村户厕改造和农村人居环境整治等，逐步实现农村宜居宜业。</w:t>
      </w:r>
      <w:r>
        <w:rPr>
          <w:rFonts w:hint="eastAsia" w:ascii="仿宋_GB2312" w:hAnsi="仿宋_GB2312" w:eastAsia="仿宋_GB2312" w:cs="仿宋_GB2312"/>
          <w:b/>
          <w:bCs/>
          <w:color w:val="auto"/>
          <w:spacing w:val="5"/>
          <w:sz w:val="32"/>
          <w:szCs w:val="32"/>
          <w:highlight w:val="none"/>
          <w:lang w:val="en-US" w:eastAsia="zh-CN"/>
        </w:rPr>
        <w:t>五是深化财政管理改革，释放科学管理效能。</w:t>
      </w:r>
      <w:r>
        <w:rPr>
          <w:rFonts w:hint="eastAsia" w:ascii="仿宋_GB2312" w:hAnsi="仿宋_GB2312" w:eastAsia="仿宋_GB2312" w:cs="仿宋_GB2312"/>
          <w:color w:val="000000" w:themeColor="text1"/>
          <w:sz w:val="32"/>
          <w:szCs w:val="32"/>
          <w14:textFill>
            <w14:solidFill>
              <w14:schemeClr w14:val="tx1"/>
            </w14:solidFill>
          </w14:textFill>
        </w:rPr>
        <w:t>推进预算管理一体化系统应用提升，持续完善非税收入管理机制，强化国库集中支付管理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kern w:val="2"/>
          <w:sz w:val="32"/>
          <w:szCs w:val="32"/>
          <w:highlight w:val="none"/>
          <w:lang w:val="en-US" w:eastAsia="zh-CN" w:bidi="ar"/>
        </w:rPr>
        <w:t>严格预算执行，全面落实月度“三保”支出调度管理，及时防范化解“三保”风险，2024年共完成“三保”支出32.7亿元。</w:t>
      </w:r>
      <w:r>
        <w:rPr>
          <w:rFonts w:hint="eastAsia" w:ascii="仿宋_GB2312" w:hAnsi="仿宋_GB2312" w:eastAsia="仿宋_GB2312" w:cs="仿宋_GB2312"/>
          <w:b w:val="0"/>
          <w:bCs w:val="0"/>
          <w:snapToGrid w:val="0"/>
          <w:color w:val="auto"/>
          <w:kern w:val="0"/>
          <w:sz w:val="32"/>
          <w:szCs w:val="32"/>
          <w:highlight w:val="none"/>
          <w:lang w:val="en-US" w:eastAsia="zh-CN"/>
        </w:rPr>
        <w:t>围绕会计行业评估和高标准农田建设资金使用等开展财会监督专项行动，着力整饬财经秩序。全面发挥“一卡通”支付和监管作用，2024年运用“一卡通</w:t>
      </w:r>
      <w:r>
        <w:rPr>
          <w:rFonts w:hint="eastAsia" w:ascii="仿宋_GB2312" w:hAnsi="仿宋_GB2312" w:eastAsia="仿宋_GB2312" w:cs="仿宋_GB2312"/>
          <w:color w:val="auto"/>
          <w:sz w:val="32"/>
          <w:szCs w:val="32"/>
          <w:highlight w:val="none"/>
          <w:lang w:val="en-US" w:eastAsia="zh-CN"/>
        </w:rPr>
        <w:t>”系统成功发放61项补贴资金3.36亿元，惠及群众11万余人次。</w:t>
      </w:r>
      <w:r>
        <w:rPr>
          <w:rFonts w:hint="eastAsia" w:ascii="仿宋_GB2312" w:hAnsi="仿宋_GB2312" w:eastAsia="仿宋_GB2312" w:cs="仿宋_GB2312"/>
          <w:color w:val="auto"/>
          <w:kern w:val="2"/>
          <w:sz w:val="32"/>
          <w:szCs w:val="32"/>
          <w:highlight w:val="none"/>
          <w:lang w:val="en-US" w:eastAsia="zh-CN" w:bidi="ar"/>
        </w:rPr>
        <w:t>加强财政投资评审，2024年累计完成各类评审项目135个，送审金额12.22亿元，审减率13.35%。</w:t>
      </w:r>
      <w:r>
        <w:rPr>
          <w:rFonts w:hint="eastAsia" w:ascii="仿宋_GB2312" w:hAnsi="仿宋_GB2312" w:eastAsia="仿宋_GB2312" w:cs="仿宋_GB2312"/>
          <w:b/>
          <w:bCs/>
          <w:snapToGrid w:val="0"/>
          <w:color w:val="auto"/>
          <w:spacing w:val="5"/>
          <w:kern w:val="0"/>
          <w:sz w:val="32"/>
          <w:szCs w:val="32"/>
          <w:highlight w:val="none"/>
          <w:lang w:val="en-US" w:eastAsia="zh-CN"/>
        </w:rPr>
        <w:t>六是完善国资监管体系，提升国资监管水平。</w:t>
      </w:r>
      <w:r>
        <w:rPr>
          <w:rFonts w:hint="eastAsia" w:ascii="仿宋_GB2312" w:hAnsi="仿宋_GB2312" w:eastAsia="仿宋_GB2312" w:cs="仿宋_GB2312"/>
          <w:snapToGrid w:val="0"/>
          <w:color w:val="auto"/>
          <w:kern w:val="2"/>
          <w:sz w:val="32"/>
          <w:szCs w:val="32"/>
          <w:highlight w:val="none"/>
          <w:lang w:val="en-US" w:eastAsia="zh-CN" w:bidi="ar"/>
        </w:rPr>
        <w:t>积极探索国企管理“新模式”，采取“财政牵头、企业配合、集中办公”的管理模式，提升国有企业会计信息质量，推动业财融合。定期组织开展银企对接活动，引导政策性“金融活水”为企业转型发展注入新动能，有效保障了企业重大项目建设的合理资金需求。对全县自然资源资产、行政事业单位的国有资产、企业国有资产进行全面清查，制定了盘活闲置资产的方案，建立了国有资产共享共用机制，对低效运转、长期闲置的资产进行归类整合，提高资产使用绩效。动态掌握企业的融资偿还情况，加强企业运营状况监控，充分提示企业经营风险，确保企业守住不发生债务违约的风险底线。</w:t>
      </w:r>
    </w:p>
    <w:p w14:paraId="326837DD">
      <w:pPr>
        <w:pStyle w:val="2"/>
        <w:keepNext w:val="0"/>
        <w:keepLines w:val="0"/>
        <w:pageBreakBefore w:val="0"/>
        <w:widowControl w:val="0"/>
        <w:kinsoku/>
        <w:wordWrap/>
        <w:overflowPunct/>
        <w:topLinePunct w:val="0"/>
        <w:autoSpaceDE/>
        <w:bidi w:val="0"/>
        <w:spacing w:before="0" w:beforeAutospacing="0" w:after="0" w:line="580" w:lineRule="exact"/>
        <w:ind w:left="0" w:right="0" w:firstLine="640" w:firstLineChars="200"/>
        <w:jc w:val="both"/>
        <w:textAlignment w:val="auto"/>
        <w:rPr>
          <w:rFonts w:hint="eastAsia" w:ascii="仿宋" w:hAnsi="仿宋" w:eastAsia="仿宋" w:cs="仿宋"/>
          <w:color w:val="auto"/>
          <w:spacing w:val="0"/>
          <w:kern w:val="2"/>
          <w:sz w:val="32"/>
          <w:szCs w:val="32"/>
          <w:shd w:val="clear" w:color="auto" w:fill="auto"/>
          <w:lang w:val="en-US" w:eastAsia="zh-CN" w:bidi="ar"/>
        </w:rPr>
      </w:pPr>
      <w:r>
        <w:rPr>
          <w:rFonts w:hint="eastAsia" w:ascii="仿宋_GB2312" w:hAnsi="仿宋_GB2312" w:eastAsia="仿宋_GB2312" w:cs="仿宋_GB2312"/>
          <w:color w:val="auto"/>
          <w:spacing w:val="0"/>
          <w:kern w:val="2"/>
          <w:sz w:val="32"/>
          <w:szCs w:val="32"/>
          <w:shd w:val="clear" w:color="auto" w:fill="auto"/>
          <w:lang w:val="en-US" w:eastAsia="zh-CN" w:bidi="ar"/>
        </w:rPr>
        <w:t>2024年财政运行总体较好，同时也存在一些问题和挑战，主要是：</w:t>
      </w:r>
      <w:r>
        <w:rPr>
          <w:rFonts w:hint="eastAsia" w:ascii="仿宋_GB2312" w:hAnsi="仿宋_GB2312" w:eastAsia="仿宋_GB2312" w:cs="仿宋_GB2312"/>
          <w:color w:val="auto"/>
          <w:kern w:val="2"/>
          <w:sz w:val="32"/>
          <w:szCs w:val="32"/>
          <w:highlight w:val="none"/>
          <w:lang w:val="en-US" w:eastAsia="zh-CN" w:bidi="ar"/>
        </w:rPr>
        <w:t>财政刚性支出不断增大，</w:t>
      </w:r>
      <w:r>
        <w:rPr>
          <w:rFonts w:hint="eastAsia" w:ascii="仿宋_GB2312" w:hAnsi="仿宋_GB2312" w:eastAsia="仿宋_GB2312" w:cs="仿宋_GB2312"/>
          <w:color w:val="auto"/>
          <w:sz w:val="32"/>
          <w:szCs w:val="32"/>
          <w:highlight w:val="none"/>
          <w:lang w:val="en-US" w:eastAsia="zh-CN"/>
        </w:rPr>
        <w:t>政府隐性债务和暂付款化解任务越来越重</w:t>
      </w:r>
      <w:r>
        <w:rPr>
          <w:rFonts w:hint="eastAsia" w:ascii="仿宋_GB2312" w:hAnsi="仿宋_GB2312" w:eastAsia="仿宋_GB2312" w:cs="仿宋_GB2312"/>
          <w:color w:val="auto"/>
          <w:sz w:val="32"/>
          <w:szCs w:val="32"/>
          <w:highlight w:val="none"/>
        </w:rPr>
        <w:t>，融资政策不断收紧，预算平衡压力持续增大，财政收支矛盾十分突</w:t>
      </w:r>
      <w:r>
        <w:rPr>
          <w:rFonts w:hint="eastAsia" w:ascii="仿宋_GB2312" w:hAnsi="仿宋_GB2312" w:eastAsia="仿宋_GB2312" w:cs="仿宋_GB2312"/>
          <w:color w:val="auto"/>
          <w:kern w:val="2"/>
          <w:sz w:val="32"/>
          <w:szCs w:val="32"/>
          <w:highlight w:val="none"/>
          <w:lang w:val="en-US" w:eastAsia="zh-CN" w:bidi="ar"/>
        </w:rPr>
        <w:t>出；预算绩效管理结果运用不够，财经纪律约束需要进一步加强，财政政策效能和资金效益仍需提高；一些部门落实“过紧日子”要求不够到位，突击花钱的现象仍不同程度存在；国资国企规范化、精细化、制度化管理有待进一步提升等。针对这些问题我们要高度重视，积极采取有效措施予以解决。</w:t>
      </w:r>
    </w:p>
    <w:p w14:paraId="31B15839">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80" w:lineRule="exact"/>
        <w:ind w:left="0" w:leftChars="0" w:right="0" w:rightChars="0" w:firstLine="640" w:firstLineChars="200"/>
        <w:jc w:val="both"/>
        <w:textAlignment w:val="auto"/>
        <w:rPr>
          <w:rFonts w:hint="eastAsia" w:ascii="仿宋_GB2312" w:hAnsi="仿宋_GB2312" w:eastAsia="仿宋_GB2312" w:cs="仿宋_GB2312"/>
          <w:spacing w:val="0"/>
          <w:sz w:val="32"/>
          <w:szCs w:val="32"/>
          <w:highlight w:val="yellow"/>
          <w:lang w:val="en-US" w:eastAsia="zh-CN"/>
        </w:rPr>
      </w:pPr>
      <w:r>
        <w:rPr>
          <w:rFonts w:hint="eastAsia" w:ascii="黑体" w:hAnsi="黑体" w:eastAsia="黑体" w:cs="黑体"/>
          <w:b w:val="0"/>
          <w:bCs/>
          <w:color w:val="auto"/>
          <w:spacing w:val="0"/>
          <w:sz w:val="32"/>
          <w:szCs w:val="32"/>
          <w:highlight w:val="none"/>
          <w:shd w:val="clear" w:color="auto" w:fill="auto"/>
          <w:lang w:val="en-US" w:eastAsia="zh-CN"/>
        </w:rPr>
        <w:t>三</w:t>
      </w:r>
      <w:r>
        <w:rPr>
          <w:rFonts w:hint="eastAsia" w:ascii="黑体" w:hAnsi="黑体" w:eastAsia="黑体" w:cs="黑体"/>
          <w:b w:val="0"/>
          <w:bCs/>
          <w:color w:val="auto"/>
          <w:spacing w:val="0"/>
          <w:sz w:val="32"/>
          <w:szCs w:val="32"/>
          <w:highlight w:val="none"/>
          <w:shd w:val="clear" w:color="auto" w:fill="auto"/>
        </w:rPr>
        <w:t>、20</w:t>
      </w:r>
      <w:r>
        <w:rPr>
          <w:rFonts w:hint="eastAsia" w:ascii="黑体" w:hAnsi="黑体" w:eastAsia="黑体" w:cs="黑体"/>
          <w:b w:val="0"/>
          <w:bCs/>
          <w:color w:val="auto"/>
          <w:spacing w:val="0"/>
          <w:sz w:val="32"/>
          <w:szCs w:val="32"/>
          <w:highlight w:val="none"/>
          <w:shd w:val="clear" w:color="auto" w:fill="auto"/>
          <w:lang w:val="en-US" w:eastAsia="zh-CN"/>
        </w:rPr>
        <w:t>25</w:t>
      </w:r>
      <w:r>
        <w:rPr>
          <w:rFonts w:hint="eastAsia" w:ascii="黑体" w:hAnsi="黑体" w:eastAsia="黑体" w:cs="黑体"/>
          <w:b w:val="0"/>
          <w:bCs/>
          <w:color w:val="auto"/>
          <w:spacing w:val="0"/>
          <w:sz w:val="32"/>
          <w:szCs w:val="32"/>
          <w:highlight w:val="none"/>
          <w:shd w:val="clear" w:color="auto" w:fill="auto"/>
        </w:rPr>
        <w:t>年上半年预算执行情况</w:t>
      </w:r>
    </w:p>
    <w:p w14:paraId="7E1620A1">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80" w:lineRule="exact"/>
        <w:ind w:left="0" w:leftChars="0" w:right="0" w:rightChars="0" w:firstLine="640" w:firstLineChars="200"/>
        <w:jc w:val="both"/>
        <w:textAlignment w:val="auto"/>
        <w:rPr>
          <w:rFonts w:hint="eastAsia" w:ascii="仿宋_GB2312" w:hAnsi="仿宋_GB2312" w:eastAsia="仿宋_GB2312" w:cs="仿宋_GB2312"/>
          <w:spacing w:val="0"/>
          <w:sz w:val="32"/>
          <w:szCs w:val="32"/>
          <w:highlight w:val="yellow"/>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今年以来，经济运行持续下行，财政平衡压力前所未有。我们坚持以习近平新时代中国特色社会主义思想为指导，聚焦稳增长、促改革、调结构、惠民生、防风险主线，全面落实积极的财政政策，切实增强经济活力、防范化解风险、改善社会预期，为县域经济高质量发展提供有力保障。</w:t>
      </w:r>
    </w:p>
    <w:p w14:paraId="67696437">
      <w:pPr>
        <w:keepNext w:val="0"/>
        <w:keepLines w:val="0"/>
        <w:pageBreakBefore w:val="0"/>
        <w:widowControl w:val="0"/>
        <w:numPr>
          <w:ilvl w:val="0"/>
          <w:numId w:val="1"/>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80" w:lineRule="exact"/>
        <w:ind w:left="0" w:leftChars="0" w:right="0" w:rightChars="0" w:firstLine="643" w:firstLineChars="200"/>
        <w:jc w:val="both"/>
        <w:textAlignment w:val="auto"/>
        <w:rPr>
          <w:rFonts w:hint="eastAsia" w:ascii="楷体_GB2312" w:hAnsi="楷体_GB2312" w:eastAsia="楷体_GB2312" w:cs="楷体_GB2312"/>
          <w:b/>
          <w:bCs/>
          <w:color w:val="auto"/>
          <w:spacing w:val="0"/>
          <w:sz w:val="32"/>
          <w:szCs w:val="32"/>
          <w:highlight w:val="none"/>
          <w:shd w:val="clear" w:color="auto" w:fill="auto"/>
        </w:rPr>
      </w:pPr>
      <w:r>
        <w:rPr>
          <w:rFonts w:hint="eastAsia" w:ascii="楷体_GB2312" w:hAnsi="楷体_GB2312" w:eastAsia="楷体_GB2312" w:cs="楷体_GB2312"/>
          <w:b/>
          <w:bCs/>
          <w:color w:val="auto"/>
          <w:spacing w:val="0"/>
          <w:sz w:val="32"/>
          <w:szCs w:val="32"/>
          <w:highlight w:val="none"/>
          <w:shd w:val="clear" w:color="auto" w:fill="auto"/>
        </w:rPr>
        <w:t>预算收支情况</w:t>
      </w:r>
    </w:p>
    <w:p w14:paraId="340A63E9">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3" w:firstLineChars="200"/>
        <w:jc w:val="both"/>
        <w:textAlignment w:val="auto"/>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pPr>
      <w:bookmarkStart w:id="1" w:name="OLE_LINK2"/>
      <w:r>
        <w:rPr>
          <w:rFonts w:hint="eastAsia" w:ascii="仿宋_GB2312" w:hAnsi="仿宋_GB2312" w:eastAsia="仿宋_GB2312" w:cs="仿宋_GB2312"/>
          <w:b/>
          <w:bCs/>
          <w:color w:val="000000" w:themeColor="text1"/>
          <w:spacing w:val="0"/>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sz w:val="32"/>
          <w:szCs w:val="32"/>
          <w:highlight w:val="none"/>
          <w:shd w:val="clear" w:color="auto" w:fill="auto"/>
          <w14:textFill>
            <w14:solidFill>
              <w14:schemeClr w14:val="tx1"/>
            </w14:solidFill>
          </w14:textFill>
        </w:rPr>
        <w:t>一般公共</w:t>
      </w:r>
      <w:r>
        <w:rPr>
          <w:rFonts w:hint="eastAsia" w:ascii="仿宋_GB2312" w:hAnsi="仿宋_GB2312" w:eastAsia="仿宋_GB2312" w:cs="仿宋_GB2312"/>
          <w:b/>
          <w:bCs/>
          <w:color w:val="000000" w:themeColor="text1"/>
          <w:spacing w:val="0"/>
          <w:sz w:val="32"/>
          <w:szCs w:val="32"/>
          <w:highlight w:val="none"/>
          <w:shd w:val="clear" w:color="auto" w:fill="auto"/>
          <w:lang w:val="en-US" w:eastAsia="zh-CN"/>
          <w14:textFill>
            <w14:solidFill>
              <w14:schemeClr w14:val="tx1"/>
            </w14:solidFill>
          </w14:textFill>
        </w:rPr>
        <w:t>收支</w:t>
      </w:r>
      <w:r>
        <w:rPr>
          <w:rFonts w:hint="eastAsia" w:ascii="仿宋_GB2312" w:hAnsi="仿宋_GB2312" w:eastAsia="仿宋_GB2312" w:cs="仿宋_GB2312"/>
          <w:b/>
          <w:bCs/>
          <w:color w:val="000000" w:themeColor="text1"/>
          <w:spacing w:val="0"/>
          <w:sz w:val="32"/>
          <w:szCs w:val="32"/>
          <w:highlight w:val="none"/>
          <w:shd w:val="clear" w:color="auto" w:fill="auto"/>
          <w14:textFill>
            <w14:solidFill>
              <w14:schemeClr w14:val="tx1"/>
            </w14:solidFill>
          </w14:textFill>
        </w:rPr>
        <w:t>预算</w:t>
      </w:r>
      <w:r>
        <w:rPr>
          <w:rFonts w:hint="eastAsia" w:ascii="仿宋_GB2312" w:hAnsi="仿宋_GB2312" w:eastAsia="仿宋_GB2312" w:cs="仿宋_GB2312"/>
          <w:b/>
          <w:color w:val="000000" w:themeColor="text1"/>
          <w:spacing w:val="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highlight w:val="none"/>
          <w:shd w:val="clear" w:color="auto" w:fill="auto"/>
          <w:lang w:val="en-US" w:eastAsia="zh-CN"/>
          <w14:textFill>
            <w14:solidFill>
              <w14:schemeClr w14:val="tx1"/>
            </w14:solidFill>
          </w14:textFill>
        </w:rPr>
        <w:t>2025年</w:t>
      </w:r>
      <w:r>
        <w:rPr>
          <w:rFonts w:hint="eastAsia" w:ascii="仿宋_GB2312" w:hAnsi="仿宋_GB2312" w:eastAsia="仿宋_GB2312" w:cs="仿宋_GB2312"/>
          <w:b w:val="0"/>
          <w:bCs/>
          <w:color w:val="000000" w:themeColor="text1"/>
          <w:spacing w:val="0"/>
          <w:sz w:val="32"/>
          <w:szCs w:val="32"/>
          <w:highlight w:val="none"/>
          <w:lang w:val="en-US" w:eastAsia="zh-CN"/>
          <w14:textFill>
            <w14:solidFill>
              <w14:schemeClr w14:val="tx1"/>
            </w14:solidFill>
          </w14:textFill>
        </w:rPr>
        <w:t>1—6月</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全县一般公共预算收入完成6.96亿元，为预算的50.5%，同比下降11%，增速位居全市第6位。其中：税收收入完成4.95亿元，同比下降4.1%，增速位居全市第6位，税收占一般公共预算收入比重71.1%，税收比重位居全市第6位；全县一般公共预算支出完成31.8亿元，同比增长6.5%。</w:t>
      </w:r>
    </w:p>
    <w:p w14:paraId="6035E67C">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3" w:firstLineChars="200"/>
        <w:jc w:val="both"/>
        <w:textAlignment w:val="auto"/>
        <w:rPr>
          <w:rFonts w:hint="eastAsia" w:ascii="仿宋_GB2312" w:hAnsi="仿宋_GB2312" w:eastAsia="仿宋_GB2312" w:cs="仿宋_GB2312"/>
          <w:color w:val="000000" w:themeColor="text1"/>
          <w:spacing w:val="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color w:val="000000" w:themeColor="text1"/>
          <w:spacing w:val="0"/>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b/>
          <w:color w:val="000000" w:themeColor="text1"/>
          <w:spacing w:val="0"/>
          <w:sz w:val="32"/>
          <w:szCs w:val="32"/>
          <w:highlight w:val="none"/>
          <w:shd w:val="clear" w:color="auto" w:fill="auto"/>
          <w14:textFill>
            <w14:solidFill>
              <w14:schemeClr w14:val="tx1"/>
            </w14:solidFill>
          </w14:textFill>
        </w:rPr>
        <w:t>政府性基金预算</w:t>
      </w:r>
      <w:r>
        <w:rPr>
          <w:rFonts w:hint="eastAsia" w:ascii="仿宋_GB2312" w:hAnsi="仿宋_GB2312" w:eastAsia="仿宋_GB2312" w:cs="仿宋_GB2312"/>
          <w:b/>
          <w:color w:val="000000" w:themeColor="text1"/>
          <w:spacing w:val="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highlight w:val="none"/>
          <w:shd w:val="clear" w:color="auto" w:fill="auto"/>
          <w:lang w:val="en-US" w:eastAsia="zh-CN"/>
          <w14:textFill>
            <w14:solidFill>
              <w14:schemeClr w14:val="tx1"/>
            </w14:solidFill>
          </w14:textFill>
        </w:rPr>
        <w:t>2025年</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1—6月全县政府性基金预算收入完成7418万元，为预算的</w:t>
      </w:r>
      <w:r>
        <w:rPr>
          <w:rFonts w:hint="eastAsia" w:ascii="仿宋_GB2312" w:hAnsi="仿宋_GB2312" w:eastAsia="仿宋_GB2312" w:cs="仿宋_GB2312"/>
          <w:b w:val="0"/>
          <w:bCs/>
          <w:color w:val="000000" w:themeColor="text1"/>
          <w:spacing w:val="0"/>
          <w:sz w:val="32"/>
          <w:szCs w:val="32"/>
          <w:highlight w:val="none"/>
          <w:shd w:val="clear" w:color="auto" w:fill="auto"/>
          <w:lang w:val="en-US" w:eastAsia="zh-CN"/>
          <w14:textFill>
            <w14:solidFill>
              <w14:schemeClr w14:val="tx1"/>
            </w14:solidFill>
          </w14:textFill>
        </w:rPr>
        <w:t>12.4</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%，同比增长1.1%；支出完成2.32亿元</w:t>
      </w:r>
      <w:r>
        <w:rPr>
          <w:rFonts w:hint="eastAsia" w:ascii="仿宋_GB2312" w:hAnsi="仿宋_GB2312" w:eastAsia="仿宋_GB2312" w:cs="仿宋_GB2312"/>
          <w:b w:val="0"/>
          <w:bCs/>
          <w:color w:val="000000" w:themeColor="text1"/>
          <w:spacing w:val="0"/>
          <w:sz w:val="32"/>
          <w:szCs w:val="32"/>
          <w:highlight w:val="none"/>
          <w:shd w:val="clear" w:color="auto" w:fill="auto"/>
          <w:lang w:val="en-US"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highlight w:val="none"/>
          <w:shd w:val="clear" w:color="auto" w:fill="auto"/>
          <w:lang w:eastAsia="zh-CN"/>
          <w14:textFill>
            <w14:solidFill>
              <w14:schemeClr w14:val="tx1"/>
            </w14:solidFill>
          </w14:textFill>
        </w:rPr>
        <w:t>为预算的</w:t>
      </w:r>
      <w:r>
        <w:rPr>
          <w:rFonts w:hint="eastAsia" w:ascii="仿宋_GB2312" w:hAnsi="仿宋_GB2312" w:eastAsia="仿宋_GB2312" w:cs="仿宋_GB2312"/>
          <w:b w:val="0"/>
          <w:bCs/>
          <w:color w:val="000000" w:themeColor="text1"/>
          <w:spacing w:val="0"/>
          <w:sz w:val="32"/>
          <w:szCs w:val="32"/>
          <w:highlight w:val="none"/>
          <w:shd w:val="clear" w:color="auto" w:fill="auto"/>
          <w:lang w:val="en-US" w:eastAsia="zh-CN"/>
          <w14:textFill>
            <w14:solidFill>
              <w14:schemeClr w14:val="tx1"/>
            </w14:solidFill>
          </w14:textFill>
        </w:rPr>
        <w:t>38.7</w:t>
      </w:r>
      <w:r>
        <w:rPr>
          <w:rFonts w:hint="eastAsia" w:ascii="仿宋_GB2312" w:hAnsi="仿宋_GB2312" w:eastAsia="仿宋_GB2312" w:cs="仿宋_GB2312"/>
          <w:color w:val="000000" w:themeColor="text1"/>
          <w:spacing w:val="0"/>
          <w:sz w:val="32"/>
          <w:szCs w:val="32"/>
          <w:highlight w:val="none"/>
          <w:shd w:val="clear" w:color="auto" w:fill="auto"/>
          <w:lang w:eastAsia="zh-CN"/>
          <w14:textFill>
            <w14:solidFill>
              <w14:schemeClr w14:val="tx1"/>
            </w14:solidFill>
          </w14:textFill>
        </w:rPr>
        <w:t>%，同比下降</w:t>
      </w:r>
      <w:r>
        <w:rPr>
          <w:rFonts w:hint="eastAsia" w:ascii="仿宋_GB2312" w:hAnsi="仿宋_GB2312" w:eastAsia="仿宋_GB2312" w:cs="仿宋_GB2312"/>
          <w:color w:val="000000" w:themeColor="text1"/>
          <w:spacing w:val="0"/>
          <w:sz w:val="32"/>
          <w:szCs w:val="32"/>
          <w:highlight w:val="none"/>
          <w:shd w:val="clear" w:color="auto" w:fill="auto"/>
          <w:lang w:val="en-US" w:eastAsia="zh-CN"/>
          <w14:textFill>
            <w14:solidFill>
              <w14:schemeClr w14:val="tx1"/>
            </w14:solidFill>
          </w14:textFill>
        </w:rPr>
        <w:t>61</w:t>
      </w:r>
      <w:r>
        <w:rPr>
          <w:rFonts w:hint="eastAsia" w:ascii="仿宋_GB2312" w:hAnsi="仿宋_GB2312" w:eastAsia="仿宋_GB2312" w:cs="仿宋_GB2312"/>
          <w:color w:val="000000" w:themeColor="text1"/>
          <w:spacing w:val="0"/>
          <w:sz w:val="32"/>
          <w:szCs w:val="32"/>
          <w:highlight w:val="none"/>
          <w:shd w:val="clear" w:color="auto" w:fill="auto"/>
          <w:lang w:eastAsia="zh-CN"/>
          <w14:textFill>
            <w14:solidFill>
              <w14:schemeClr w14:val="tx1"/>
            </w14:solidFill>
          </w14:textFill>
        </w:rPr>
        <w:t>%。</w:t>
      </w:r>
    </w:p>
    <w:p w14:paraId="4A3C70E1">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3" w:firstLineChars="200"/>
        <w:jc w:val="both"/>
        <w:textAlignment w:val="auto"/>
        <w:rPr>
          <w:rFonts w:hint="eastAsia" w:ascii="仿宋_GB2312" w:hAnsi="仿宋_GB2312" w:eastAsia="仿宋_GB2312" w:cs="仿宋_GB2312"/>
          <w:color w:val="000000" w:themeColor="text1"/>
          <w:spacing w:val="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color w:val="000000" w:themeColor="text1"/>
          <w:spacing w:val="0"/>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b/>
          <w:color w:val="000000" w:themeColor="text1"/>
          <w:spacing w:val="0"/>
          <w:sz w:val="32"/>
          <w:szCs w:val="32"/>
          <w:highlight w:val="none"/>
          <w:shd w:val="clear" w:color="auto" w:fill="auto"/>
          <w14:textFill>
            <w14:solidFill>
              <w14:schemeClr w14:val="tx1"/>
            </w14:solidFill>
          </w14:textFill>
        </w:rPr>
        <w:t>国有资本经营预算</w:t>
      </w:r>
      <w:r>
        <w:rPr>
          <w:rFonts w:hint="eastAsia" w:ascii="仿宋_GB2312" w:hAnsi="仿宋_GB2312" w:eastAsia="仿宋_GB2312" w:cs="仿宋_GB2312"/>
          <w:b/>
          <w:color w:val="000000" w:themeColor="text1"/>
          <w:spacing w:val="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highlight w:val="none"/>
          <w:shd w:val="clear" w:color="auto" w:fill="auto"/>
          <w:lang w:val="en-US" w:eastAsia="zh-CN"/>
          <w14:textFill>
            <w14:solidFill>
              <w14:schemeClr w14:val="tx1"/>
            </w14:solidFill>
          </w14:textFill>
        </w:rPr>
        <w:t>2025年1—6月全县国有资本经营预算收入完成424万元，去年同期完成0万</w:t>
      </w:r>
      <w:r>
        <w:rPr>
          <w:rFonts w:hint="eastAsia" w:ascii="仿宋_GB2312" w:hAnsi="仿宋_GB2312" w:eastAsia="仿宋_GB2312" w:cs="仿宋_GB2312"/>
          <w:color w:val="000000" w:themeColor="text1"/>
          <w:spacing w:val="0"/>
          <w:sz w:val="32"/>
          <w:szCs w:val="32"/>
          <w:highlight w:val="none"/>
          <w:shd w:val="clear" w:color="auto" w:fill="auto"/>
          <w:lang w:val="en-US" w:eastAsia="zh-CN"/>
          <w14:textFill>
            <w14:solidFill>
              <w14:schemeClr w14:val="tx1"/>
            </w14:solidFill>
          </w14:textFill>
        </w:rPr>
        <w:t>元</w:t>
      </w:r>
      <w:r>
        <w:rPr>
          <w:rFonts w:hint="eastAsia" w:ascii="仿宋_GB2312" w:hAnsi="仿宋_GB2312" w:eastAsia="仿宋_GB2312" w:cs="仿宋_GB2312"/>
          <w:color w:val="000000" w:themeColor="text1"/>
          <w:spacing w:val="0"/>
          <w:sz w:val="32"/>
          <w:szCs w:val="32"/>
          <w:highlight w:val="none"/>
          <w:shd w:val="clear" w:color="auto" w:fill="auto"/>
          <w:lang w:eastAsia="zh-CN"/>
          <w14:textFill>
            <w14:solidFill>
              <w14:schemeClr w14:val="tx1"/>
            </w14:solidFill>
          </w14:textFill>
        </w:rPr>
        <w:t>；支出</w:t>
      </w:r>
      <w:r>
        <w:rPr>
          <w:rFonts w:hint="eastAsia" w:ascii="仿宋_GB2312" w:hAnsi="仿宋_GB2312" w:eastAsia="仿宋_GB2312" w:cs="仿宋_GB2312"/>
          <w:color w:val="000000" w:themeColor="text1"/>
          <w:spacing w:val="0"/>
          <w:sz w:val="32"/>
          <w:szCs w:val="32"/>
          <w:highlight w:val="none"/>
          <w:shd w:val="clear" w:color="auto" w:fill="auto"/>
          <w:lang w:val="en-US" w:eastAsia="zh-CN"/>
          <w14:textFill>
            <w14:solidFill>
              <w14:schemeClr w14:val="tx1"/>
            </w14:solidFill>
          </w14:textFill>
        </w:rPr>
        <w:t>完成90万元，同比下降10%</w:t>
      </w:r>
      <w:r>
        <w:rPr>
          <w:rFonts w:hint="eastAsia" w:ascii="仿宋_GB2312" w:hAnsi="仿宋_GB2312" w:eastAsia="仿宋_GB2312" w:cs="仿宋_GB2312"/>
          <w:color w:val="000000" w:themeColor="text1"/>
          <w:spacing w:val="0"/>
          <w:sz w:val="32"/>
          <w:szCs w:val="32"/>
          <w:highlight w:val="none"/>
          <w:shd w:val="clear" w:color="auto" w:fill="auto"/>
          <w:lang w:eastAsia="zh-CN"/>
          <w14:textFill>
            <w14:solidFill>
              <w14:schemeClr w14:val="tx1"/>
            </w14:solidFill>
          </w14:textFill>
        </w:rPr>
        <w:t>。</w:t>
      </w:r>
    </w:p>
    <w:p w14:paraId="2E3BC0D6">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3" w:firstLineChars="200"/>
        <w:jc w:val="both"/>
        <w:textAlignment w:val="auto"/>
        <w:rPr>
          <w:rFonts w:hint="eastAsia" w:ascii="仿宋_GB2312" w:hAnsi="仿宋_GB2312" w:eastAsia="仿宋_GB2312" w:cs="仿宋_GB2312"/>
          <w:color w:val="000000" w:themeColor="text1"/>
          <w:spacing w:val="0"/>
          <w:sz w:val="32"/>
          <w:szCs w:val="32"/>
          <w:highlight w:val="none"/>
          <w:shd w:val="clear" w:color="auto" w:fill="auto"/>
          <w14:textFill>
            <w14:solidFill>
              <w14:schemeClr w14:val="tx1"/>
            </w14:solidFill>
          </w14:textFill>
        </w:rPr>
      </w:pPr>
      <w:r>
        <w:rPr>
          <w:rFonts w:hint="eastAsia" w:ascii="仿宋_GB2312" w:hAnsi="仿宋_GB2312" w:eastAsia="仿宋_GB2312" w:cs="仿宋_GB2312"/>
          <w:b/>
          <w:color w:val="000000" w:themeColor="text1"/>
          <w:spacing w:val="0"/>
          <w:sz w:val="32"/>
          <w:szCs w:val="32"/>
          <w:highlight w:val="none"/>
          <w:shd w:val="clear" w:color="auto" w:fill="auto"/>
          <w:lang w:val="en-US" w:eastAsia="zh-CN"/>
          <w14:textFill>
            <w14:solidFill>
              <w14:schemeClr w14:val="tx1"/>
            </w14:solidFill>
          </w14:textFill>
        </w:rPr>
        <w:t>4.</w:t>
      </w:r>
      <w:r>
        <w:rPr>
          <w:rFonts w:hint="eastAsia" w:ascii="仿宋_GB2312" w:hAnsi="仿宋_GB2312" w:eastAsia="仿宋_GB2312" w:cs="仿宋_GB2312"/>
          <w:b/>
          <w:color w:val="000000" w:themeColor="text1"/>
          <w:spacing w:val="0"/>
          <w:sz w:val="32"/>
          <w:szCs w:val="32"/>
          <w:highlight w:val="none"/>
          <w:shd w:val="clear" w:color="auto" w:fill="auto"/>
          <w14:textFill>
            <w14:solidFill>
              <w14:schemeClr w14:val="tx1"/>
            </w14:solidFill>
          </w14:textFill>
        </w:rPr>
        <w:t>社会保险基金</w:t>
      </w:r>
      <w:r>
        <w:rPr>
          <w:rFonts w:hint="eastAsia" w:ascii="仿宋_GB2312" w:hAnsi="仿宋_GB2312" w:eastAsia="仿宋_GB2312" w:cs="仿宋_GB2312"/>
          <w:b/>
          <w:color w:val="000000" w:themeColor="text1"/>
          <w:spacing w:val="0"/>
          <w:sz w:val="32"/>
          <w:szCs w:val="32"/>
          <w:highlight w:val="none"/>
          <w:shd w:val="clear" w:color="auto" w:fill="auto"/>
          <w:lang w:val="en-US" w:eastAsia="zh-CN"/>
          <w14:textFill>
            <w14:solidFill>
              <w14:schemeClr w14:val="tx1"/>
            </w14:solidFill>
          </w14:textFill>
        </w:rPr>
        <w:t>预算</w:t>
      </w:r>
      <w:r>
        <w:rPr>
          <w:rFonts w:hint="eastAsia" w:ascii="仿宋_GB2312" w:hAnsi="仿宋_GB2312" w:eastAsia="仿宋_GB2312" w:cs="仿宋_GB2312"/>
          <w:b/>
          <w:color w:val="000000" w:themeColor="text1"/>
          <w:spacing w:val="0"/>
          <w:sz w:val="32"/>
          <w:szCs w:val="32"/>
          <w:highlight w:val="none"/>
          <w:shd w:val="clear" w:color="auto" w:fill="auto"/>
          <w14:textFill>
            <w14:solidFill>
              <w14:schemeClr w14:val="tx1"/>
            </w14:solidFill>
          </w14:textFill>
        </w:rPr>
        <w:t>。</w:t>
      </w:r>
      <w:bookmarkEnd w:id="1"/>
      <w:r>
        <w:rPr>
          <w:rFonts w:hint="eastAsia" w:ascii="仿宋_GB2312" w:hAnsi="仿宋_GB2312" w:eastAsia="仿宋_GB2312" w:cs="仿宋_GB2312"/>
          <w:b w:val="0"/>
          <w:bCs/>
          <w:color w:val="000000" w:themeColor="text1"/>
          <w:spacing w:val="0"/>
          <w:sz w:val="32"/>
          <w:szCs w:val="32"/>
          <w:highlight w:val="none"/>
          <w:shd w:val="clear" w:color="auto" w:fill="auto"/>
          <w:lang w:val="en-US" w:eastAsia="zh-CN"/>
          <w14:textFill>
            <w14:solidFill>
              <w14:schemeClr w14:val="tx1"/>
            </w14:solidFill>
          </w14:textFill>
        </w:rPr>
        <w:t>2025年1—6月全县社会保险基金收入完成2.63亿元，为预算的48.1%，同比增长25.5%；社会保险基金支出完成2.61亿元，为预算的52.1%，同比增长43.8%。</w:t>
      </w:r>
    </w:p>
    <w:p w14:paraId="4E2F93D8">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3" w:firstLineChars="200"/>
        <w:jc w:val="both"/>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b/>
          <w:color w:val="auto"/>
          <w:spacing w:val="0"/>
          <w:sz w:val="32"/>
          <w:szCs w:val="32"/>
          <w:highlight w:val="none"/>
          <w:shd w:val="clear" w:color="auto" w:fill="auto"/>
          <w:lang w:val="en-US" w:eastAsia="zh-CN"/>
        </w:rPr>
        <w:t>5.政府专项债券情况。</w:t>
      </w:r>
      <w:r>
        <w:rPr>
          <w:rFonts w:hint="eastAsia" w:ascii="仿宋_GB2312" w:hAnsi="仿宋_GB2312" w:eastAsia="仿宋_GB2312" w:cs="仿宋_GB2312"/>
          <w:b w:val="0"/>
          <w:bCs/>
          <w:color w:val="000000" w:themeColor="text1"/>
          <w:spacing w:val="0"/>
          <w:sz w:val="32"/>
          <w:szCs w:val="32"/>
          <w:highlight w:val="none"/>
          <w:shd w:val="clear" w:color="auto" w:fill="auto"/>
          <w:lang w:val="en-US" w:eastAsia="zh-CN"/>
          <w14:textFill>
            <w14:solidFill>
              <w14:schemeClr w14:val="tx1"/>
            </w14:solidFill>
          </w14:textFill>
        </w:rPr>
        <w:t>2025年1—6月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我县储备专项债券项目113个，总投资额318.03亿元，拟申请债券185.58亿元。审核进入财政厅发行储备库的专项债券项目83个，可发行债券142.44亿元。经国家发改委、财政部和省财政厅审核完成项目28个，通过审核金额35.75亿元。截至6月底，共发行专项债券3.61亿元，其中：项目建设类债券0.32亿元，置换隐性债务债券2.62亿元，补充基金财力债券0.67亿元。</w:t>
      </w:r>
    </w:p>
    <w:p w14:paraId="59F20612">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3" w:firstLineChars="200"/>
        <w:jc w:val="both"/>
        <w:textAlignment w:val="auto"/>
        <w:rPr>
          <w:rFonts w:hint="eastAsia" w:ascii="楷体_GB2312" w:hAnsi="楷体_GB2312" w:eastAsia="楷体_GB2312" w:cs="楷体_GB2312"/>
          <w:b/>
          <w:color w:val="auto"/>
          <w:spacing w:val="0"/>
          <w:sz w:val="32"/>
          <w:szCs w:val="32"/>
          <w:highlight w:val="none"/>
          <w:shd w:val="clear" w:color="auto" w:fill="auto"/>
        </w:rPr>
      </w:pPr>
      <w:r>
        <w:rPr>
          <w:rFonts w:hint="eastAsia" w:ascii="楷体_GB2312" w:hAnsi="楷体_GB2312" w:eastAsia="楷体_GB2312" w:cs="楷体_GB2312"/>
          <w:b/>
          <w:color w:val="auto"/>
          <w:spacing w:val="0"/>
          <w:sz w:val="32"/>
          <w:szCs w:val="32"/>
          <w:highlight w:val="none"/>
          <w:shd w:val="clear" w:color="auto" w:fill="auto"/>
        </w:rPr>
        <w:t>（二）</w:t>
      </w:r>
      <w:r>
        <w:rPr>
          <w:rFonts w:hint="eastAsia" w:ascii="楷体_GB2312" w:hAnsi="楷体_GB2312" w:eastAsia="楷体_GB2312" w:cs="楷体_GB2312"/>
          <w:b/>
          <w:color w:val="auto"/>
          <w:spacing w:val="0"/>
          <w:sz w:val="32"/>
          <w:szCs w:val="32"/>
          <w:highlight w:val="none"/>
          <w:shd w:val="clear" w:color="auto" w:fill="auto"/>
          <w:lang w:val="en-US" w:eastAsia="zh-CN"/>
        </w:rPr>
        <w:t>上半年财政运行</w:t>
      </w:r>
      <w:r>
        <w:rPr>
          <w:rFonts w:hint="eastAsia" w:ascii="楷体_GB2312" w:hAnsi="楷体_GB2312" w:eastAsia="楷体_GB2312" w:cs="楷体_GB2312"/>
          <w:b/>
          <w:color w:val="auto"/>
          <w:spacing w:val="0"/>
          <w:sz w:val="32"/>
          <w:szCs w:val="32"/>
          <w:highlight w:val="none"/>
          <w:shd w:val="clear" w:color="auto" w:fill="auto"/>
        </w:rPr>
        <w:t>的主要特点</w:t>
      </w:r>
    </w:p>
    <w:p w14:paraId="445A6789">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right="0" w:rightChars="0" w:firstLine="643" w:firstLineChars="200"/>
        <w:jc w:val="both"/>
        <w:textAlignment w:val="auto"/>
        <w:rPr>
          <w:rFonts w:hint="eastAsia" w:ascii="仿宋_GB2312" w:hAnsi="仿宋_GB2312" w:eastAsia="仿宋_GB2312" w:cs="仿宋_GB2312"/>
          <w:color w:val="auto"/>
          <w:spacing w:val="0"/>
          <w:sz w:val="32"/>
          <w:szCs w:val="32"/>
          <w:highlight w:val="none"/>
          <w:shd w:val="clear" w:color="auto" w:fill="auto"/>
          <w:lang w:eastAsia="zh-CN"/>
        </w:rPr>
      </w:pPr>
      <w:r>
        <w:rPr>
          <w:rFonts w:hint="eastAsia" w:ascii="仿宋_GB2312" w:hAnsi="仿宋_GB2312" w:eastAsia="仿宋_GB2312" w:cs="仿宋_GB2312"/>
          <w:b/>
          <w:bCs w:val="0"/>
          <w:color w:val="auto"/>
          <w:spacing w:val="0"/>
          <w:sz w:val="32"/>
          <w:szCs w:val="32"/>
          <w:highlight w:val="none"/>
          <w:shd w:val="clear" w:color="auto" w:fill="auto"/>
          <w:lang w:val="en-US" w:eastAsia="zh-CN"/>
        </w:rPr>
        <w:t>1.稳收入，夯实财力保障基础。</w:t>
      </w:r>
      <w:r>
        <w:rPr>
          <w:rFonts w:hint="eastAsia" w:ascii="仿宋_GB2312" w:hAnsi="仿宋_GB2312" w:eastAsia="仿宋_GB2312" w:cs="仿宋_GB2312"/>
          <w:b w:val="0"/>
          <w:bCs w:val="0"/>
          <w:color w:val="auto"/>
          <w:spacing w:val="0"/>
          <w:sz w:val="32"/>
          <w:szCs w:val="32"/>
          <w:highlight w:val="none"/>
          <w:shd w:val="clear" w:color="auto" w:fill="auto"/>
          <w:lang w:val="en-US" w:eastAsia="zh-CN"/>
        </w:rPr>
        <w:t>上半年，我们攻坚克难，进一步聚焦收入组织。</w:t>
      </w:r>
      <w:r>
        <w:rPr>
          <w:rFonts w:hint="eastAsia" w:ascii="仿宋_GB2312" w:hAnsi="仿宋_GB2312" w:eastAsia="仿宋_GB2312" w:cs="仿宋_GB2312"/>
          <w:b w:val="0"/>
          <w:bCs w:val="0"/>
          <w:color w:val="000000" w:themeColor="text1"/>
          <w:spacing w:val="0"/>
          <w:sz w:val="32"/>
          <w:szCs w:val="32"/>
          <w:highlight w:val="none"/>
          <w:shd w:val="clear" w:color="auto" w:fill="auto"/>
          <w:lang w:val="en-US" w:eastAsia="zh-CN"/>
          <w14:textFill>
            <w14:solidFill>
              <w14:schemeClr w14:val="tx1"/>
            </w14:solidFill>
          </w14:textFill>
        </w:rPr>
        <w:t>2025年</w:t>
      </w:r>
      <w:r>
        <w:rPr>
          <w:rFonts w:hint="eastAsia" w:ascii="仿宋_GB2312" w:hAnsi="仿宋_GB2312" w:eastAsia="仿宋_GB2312" w:cs="仿宋_GB2312"/>
          <w:b w:val="0"/>
          <w:bCs w:val="0"/>
          <w:color w:val="000000" w:themeColor="text1"/>
          <w:spacing w:val="0"/>
          <w:sz w:val="32"/>
          <w:szCs w:val="32"/>
          <w:highlight w:val="none"/>
          <w:shd w:val="clear" w:color="auto" w:fill="auto"/>
          <w14:textFill>
            <w14:solidFill>
              <w14:schemeClr w14:val="tx1"/>
            </w14:solidFill>
          </w14:textFill>
        </w:rPr>
        <w:t>1</w:t>
      </w:r>
      <w:r>
        <w:rPr>
          <w:rFonts w:hint="eastAsia" w:ascii="仿宋_GB2312" w:hAnsi="仿宋_GB2312" w:eastAsia="仿宋_GB2312" w:cs="仿宋_GB2312"/>
          <w:b w:val="0"/>
          <w:bCs w:val="0"/>
          <w:color w:val="000000" w:themeColor="text1"/>
          <w:spacing w:val="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highlight w:val="none"/>
          <w:shd w:val="clear" w:color="auto" w:fill="auto"/>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pacing w:val="0"/>
          <w:sz w:val="32"/>
          <w:szCs w:val="32"/>
          <w:highlight w:val="none"/>
          <w:shd w:val="clear" w:color="auto" w:fill="auto"/>
          <w14:textFill>
            <w14:solidFill>
              <w14:schemeClr w14:val="tx1"/>
            </w14:solidFill>
          </w14:textFill>
        </w:rPr>
        <w:t>月</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全县一般公共预算收入完成6.96亿元，为年初预算的50.5%，全面实现了“时间过半、预算过半”，为全年预算目标的顺利实现打下了坚实的基础，有效夯实了民生事业支出的财力基础。</w:t>
      </w:r>
    </w:p>
    <w:p w14:paraId="564E48E6">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right="0" w:rightChars="0" w:firstLine="643" w:firstLineChars="200"/>
        <w:jc w:val="both"/>
        <w:textAlignment w:val="auto"/>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仿宋_GB2312" w:hAnsi="仿宋_GB2312" w:eastAsia="仿宋_GB2312" w:cs="仿宋_GB2312"/>
          <w:b/>
          <w:bCs w:val="0"/>
          <w:color w:val="auto"/>
          <w:spacing w:val="0"/>
          <w:sz w:val="32"/>
          <w:szCs w:val="32"/>
          <w:highlight w:val="none"/>
          <w:shd w:val="clear" w:color="auto" w:fill="auto"/>
          <w:lang w:val="en-US" w:eastAsia="zh-CN"/>
        </w:rPr>
        <w:t>2.办实事，增进社会民生福祉。</w:t>
      </w:r>
      <w:r>
        <w:rPr>
          <w:rFonts w:hint="eastAsia" w:ascii="仿宋_GB2312" w:hAnsi="仿宋_GB2312" w:eastAsia="仿宋_GB2312" w:cs="仿宋_GB2312"/>
          <w:color w:val="auto"/>
          <w:spacing w:val="0"/>
          <w:sz w:val="32"/>
          <w:szCs w:val="32"/>
          <w:highlight w:val="none"/>
          <w:shd w:val="clear" w:color="auto" w:fill="auto"/>
          <w:lang w:val="en-US" w:eastAsia="zh-CN"/>
        </w:rPr>
        <w:t>切实加强普惠性、基础性、兜底性民生建设，稳步提高公共服务和社会保障水平，精细编制项目清单，加强投资控制和预算约束。</w:t>
      </w:r>
      <w:r>
        <w:rPr>
          <w:rFonts w:hint="eastAsia" w:ascii="仿宋_GB2312" w:hAnsi="仿宋_GB2312" w:eastAsia="仿宋_GB2312" w:cs="仿宋_GB2312"/>
          <w:color w:val="000000" w:themeColor="text1"/>
          <w:spacing w:val="0"/>
          <w:sz w:val="32"/>
          <w:szCs w:val="32"/>
          <w:highlight w:val="none"/>
          <w:shd w:val="clear" w:color="auto" w:fill="auto"/>
          <w:lang w:val="en-US" w:eastAsia="zh-CN"/>
          <w14:textFill>
            <w14:solidFill>
              <w14:schemeClr w14:val="tx1"/>
            </w14:solidFill>
          </w14:textFill>
        </w:rPr>
        <w:t>2025年1—6月全县民生支出为23.24亿元，占一般公共预算支出的73%，基本与上年持平，</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确保民生有保障、财政可持续</w:t>
      </w:r>
      <w:r>
        <w:rPr>
          <w:rFonts w:hint="eastAsia" w:ascii="仿宋_GB2312" w:hAnsi="仿宋_GB2312" w:eastAsia="仿宋_GB2312" w:cs="仿宋_GB2312"/>
          <w:color w:val="000000" w:themeColor="text1"/>
          <w:spacing w:val="0"/>
          <w:sz w:val="32"/>
          <w:szCs w:val="32"/>
          <w:highlight w:val="none"/>
          <w:shd w:val="clear" w:color="auto" w:fill="auto"/>
          <w:lang w:val="en-US" w:eastAsia="zh-CN"/>
          <w14:textFill>
            <w14:solidFill>
              <w14:schemeClr w14:val="tx1"/>
            </w14:solidFill>
          </w14:textFill>
        </w:rPr>
        <w:t>。</w:t>
      </w:r>
    </w:p>
    <w:p w14:paraId="10A45B87">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right="0" w:rightChars="0" w:firstLine="643" w:firstLineChars="200"/>
        <w:jc w:val="both"/>
        <w:textAlignment w:val="auto"/>
        <w:rPr>
          <w:rFonts w:hint="eastAsia" w:ascii="仿宋_GB2312" w:hAnsi="仿宋_GB2312" w:eastAsia="仿宋_GB2312" w:cs="仿宋_GB2312"/>
          <w:bCs/>
          <w:color w:val="auto"/>
          <w:spacing w:val="0"/>
          <w:sz w:val="32"/>
          <w:szCs w:val="32"/>
          <w:highlight w:val="none"/>
          <w:shd w:val="clear" w:color="auto" w:fill="auto"/>
          <w:lang w:val="en-US" w:eastAsia="zh-CN"/>
        </w:rPr>
      </w:pPr>
      <w:r>
        <w:rPr>
          <w:rFonts w:hint="eastAsia" w:ascii="仿宋_GB2312" w:hAnsi="仿宋_GB2312" w:eastAsia="仿宋_GB2312" w:cs="仿宋_GB2312"/>
          <w:b/>
          <w:bCs w:val="0"/>
          <w:color w:val="auto"/>
          <w:spacing w:val="0"/>
          <w:sz w:val="32"/>
          <w:szCs w:val="32"/>
          <w:highlight w:val="none"/>
          <w:shd w:val="clear" w:color="auto" w:fill="auto"/>
          <w:lang w:val="en-US" w:eastAsia="zh-CN"/>
        </w:rPr>
        <w:t>3.</w:t>
      </w:r>
      <w:r>
        <w:rPr>
          <w:rFonts w:hint="eastAsia" w:ascii="仿宋_GB2312" w:hAnsi="仿宋_GB2312" w:eastAsia="仿宋_GB2312" w:cs="仿宋_GB2312"/>
          <w:b/>
          <w:bCs w:val="0"/>
          <w:color w:val="auto"/>
          <w:spacing w:val="0"/>
          <w:sz w:val="32"/>
          <w:szCs w:val="32"/>
          <w:highlight w:val="none"/>
          <w:lang w:val="en-US" w:eastAsia="zh-CN"/>
        </w:rPr>
        <w:t>防风险，守牢财政安全底线。</w:t>
      </w:r>
      <w:r>
        <w:rPr>
          <w:rFonts w:hint="eastAsia" w:ascii="仿宋_GB2312" w:hAnsi="仿宋_GB2312" w:eastAsia="仿宋_GB2312" w:cs="仿宋_GB2312"/>
          <w:color w:val="auto"/>
          <w:spacing w:val="0"/>
          <w:sz w:val="32"/>
          <w:szCs w:val="32"/>
          <w:highlight w:val="none"/>
          <w:lang w:val="en-US" w:eastAsia="zh-CN"/>
        </w:rPr>
        <w:t>稳步推进存量债务化解，用好置换债券政策，科学安排化债时序。截至目前，政府法定债务余额低于下达限额，不存在逾期债务。严格按照“631机制”偿债要求，加强债务监测分析、优化债务结构、降低债务成本、落实资金来源。有序推进融资平台公司退出，持续压减融资平台公司数量。</w:t>
      </w:r>
    </w:p>
    <w:p w14:paraId="7043C874">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3" w:firstLineChars="200"/>
        <w:jc w:val="both"/>
        <w:textAlignment w:val="auto"/>
        <w:rPr>
          <w:rFonts w:hint="eastAsia" w:ascii="楷体_GB2312" w:hAnsi="楷体_GB2312" w:eastAsia="楷体_GB2312" w:cs="楷体_GB2312"/>
          <w:b/>
          <w:bCs/>
          <w:color w:val="auto"/>
          <w:spacing w:val="0"/>
          <w:sz w:val="32"/>
          <w:szCs w:val="32"/>
          <w:highlight w:val="none"/>
          <w:shd w:val="clear" w:color="auto" w:fill="auto"/>
        </w:rPr>
      </w:pPr>
      <w:r>
        <w:rPr>
          <w:rFonts w:hint="eastAsia" w:ascii="楷体_GB2312" w:hAnsi="楷体_GB2312" w:eastAsia="楷体_GB2312" w:cs="楷体_GB2312"/>
          <w:b/>
          <w:bCs/>
          <w:color w:val="auto"/>
          <w:spacing w:val="0"/>
          <w:sz w:val="32"/>
          <w:szCs w:val="32"/>
          <w:highlight w:val="none"/>
          <w:shd w:val="clear" w:color="auto" w:fill="auto"/>
        </w:rPr>
        <w:t>（三）财政运行中存在的主要问题</w:t>
      </w:r>
    </w:p>
    <w:p w14:paraId="43704057">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由于土地出让收入严重下滑、减税降费导致宏观税负下降、支柱企业产品价格回升缓慢、非税收入挖潜空间收缩、政府债务还本付息支出刚性增长、“三保”支出逐步加大等多方面因素导致财政收支矛盾突出，实现高质量发展面临诸多挑战。</w:t>
      </w:r>
    </w:p>
    <w:p w14:paraId="234323CE">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32"/>
          <w:szCs w:val="32"/>
          <w:highlight w:val="none"/>
          <w:lang w:val="en-US" w:eastAsia="zh-CN"/>
          <w14:textFill>
            <w14:solidFill>
              <w14:schemeClr w14:val="tx1"/>
            </w14:solidFill>
          </w14:textFill>
        </w:rPr>
        <w:t>1.财政收入质量不高。</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我县经济基础薄弱，产业结构单一，税收多集中在碱硝化工、有色金属等少数行业和重点企业，碱硝化工产品市场价格受供需矛盾影响持续下降，财政收入增长乏力。同时，过度依赖土地出让收入，随着房地产市场持续低迷，土地财政难以为继，财政收入稳定性受到冲击。</w:t>
      </w:r>
    </w:p>
    <w:p w14:paraId="5D4C376A">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32"/>
          <w:szCs w:val="32"/>
          <w:highlight w:val="none"/>
          <w:lang w:val="en-US" w:eastAsia="zh-CN"/>
          <w14:textFill>
            <w14:solidFill>
              <w14:schemeClr w14:val="tx1"/>
            </w14:solidFill>
          </w14:textFill>
        </w:rPr>
        <w:t>2.支出压力持续增大。</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县级财政承担着教育、医疗、社会保障等大量公共服务支出责任，各领域刚性支出有增无减。按照现在支出顺序要求，“三保”支出预算未足额安排前，其他预算一律不得安排，在目前财政省直管县的模式下，现金调度难度加大。随着收入持续下降，刚性支出不断增加，支出压力逐步提升，收支矛盾日渐尖锐。</w:t>
      </w:r>
    </w:p>
    <w:p w14:paraId="0AB6C26F">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3" w:firstLineChars="200"/>
        <w:jc w:val="both"/>
        <w:textAlignment w:val="auto"/>
        <w:rPr>
          <w:rFonts w:hint="eastAsia" w:ascii="仿宋_GB2312" w:hAnsi="仿宋_GB2312" w:eastAsia="仿宋_GB2312" w:cs="仿宋_GB2312"/>
          <w:b/>
          <w:bCs/>
          <w:spacing w:val="0"/>
          <w:sz w:val="32"/>
          <w:szCs w:val="32"/>
          <w:highlight w:val="none"/>
          <w:lang w:val="en-US" w:eastAsia="zh-CN"/>
        </w:rPr>
      </w:pPr>
      <w:r>
        <w:rPr>
          <w:rFonts w:hint="eastAsia" w:ascii="楷体_GB2312" w:hAnsi="楷体_GB2312" w:eastAsia="楷体_GB2312" w:cs="楷体_GB2312"/>
          <w:b/>
          <w:bCs/>
          <w:color w:val="000000" w:themeColor="text1"/>
          <w:spacing w:val="0"/>
          <w:sz w:val="32"/>
          <w:szCs w:val="32"/>
          <w:highlight w:val="none"/>
          <w:lang w:val="en-US" w:eastAsia="zh-CN"/>
          <w14:textFill>
            <w14:solidFill>
              <w14:schemeClr w14:val="tx1"/>
            </w14:solidFill>
          </w14:textFill>
        </w:rPr>
        <w:t>3.财会监督合力不强。</w:t>
      </w:r>
      <w:r>
        <w:rPr>
          <w:rFonts w:hint="eastAsia" w:ascii="仿宋_GB2312" w:hAnsi="仿宋_GB2312" w:eastAsia="仿宋_GB2312" w:cs="仿宋_GB2312"/>
          <w:b/>
          <w:bCs/>
          <w:color w:val="000000" w:themeColor="text1"/>
          <w:spacing w:val="0"/>
          <w:sz w:val="32"/>
          <w:szCs w:val="32"/>
          <w:highlight w:val="none"/>
          <w:lang w:val="en-US" w:eastAsia="zh-CN"/>
          <w14:textFill>
            <w14:solidFill>
              <w14:schemeClr w14:val="tx1"/>
            </w14:solidFill>
          </w14:textFill>
        </w:rPr>
        <w:t>一方面</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从监督主体看，由于各自监督的侧重点不同，有效的信息共享和工作联动机制还不够成熟，不同主体之间的工作流程衔接不够紧密，“单打独斗”的现象依然存在，连贯的监督链条尚未有效形成。</w:t>
      </w:r>
      <w:r>
        <w:rPr>
          <w:rFonts w:hint="eastAsia" w:ascii="仿宋_GB2312" w:hAnsi="仿宋_GB2312" w:eastAsia="仿宋_GB2312" w:cs="仿宋_GB2312"/>
          <w:b/>
          <w:bCs/>
          <w:color w:val="000000" w:themeColor="text1"/>
          <w:spacing w:val="0"/>
          <w:sz w:val="32"/>
          <w:szCs w:val="32"/>
          <w:highlight w:val="none"/>
          <w:lang w:val="en-US" w:eastAsia="zh-CN"/>
          <w14:textFill>
            <w14:solidFill>
              <w14:schemeClr w14:val="tx1"/>
            </w14:solidFill>
          </w14:textFill>
        </w:rPr>
        <w:t>另一方面</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社会监督力量尚未充分整合，会计师事务所、资产评估机构等社会监督力量与政府监督主体之间的协作还不够紧密，社会监督的作用未能充分发挥。</w:t>
      </w:r>
    </w:p>
    <w:p w14:paraId="79CD0557">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0" w:firstLineChars="200"/>
        <w:jc w:val="both"/>
        <w:textAlignment w:val="auto"/>
        <w:rPr>
          <w:rFonts w:hint="eastAsia"/>
          <w:lang w:val="en-US" w:eastAsia="zh-CN"/>
        </w:rPr>
      </w:pPr>
      <w:r>
        <w:rPr>
          <w:rFonts w:hint="eastAsia" w:ascii="黑体" w:hAnsi="黑体" w:eastAsia="黑体" w:cs="黑体"/>
          <w:b w:val="0"/>
          <w:bCs w:val="0"/>
          <w:color w:val="auto"/>
          <w:spacing w:val="0"/>
          <w:sz w:val="32"/>
          <w:szCs w:val="32"/>
          <w:highlight w:val="none"/>
          <w:shd w:val="clear" w:color="auto" w:fill="auto"/>
        </w:rPr>
        <w:t>四、下一步重点工作</w:t>
      </w:r>
    </w:p>
    <w:p w14:paraId="541F47DC">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半年，我们将在县委、县政府的领导下，严格执行县人大批准的预算，强化财政资源统筹，坚持党政机关过紧日子，防范化解重点领域风险，严肃财经纪律，强化财政资金绩效管理，为完成全年经济社会发展任务提供坚实支撑。</w:t>
      </w:r>
    </w:p>
    <w:p w14:paraId="4B570698">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（一）抓好财税收入组织。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税务、统计等部门衔接配合，强化部门协调联动，实现涉税信息共享，加大征管力度，堵塞征管漏洞，依法依规、实事求是组织好财政收入。规范政府非税收入征收，推进税费共治，做到应收尽收，奋力完成一般公共预算收入预期目标。</w:t>
      </w:r>
    </w:p>
    <w:p w14:paraId="2D905D93">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（二）加大资金争取力度。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围绕中央预算内投资、超长期国债、地方政府专项债券等资金投向，做好项目储备，加强争取承接，推动更多项目、资金、政策落地桐柏，力争各类政策性资金稳步增加。加强资金使用管理，加快资金支出进度，推动资金尽早发挥作用。</w:t>
      </w:r>
    </w:p>
    <w:p w14:paraId="342FC8BA">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（三）兜紧兜牢“三保”底线。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预算管理，严禁无预算、超预算拨付资金。预算执行中加强库款管理，优先保障“三保”支出需要，严格“三保”支出的第一顺序。强化财政运行监测，对趋势性、苗头性问题高度警觉，早发现、早介入、早处置，确保不发生“三保”支付风险。</w:t>
      </w:r>
    </w:p>
    <w:p w14:paraId="0E6FDC08">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（四）牢固树立过紧日子思想。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深入贯彻落实过</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“紧日子”和厉行节约反对浪费有关要求，</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对部门非刚性、非重点项目支出可压尽压、应压尽压，从严从紧控制一般性支出和“三公”经费支出。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把过“紧日子”要求作为长期坚持的基本方针，坚持“运转项目靠定额、特定项目靠排序”的原则，从严控制一般性支出。</w:t>
      </w:r>
    </w:p>
    <w:p w14:paraId="1DB886AF">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（五）强化政府债务管理。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好国家债务置换政策，严明置换工作纪律，优化专项债券使用管理，落实投向领域“负面清单”。分类推进融资平台公司改革转型，按计划压降平台数量和债务规模。持续加强全口径债务监测，强化政府支出事项和政府投资项目管理，坚决堵住违法违规举债“后门”。</w:t>
      </w:r>
    </w:p>
    <w:p w14:paraId="470DAEA1">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3" w:firstLineChars="200"/>
        <w:jc w:val="both"/>
        <w:textAlignment w:val="auto"/>
        <w:rPr>
          <w:rFonts w:hint="eastAsia"/>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（六）推进“群腐”专项整治。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明确整治目标，突出重点领域，紧紧围绕财政资金管理、使用、监督等关键环节，紧盯群众反映强烈的突出问题，重点整治在资金分配、项目审批、政府采购等方面存在的不正之风和腐败问题，压实工作责任，有针对性地开展专项检查，对发现的问题及时督促整改，切实提高财政资金使用效益。</w:t>
      </w:r>
    </w:p>
    <w:p w14:paraId="4118F1DF">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0" w:firstLineChars="200"/>
        <w:jc w:val="both"/>
        <w:textAlignment w:val="auto"/>
        <w:rPr>
          <w:rFonts w:hint="eastAsia"/>
          <w:spacing w:val="0"/>
          <w:lang w:val="en-US" w:eastAsia="zh-CN"/>
        </w:rPr>
      </w:pPr>
      <w:r>
        <w:rPr>
          <w:rFonts w:hint="eastAsia" w:ascii="仿宋_GB2312" w:hAnsi="仿宋_GB2312" w:eastAsia="仿宋_GB2312" w:cs="仿宋_GB2312"/>
          <w:color w:val="auto"/>
          <w:spacing w:val="0"/>
          <w:sz w:val="32"/>
          <w:szCs w:val="32"/>
          <w:highlight w:val="none"/>
          <w:shd w:val="clear" w:color="auto" w:fill="auto"/>
        </w:rPr>
        <w:t>主任、各位副主任、各位委员，</w:t>
      </w:r>
      <w:r>
        <w:rPr>
          <w:rFonts w:hint="eastAsia" w:ascii="仿宋_GB2312" w:hAnsi="仿宋_GB2312" w:eastAsia="仿宋_GB2312" w:cs="仿宋_GB2312"/>
          <w:color w:val="auto"/>
          <w:spacing w:val="0"/>
          <w:sz w:val="32"/>
          <w:szCs w:val="32"/>
          <w:highlight w:val="none"/>
          <w:shd w:val="clear" w:color="auto" w:fill="auto"/>
          <w:lang w:val="en-US" w:eastAsia="zh-CN"/>
        </w:rPr>
        <w:t>上半年总的来看，财政运行开局平稳</w:t>
      </w:r>
      <w:r>
        <w:rPr>
          <w:rFonts w:hint="eastAsia" w:ascii="仿宋_GB2312" w:hAnsi="仿宋_GB2312" w:eastAsia="仿宋_GB2312" w:cs="仿宋_GB2312"/>
          <w:color w:val="auto"/>
          <w:spacing w:val="0"/>
          <w:sz w:val="32"/>
          <w:szCs w:val="32"/>
          <w:highlight w:val="none"/>
          <w:shd w:val="clear" w:color="auto" w:fill="auto"/>
        </w:rPr>
        <w:t>。</w:t>
      </w:r>
      <w:r>
        <w:rPr>
          <w:rFonts w:hint="eastAsia" w:ascii="仿宋_GB2312" w:hAnsi="仿宋_GB2312" w:eastAsia="仿宋_GB2312" w:cs="仿宋_GB2312"/>
          <w:bCs/>
          <w:color w:val="auto"/>
          <w:spacing w:val="0"/>
          <w:sz w:val="32"/>
          <w:szCs w:val="32"/>
          <w:highlight w:val="none"/>
          <w:shd w:val="clear" w:color="auto" w:fill="auto"/>
        </w:rPr>
        <w:t>我们将在</w:t>
      </w:r>
      <w:r>
        <w:rPr>
          <w:rFonts w:hint="eastAsia" w:ascii="仿宋_GB2312" w:hAnsi="仿宋_GB2312" w:eastAsia="仿宋_GB2312" w:cs="仿宋_GB2312"/>
          <w:bCs/>
          <w:color w:val="auto"/>
          <w:spacing w:val="0"/>
          <w:sz w:val="32"/>
          <w:szCs w:val="32"/>
          <w:highlight w:val="none"/>
          <w:shd w:val="clear" w:color="auto" w:fill="auto"/>
          <w:lang w:eastAsia="zh-CN"/>
        </w:rPr>
        <w:t>县委、县政府</w:t>
      </w:r>
      <w:r>
        <w:rPr>
          <w:rFonts w:hint="eastAsia" w:ascii="仿宋_GB2312" w:hAnsi="仿宋_GB2312" w:eastAsia="仿宋_GB2312" w:cs="仿宋_GB2312"/>
          <w:color w:val="auto"/>
          <w:sz w:val="32"/>
          <w:szCs w:val="32"/>
          <w:highlight w:val="none"/>
          <w:u w:val="none"/>
          <w:lang w:val="en-US" w:eastAsia="zh-CN"/>
        </w:rPr>
        <w:t>的领导和县人大及其常委会的依法监督下</w:t>
      </w:r>
      <w:r>
        <w:rPr>
          <w:rFonts w:hint="eastAsia" w:ascii="仿宋_GB2312" w:hAnsi="仿宋_GB2312" w:eastAsia="仿宋_GB2312" w:cs="仿宋_GB2312"/>
          <w:bCs/>
          <w:color w:val="auto"/>
          <w:spacing w:val="0"/>
          <w:sz w:val="32"/>
          <w:szCs w:val="32"/>
          <w:highlight w:val="none"/>
          <w:shd w:val="clear" w:color="auto" w:fill="auto"/>
          <w:lang w:val="en-US" w:eastAsia="zh-CN"/>
        </w:rPr>
        <w:t>，</w:t>
      </w:r>
      <w:r>
        <w:rPr>
          <w:rFonts w:hint="eastAsia" w:ascii="仿宋_GB2312" w:hAnsi="仿宋_GB2312" w:eastAsia="仿宋_GB2312" w:cs="仿宋_GB2312"/>
          <w:bCs/>
          <w:color w:val="auto"/>
          <w:spacing w:val="0"/>
          <w:sz w:val="32"/>
          <w:szCs w:val="32"/>
          <w:highlight w:val="none"/>
          <w:shd w:val="clear" w:color="auto" w:fill="auto"/>
        </w:rPr>
        <w:t>按照本次会议审议意见，</w:t>
      </w:r>
      <w:r>
        <w:rPr>
          <w:rFonts w:hint="eastAsia" w:ascii="仿宋_GB2312" w:hAnsi="仿宋_GB2312" w:eastAsia="仿宋_GB2312" w:cs="仿宋_GB2312"/>
          <w:bCs/>
          <w:color w:val="auto"/>
          <w:spacing w:val="0"/>
          <w:sz w:val="32"/>
          <w:szCs w:val="32"/>
          <w:highlight w:val="none"/>
          <w:shd w:val="clear" w:color="auto" w:fill="auto"/>
          <w:lang w:val="en-US" w:eastAsia="zh-CN"/>
        </w:rPr>
        <w:t>有</w:t>
      </w:r>
      <w:r>
        <w:rPr>
          <w:rFonts w:hint="eastAsia" w:ascii="仿宋_GB2312" w:hAnsi="仿宋_GB2312" w:eastAsia="仿宋_GB2312" w:cs="仿宋_GB2312"/>
          <w:color w:val="auto"/>
          <w:spacing w:val="0"/>
          <w:sz w:val="32"/>
          <w:szCs w:val="32"/>
          <w:highlight w:val="none"/>
          <w:shd w:val="clear" w:color="auto" w:fill="auto"/>
          <w:lang w:val="en-US" w:eastAsia="zh-CN"/>
        </w:rPr>
        <w:t>针对性地改进和加强财政预算工作，统</w:t>
      </w:r>
      <w:r>
        <w:rPr>
          <w:rFonts w:hint="eastAsia" w:ascii="仿宋_GB2312" w:hAnsi="仿宋_GB2312" w:eastAsia="仿宋_GB2312" w:cs="仿宋_GB2312"/>
          <w:color w:val="auto"/>
          <w:spacing w:val="-6"/>
          <w:sz w:val="32"/>
          <w:szCs w:val="32"/>
          <w:highlight w:val="none"/>
          <w:shd w:val="clear" w:color="auto" w:fill="auto"/>
          <w:lang w:val="en-US" w:eastAsia="zh-CN"/>
        </w:rPr>
        <w:t>筹高质量发展和高水平安全，</w:t>
      </w:r>
      <w:r>
        <w:rPr>
          <w:rFonts w:hint="eastAsia" w:ascii="仿宋_GB2312" w:hAnsi="仿宋_GB2312" w:eastAsia="仿宋_GB2312" w:cs="仿宋_GB2312"/>
          <w:color w:val="auto"/>
          <w:sz w:val="32"/>
          <w:szCs w:val="32"/>
        </w:rPr>
        <w:t>以永不懈怠的精神推进</w:t>
      </w:r>
      <w:r>
        <w:rPr>
          <w:rFonts w:hint="eastAsia" w:ascii="仿宋_GB2312" w:hAnsi="仿宋_GB2312" w:eastAsia="仿宋_GB2312" w:cs="仿宋_GB2312"/>
          <w:color w:val="auto"/>
          <w:sz w:val="32"/>
          <w:szCs w:val="32"/>
          <w:lang w:val="en-US" w:eastAsia="zh-CN"/>
        </w:rPr>
        <w:t>县域经济</w:t>
      </w:r>
      <w:r>
        <w:rPr>
          <w:rFonts w:hint="eastAsia" w:ascii="仿宋_GB2312" w:hAnsi="仿宋_GB2312" w:eastAsia="仿宋_GB2312" w:cs="仿宋_GB2312"/>
          <w:color w:val="auto"/>
          <w:sz w:val="32"/>
          <w:szCs w:val="32"/>
        </w:rPr>
        <w:t>高质量发</w:t>
      </w:r>
      <w:r>
        <w:rPr>
          <w:rFonts w:hint="eastAsia" w:ascii="仿宋_GB2312" w:hAnsi="仿宋_GB2312" w:eastAsia="仿宋_GB2312" w:cs="仿宋_GB2312"/>
          <w:color w:val="auto"/>
          <w:sz w:val="32"/>
          <w:szCs w:val="32"/>
          <w:highlight w:val="none"/>
          <w:u w:val="none"/>
          <w:lang w:val="en-US" w:eastAsia="zh-CN"/>
        </w:rPr>
        <w:t>展</w:t>
      </w:r>
      <w:r>
        <w:rPr>
          <w:rFonts w:hint="eastAsia" w:ascii="仿宋_GB2312" w:hAnsi="仿宋_GB2312" w:eastAsia="仿宋_GB2312" w:cs="仿宋_GB2312"/>
          <w:color w:val="auto"/>
          <w:spacing w:val="-6"/>
          <w:sz w:val="32"/>
          <w:szCs w:val="32"/>
          <w:highlight w:val="none"/>
          <w:shd w:val="clear" w:color="auto" w:fill="auto"/>
          <w:lang w:val="en-US" w:eastAsia="zh-CN"/>
        </w:rPr>
        <w:t>！</w:t>
      </w:r>
    </w:p>
    <w:p w14:paraId="2080271E">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val="0"/>
        <w:spacing w:beforeAutospacing="0" w:line="560" w:lineRule="exact"/>
        <w:ind w:left="0" w:leftChars="0" w:right="0" w:rightChars="0" w:firstLine="640" w:firstLineChars="200"/>
        <w:jc w:val="both"/>
        <w:textAlignment w:val="auto"/>
      </w:pPr>
      <w:r>
        <w:rPr>
          <w:rFonts w:hint="eastAsia" w:ascii="仿宋_GB2312" w:hAnsi="仿宋_GB2312" w:eastAsia="仿宋_GB2312" w:cs="仿宋_GB2312"/>
          <w:color w:val="auto"/>
          <w:spacing w:val="0"/>
          <w:sz w:val="32"/>
          <w:szCs w:val="32"/>
          <w:highlight w:val="none"/>
          <w:shd w:val="clear" w:color="auto" w:fill="auto"/>
        </w:rPr>
        <w:t>以上报告，请予审议。</w:t>
      </w:r>
    </w:p>
    <w:sectPr>
      <w:footerReference r:id="rId3" w:type="default"/>
      <w:pgSz w:w="11906" w:h="16838"/>
      <w:pgMar w:top="1984" w:right="1701" w:bottom="1701" w:left="1701"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6B6A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1BDE0">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51BDE0">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06395"/>
    <w:multiLevelType w:val="singleLevel"/>
    <w:tmpl w:val="FFC063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5DAB"/>
    <w:rsid w:val="007E1C73"/>
    <w:rsid w:val="01062EEC"/>
    <w:rsid w:val="035241C7"/>
    <w:rsid w:val="05544226"/>
    <w:rsid w:val="05F57035"/>
    <w:rsid w:val="08A94889"/>
    <w:rsid w:val="08C952CD"/>
    <w:rsid w:val="09736C45"/>
    <w:rsid w:val="09956B0A"/>
    <w:rsid w:val="09DF764C"/>
    <w:rsid w:val="0A261F09"/>
    <w:rsid w:val="0BB05F2E"/>
    <w:rsid w:val="0BE45BD8"/>
    <w:rsid w:val="0CD24DC7"/>
    <w:rsid w:val="0DCB34F3"/>
    <w:rsid w:val="0EF13B0C"/>
    <w:rsid w:val="11D84431"/>
    <w:rsid w:val="11D97647"/>
    <w:rsid w:val="12797E16"/>
    <w:rsid w:val="13984589"/>
    <w:rsid w:val="14FB46BE"/>
    <w:rsid w:val="16455DC8"/>
    <w:rsid w:val="165B2EAF"/>
    <w:rsid w:val="171C7B31"/>
    <w:rsid w:val="172B47A8"/>
    <w:rsid w:val="17A32DEB"/>
    <w:rsid w:val="197639DB"/>
    <w:rsid w:val="1A147A6B"/>
    <w:rsid w:val="1A7F369B"/>
    <w:rsid w:val="1AA80E44"/>
    <w:rsid w:val="1EE50723"/>
    <w:rsid w:val="22AA6368"/>
    <w:rsid w:val="22C51CD6"/>
    <w:rsid w:val="237B12DF"/>
    <w:rsid w:val="23C16AD3"/>
    <w:rsid w:val="24757928"/>
    <w:rsid w:val="278A5C29"/>
    <w:rsid w:val="28635FD6"/>
    <w:rsid w:val="28D50537"/>
    <w:rsid w:val="29DC1B07"/>
    <w:rsid w:val="29DD7191"/>
    <w:rsid w:val="2BB92785"/>
    <w:rsid w:val="2C1F083A"/>
    <w:rsid w:val="2DF16206"/>
    <w:rsid w:val="2F6B3EFC"/>
    <w:rsid w:val="2FCA5E76"/>
    <w:rsid w:val="30332B06"/>
    <w:rsid w:val="339830F6"/>
    <w:rsid w:val="360056BD"/>
    <w:rsid w:val="374E6478"/>
    <w:rsid w:val="37C450D4"/>
    <w:rsid w:val="3A1840CC"/>
    <w:rsid w:val="3A5E4C24"/>
    <w:rsid w:val="3CB74C32"/>
    <w:rsid w:val="3D7B5AED"/>
    <w:rsid w:val="3DC17561"/>
    <w:rsid w:val="3F1104B7"/>
    <w:rsid w:val="3FD66EED"/>
    <w:rsid w:val="415723CD"/>
    <w:rsid w:val="42114C71"/>
    <w:rsid w:val="42641245"/>
    <w:rsid w:val="42664FBD"/>
    <w:rsid w:val="4292190E"/>
    <w:rsid w:val="43027A74"/>
    <w:rsid w:val="440525B4"/>
    <w:rsid w:val="4426485F"/>
    <w:rsid w:val="449B1EA4"/>
    <w:rsid w:val="44FE3CB0"/>
    <w:rsid w:val="45051562"/>
    <w:rsid w:val="452D0B1A"/>
    <w:rsid w:val="454B04EE"/>
    <w:rsid w:val="456A1E53"/>
    <w:rsid w:val="46D324F5"/>
    <w:rsid w:val="46DA7D28"/>
    <w:rsid w:val="47505828"/>
    <w:rsid w:val="48440BB5"/>
    <w:rsid w:val="49FF6C47"/>
    <w:rsid w:val="4C2C0066"/>
    <w:rsid w:val="4CB57E4F"/>
    <w:rsid w:val="4D113D78"/>
    <w:rsid w:val="4DD252B5"/>
    <w:rsid w:val="52662470"/>
    <w:rsid w:val="52862B12"/>
    <w:rsid w:val="53112ACE"/>
    <w:rsid w:val="53206151"/>
    <w:rsid w:val="533C2D4C"/>
    <w:rsid w:val="536E3AB8"/>
    <w:rsid w:val="53EE6BC1"/>
    <w:rsid w:val="559E2FE6"/>
    <w:rsid w:val="57B41ECF"/>
    <w:rsid w:val="58AB1524"/>
    <w:rsid w:val="58B53501"/>
    <w:rsid w:val="58CD6588"/>
    <w:rsid w:val="597A4752"/>
    <w:rsid w:val="59F82547"/>
    <w:rsid w:val="5ACD5782"/>
    <w:rsid w:val="5AF80325"/>
    <w:rsid w:val="5C8F3124"/>
    <w:rsid w:val="5D1C479E"/>
    <w:rsid w:val="5E3A63C3"/>
    <w:rsid w:val="5E9F11E3"/>
    <w:rsid w:val="64DE1695"/>
    <w:rsid w:val="651463C7"/>
    <w:rsid w:val="65D71AEC"/>
    <w:rsid w:val="661A3845"/>
    <w:rsid w:val="674543D1"/>
    <w:rsid w:val="674C11B0"/>
    <w:rsid w:val="6910451E"/>
    <w:rsid w:val="69270753"/>
    <w:rsid w:val="69450BA7"/>
    <w:rsid w:val="6C553829"/>
    <w:rsid w:val="6D631F76"/>
    <w:rsid w:val="6E3851B0"/>
    <w:rsid w:val="704608AC"/>
    <w:rsid w:val="70673B2B"/>
    <w:rsid w:val="70B50190"/>
    <w:rsid w:val="72752FD5"/>
    <w:rsid w:val="729F626C"/>
    <w:rsid w:val="72DB435C"/>
    <w:rsid w:val="741C69DA"/>
    <w:rsid w:val="76EE66F5"/>
    <w:rsid w:val="76FB522F"/>
    <w:rsid w:val="77365903"/>
    <w:rsid w:val="77D52578"/>
    <w:rsid w:val="7B57260D"/>
    <w:rsid w:val="7BF2699E"/>
    <w:rsid w:val="7D37755F"/>
    <w:rsid w:val="7E1E4E5B"/>
    <w:rsid w:val="7E3239CA"/>
    <w:rsid w:val="7E3A287F"/>
    <w:rsid w:val="7EFB2E8B"/>
    <w:rsid w:val="7F5A3CB1"/>
    <w:rsid w:val="7F837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ind w:firstLine="643" w:firstLineChars="200"/>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before="100" w:beforeAutospacing="1"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paragraph" w:customStyle="1" w:styleId="10">
    <w:name w:val="Normal Indent1"/>
    <w:basedOn w:val="1"/>
    <w:autoRedefine/>
    <w:qFormat/>
    <w:uiPriority w:val="0"/>
    <w:pPr>
      <w:spacing w:line="660" w:lineRule="exact"/>
      <w:ind w:firstLine="720" w:firstLineChars="200"/>
    </w:pPr>
    <w:rPr>
      <w:rFonts w:ascii="Times New Roman" w:hAnsi="Times New Roman" w:eastAsia="楷体_GB2312"/>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5474</Words>
  <Characters>5956</Characters>
  <Lines>0</Lines>
  <Paragraphs>0</Paragraphs>
  <TotalTime>1</TotalTime>
  <ScaleCrop>false</ScaleCrop>
  <LinksUpToDate>false</LinksUpToDate>
  <CharactersWithSpaces>5958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2022-01-11T00:03:00Z</dcterms:created>
  <dc:creator>DELL</dc:creator>
  <cp:lastModifiedBy>清风</cp:lastModifiedBy>
  <cp:lastPrinted>2025-08-04T00:41:00Z</cp:lastPrinted>
  <dcterms:modified xsi:type="dcterms:W3CDTF">2025-09-04T02:47:24Z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075C6F12E5D4442381FC12A8A8743DEE_13</vt:lpwstr>
  </property>
  <property fmtid="{D5CDD505-2E9C-101B-9397-08002B2CF9AE}" pid="4" name="KSOTemplateDocerSaveRecord">
    <vt:lpwstr>eyJoZGlkIjoiY2JlMmE5MTJmYjY3ODU5MTU0ZjU1MzJiMjM2OTk5M2UiLCJ1c2VySWQiOiIyOTIzNTU4MjIifQ==</vt:lpwstr>
  </property>
</Properties>
</file>