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27F352">
      <w:pPr>
        <w:pStyle w:val="3"/>
        <w:keepNext w:val="0"/>
        <w:keepLines w:val="0"/>
        <w:widowControl/>
        <w:suppressLineNumbers w:val="0"/>
        <w:spacing w:before="0" w:beforeAutospacing="0" w:after="0" w:afterAutospacing="0" w:line="640" w:lineRule="atLeast"/>
        <w:ind w:left="0" w:right="0" w:firstLine="0"/>
        <w:jc w:val="both"/>
        <w:rPr>
          <w:rFonts w:hint="default" w:ascii="Times New Roman" w:hAnsi="Times New Roman" w:cs="Times New Roman"/>
          <w:i w:val="0"/>
          <w:iCs w:val="0"/>
          <w:caps w:val="0"/>
          <w:color w:val="000000"/>
          <w:spacing w:val="0"/>
          <w:sz w:val="21"/>
          <w:szCs w:val="21"/>
        </w:rPr>
      </w:pPr>
      <w:r>
        <w:rPr>
          <w:rFonts w:ascii="黑体" w:hAnsi="宋体" w:eastAsia="黑体" w:cs="黑体"/>
          <w:i w:val="0"/>
          <w:iCs w:val="0"/>
          <w:caps w:val="0"/>
          <w:color w:val="000000"/>
          <w:spacing w:val="0"/>
          <w:sz w:val="34"/>
          <w:szCs w:val="34"/>
        </w:rPr>
        <w:t>附件2</w:t>
      </w:r>
    </w:p>
    <w:p w14:paraId="147692CE">
      <w:pPr>
        <w:pStyle w:val="3"/>
        <w:keepNext w:val="0"/>
        <w:keepLines w:val="0"/>
        <w:widowControl/>
        <w:suppressLineNumbers w:val="0"/>
        <w:spacing w:before="0" w:beforeAutospacing="0" w:after="0" w:afterAutospacing="0" w:line="368" w:lineRule="atLeast"/>
        <w:ind w:left="0" w:right="0" w:firstLine="0"/>
        <w:jc w:val="center"/>
        <w:rPr>
          <w:rFonts w:hint="default" w:ascii="Times New Roman" w:hAnsi="Times New Roman" w:cs="Times New Roman"/>
          <w:i w:val="0"/>
          <w:iCs w:val="0"/>
          <w:caps w:val="0"/>
          <w:color w:val="000000"/>
          <w:spacing w:val="0"/>
          <w:sz w:val="21"/>
          <w:szCs w:val="21"/>
        </w:rPr>
      </w:pPr>
      <w:r>
        <w:rPr>
          <w:rFonts w:ascii="方正小标宋简体" w:hAnsi="方正小标宋简体" w:eastAsia="方正小标宋简体" w:cs="方正小标宋简体"/>
          <w:i w:val="0"/>
          <w:iCs w:val="0"/>
          <w:caps w:val="0"/>
          <w:color w:val="000000"/>
          <w:spacing w:val="0"/>
          <w:sz w:val="44"/>
          <w:szCs w:val="44"/>
        </w:rPr>
        <w:t>桐柏县农业农村局行政职权清单</w:t>
      </w:r>
    </w:p>
    <w:p w14:paraId="65E631E2">
      <w:pPr>
        <w:pStyle w:val="3"/>
        <w:keepNext w:val="0"/>
        <w:keepLines w:val="0"/>
        <w:widowControl/>
        <w:suppressLineNumbers w:val="0"/>
        <w:spacing w:before="0" w:beforeAutospacing="0" w:after="0" w:afterAutospacing="0" w:line="450" w:lineRule="atLeast"/>
        <w:ind w:left="0" w:right="0" w:firstLine="0"/>
        <w:jc w:val="left"/>
        <w:textAlignment w:val="baseline"/>
        <w:rPr>
          <w:rFonts w:hint="default" w:ascii="Times New Roman" w:hAnsi="Times New Roman" w:cs="Times New Roman"/>
          <w:i w:val="0"/>
          <w:iCs w:val="0"/>
          <w:caps w:val="0"/>
          <w:color w:val="000000"/>
          <w:spacing w:val="0"/>
          <w:sz w:val="21"/>
          <w:szCs w:val="21"/>
        </w:rPr>
      </w:pPr>
      <w:r>
        <w:rPr>
          <w:rStyle w:val="6"/>
          <w:rFonts w:ascii="楷体" w:hAnsi="楷体" w:eastAsia="楷体" w:cs="楷体"/>
          <w:i w:val="0"/>
          <w:iCs w:val="0"/>
          <w:caps w:val="0"/>
          <w:color w:val="000000"/>
          <w:spacing w:val="0"/>
          <w:sz w:val="32"/>
          <w:szCs w:val="32"/>
          <w:vertAlign w:val="baseline"/>
        </w:rPr>
        <w:t>一、行政许可类（15项）</w:t>
      </w:r>
    </w:p>
    <w:tbl>
      <w:tblPr>
        <w:tblpPr w:vertAnchor="text" w:tblpXSpec="left"/>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349"/>
        <w:gridCol w:w="490"/>
        <w:gridCol w:w="2173"/>
        <w:gridCol w:w="470"/>
        <w:gridCol w:w="359"/>
        <w:gridCol w:w="419"/>
        <w:gridCol w:w="771"/>
        <w:gridCol w:w="306"/>
        <w:gridCol w:w="748"/>
        <w:gridCol w:w="447"/>
        <w:gridCol w:w="421"/>
        <w:gridCol w:w="522"/>
        <w:gridCol w:w="383"/>
        <w:gridCol w:w="478"/>
      </w:tblGrid>
      <w:tr w14:paraId="38ACE65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15" w:hRule="atLeast"/>
        </w:trPr>
        <w:tc>
          <w:tcPr>
            <w:tcW w:w="471" w:type="dxa"/>
            <w:vMerge w:val="restart"/>
            <w:tcBorders>
              <w:top w:val="single" w:color="auto" w:sz="8" w:space="0"/>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06067F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序号</w:t>
            </w:r>
          </w:p>
        </w:tc>
        <w:tc>
          <w:tcPr>
            <w:tcW w:w="660" w:type="dxa"/>
            <w:vMerge w:val="restart"/>
            <w:tcBorders>
              <w:top w:val="single" w:color="auto" w:sz="8" w:space="0"/>
              <w:left w:val="nil"/>
              <w:bottom w:val="single" w:color="auto" w:sz="8" w:space="0"/>
              <w:right w:val="single" w:color="auto" w:sz="8" w:space="0"/>
            </w:tcBorders>
            <w:shd w:val="clear"/>
            <w:tcMar>
              <w:top w:w="15" w:type="dxa"/>
              <w:left w:w="15" w:type="dxa"/>
              <w:bottom w:w="15" w:type="dxa"/>
              <w:right w:w="15" w:type="dxa"/>
            </w:tcMar>
            <w:vAlign w:val="center"/>
          </w:tcPr>
          <w:p w14:paraId="0BFB38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项目名称</w:t>
            </w:r>
          </w:p>
        </w:tc>
        <w:tc>
          <w:tcPr>
            <w:tcW w:w="5512" w:type="dxa"/>
            <w:vMerge w:val="restart"/>
            <w:tcBorders>
              <w:top w:val="single" w:color="auto" w:sz="8" w:space="0"/>
              <w:left w:val="nil"/>
              <w:bottom w:val="single" w:color="auto" w:sz="8" w:space="0"/>
              <w:right w:val="single" w:color="auto" w:sz="8" w:space="0"/>
            </w:tcBorders>
            <w:shd w:val="clear"/>
            <w:tcMar>
              <w:top w:w="15" w:type="dxa"/>
              <w:left w:w="15" w:type="dxa"/>
              <w:bottom w:w="15" w:type="dxa"/>
              <w:right w:w="15" w:type="dxa"/>
            </w:tcMar>
            <w:vAlign w:val="center"/>
          </w:tcPr>
          <w:p w14:paraId="4A41A7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实施依据</w:t>
            </w:r>
          </w:p>
        </w:tc>
        <w:tc>
          <w:tcPr>
            <w:tcW w:w="525" w:type="dxa"/>
            <w:vMerge w:val="restart"/>
            <w:tcBorders>
              <w:top w:val="single" w:color="auto" w:sz="8" w:space="0"/>
              <w:left w:val="nil"/>
              <w:bottom w:val="single" w:color="auto" w:sz="8" w:space="0"/>
              <w:right w:val="single" w:color="auto" w:sz="8" w:space="0"/>
            </w:tcBorders>
            <w:shd w:val="clear"/>
            <w:tcMar>
              <w:top w:w="15" w:type="dxa"/>
              <w:left w:w="15" w:type="dxa"/>
              <w:bottom w:w="15" w:type="dxa"/>
              <w:right w:w="15" w:type="dxa"/>
            </w:tcMar>
            <w:vAlign w:val="center"/>
          </w:tcPr>
          <w:p w14:paraId="17944E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实施对象</w:t>
            </w:r>
          </w:p>
        </w:tc>
        <w:tc>
          <w:tcPr>
            <w:tcW w:w="510" w:type="dxa"/>
            <w:vMerge w:val="restart"/>
            <w:tcBorders>
              <w:top w:val="single" w:color="auto" w:sz="8" w:space="0"/>
              <w:left w:val="nil"/>
              <w:bottom w:val="single" w:color="auto" w:sz="8" w:space="0"/>
              <w:right w:val="single" w:color="auto" w:sz="8" w:space="0"/>
            </w:tcBorders>
            <w:shd w:val="clear"/>
            <w:tcMar>
              <w:top w:w="15" w:type="dxa"/>
              <w:left w:w="15" w:type="dxa"/>
              <w:bottom w:w="15" w:type="dxa"/>
              <w:right w:w="15" w:type="dxa"/>
            </w:tcMar>
            <w:vAlign w:val="center"/>
          </w:tcPr>
          <w:p w14:paraId="258AB9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责任科室</w:t>
            </w:r>
          </w:p>
        </w:tc>
        <w:tc>
          <w:tcPr>
            <w:tcW w:w="736" w:type="dxa"/>
            <w:vMerge w:val="restart"/>
            <w:tcBorders>
              <w:top w:val="single" w:color="auto" w:sz="8" w:space="0"/>
              <w:left w:val="nil"/>
              <w:bottom w:val="single" w:color="auto" w:sz="8" w:space="0"/>
              <w:right w:val="single" w:color="auto" w:sz="8" w:space="0"/>
            </w:tcBorders>
            <w:shd w:val="clear"/>
            <w:tcMar>
              <w:top w:w="15" w:type="dxa"/>
              <w:left w:w="15" w:type="dxa"/>
              <w:bottom w:w="15" w:type="dxa"/>
              <w:right w:w="15" w:type="dxa"/>
            </w:tcMar>
            <w:vAlign w:val="center"/>
          </w:tcPr>
          <w:p w14:paraId="2CB216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其他共同审批部门</w:t>
            </w:r>
          </w:p>
        </w:tc>
        <w:tc>
          <w:tcPr>
            <w:tcW w:w="2279" w:type="dxa"/>
            <w:gridSpan w:val="3"/>
            <w:tcBorders>
              <w:top w:val="single" w:color="auto" w:sz="8" w:space="0"/>
              <w:left w:val="nil"/>
              <w:bottom w:val="single" w:color="auto" w:sz="8" w:space="0"/>
              <w:right w:val="single" w:color="auto" w:sz="8" w:space="0"/>
            </w:tcBorders>
            <w:shd w:val="clear"/>
            <w:tcMar>
              <w:top w:w="15" w:type="dxa"/>
              <w:left w:w="15" w:type="dxa"/>
              <w:bottom w:w="15" w:type="dxa"/>
              <w:right w:w="15" w:type="dxa"/>
            </w:tcMar>
            <w:vAlign w:val="center"/>
          </w:tcPr>
          <w:p w14:paraId="4FED2E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时限要求</w:t>
            </w:r>
          </w:p>
        </w:tc>
        <w:tc>
          <w:tcPr>
            <w:tcW w:w="845" w:type="dxa"/>
            <w:vMerge w:val="restart"/>
            <w:tcBorders>
              <w:top w:val="single" w:color="auto" w:sz="8" w:space="0"/>
              <w:left w:val="nil"/>
              <w:bottom w:val="single" w:color="auto" w:sz="8" w:space="0"/>
              <w:right w:val="single" w:color="auto" w:sz="8" w:space="0"/>
            </w:tcBorders>
            <w:shd w:val="clear"/>
            <w:tcMar>
              <w:top w:w="15" w:type="dxa"/>
              <w:left w:w="15" w:type="dxa"/>
              <w:bottom w:w="15" w:type="dxa"/>
              <w:right w:w="15" w:type="dxa"/>
            </w:tcMar>
            <w:vAlign w:val="center"/>
          </w:tcPr>
          <w:p w14:paraId="14645D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收费</w:t>
            </w:r>
          </w:p>
          <w:p w14:paraId="673721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情况</w:t>
            </w:r>
          </w:p>
        </w:tc>
        <w:tc>
          <w:tcPr>
            <w:tcW w:w="745" w:type="dxa"/>
            <w:vMerge w:val="restart"/>
            <w:tcBorders>
              <w:top w:val="single" w:color="auto" w:sz="8" w:space="0"/>
              <w:left w:val="nil"/>
              <w:bottom w:val="single" w:color="auto" w:sz="8" w:space="0"/>
              <w:right w:val="single" w:color="auto" w:sz="8" w:space="0"/>
            </w:tcBorders>
            <w:shd w:val="clear"/>
            <w:tcMar>
              <w:top w:w="15" w:type="dxa"/>
              <w:left w:w="15" w:type="dxa"/>
              <w:bottom w:w="15" w:type="dxa"/>
              <w:right w:w="15" w:type="dxa"/>
            </w:tcMar>
            <w:vAlign w:val="center"/>
          </w:tcPr>
          <w:p w14:paraId="61802A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是否有数量限制</w:t>
            </w:r>
          </w:p>
        </w:tc>
        <w:tc>
          <w:tcPr>
            <w:tcW w:w="780" w:type="dxa"/>
            <w:vMerge w:val="restart"/>
            <w:tcBorders>
              <w:top w:val="single" w:color="auto" w:sz="8" w:space="0"/>
              <w:left w:val="nil"/>
              <w:bottom w:val="single" w:color="auto" w:sz="8" w:space="0"/>
              <w:right w:val="single" w:color="auto" w:sz="8" w:space="0"/>
            </w:tcBorders>
            <w:shd w:val="clear"/>
            <w:tcMar>
              <w:top w:w="15" w:type="dxa"/>
              <w:left w:w="15" w:type="dxa"/>
              <w:bottom w:w="15" w:type="dxa"/>
              <w:right w:w="15" w:type="dxa"/>
            </w:tcMar>
            <w:vAlign w:val="center"/>
          </w:tcPr>
          <w:p w14:paraId="68F0C3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是否需要下级初 审</w:t>
            </w:r>
          </w:p>
          <w:p w14:paraId="00EBD8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（审核）</w:t>
            </w:r>
          </w:p>
        </w:tc>
        <w:tc>
          <w:tcPr>
            <w:tcW w:w="600" w:type="dxa"/>
            <w:vMerge w:val="restart"/>
            <w:tcBorders>
              <w:top w:val="single" w:color="auto" w:sz="8" w:space="0"/>
              <w:left w:val="nil"/>
              <w:bottom w:val="single" w:color="auto" w:sz="8" w:space="0"/>
              <w:right w:val="single" w:color="auto" w:sz="8" w:space="0"/>
            </w:tcBorders>
            <w:shd w:val="clear"/>
            <w:tcMar>
              <w:top w:w="15" w:type="dxa"/>
              <w:left w:w="15" w:type="dxa"/>
              <w:bottom w:w="15" w:type="dxa"/>
              <w:right w:w="15" w:type="dxa"/>
            </w:tcMar>
            <w:vAlign w:val="center"/>
          </w:tcPr>
          <w:p w14:paraId="4EB2BA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前置</w:t>
            </w:r>
          </w:p>
          <w:p w14:paraId="230FB7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条件</w:t>
            </w:r>
          </w:p>
        </w:tc>
        <w:tc>
          <w:tcPr>
            <w:tcW w:w="960" w:type="dxa"/>
            <w:vMerge w:val="restart"/>
            <w:tcBorders>
              <w:top w:val="single" w:color="auto" w:sz="8" w:space="0"/>
              <w:left w:val="nil"/>
              <w:bottom w:val="single" w:color="auto" w:sz="8" w:space="0"/>
              <w:right w:val="single" w:color="auto" w:sz="8" w:space="0"/>
            </w:tcBorders>
            <w:shd w:val="clear"/>
            <w:tcMar>
              <w:top w:w="15" w:type="dxa"/>
              <w:left w:w="15" w:type="dxa"/>
              <w:bottom w:w="15" w:type="dxa"/>
              <w:right w:w="15" w:type="dxa"/>
            </w:tcMar>
            <w:vAlign w:val="center"/>
          </w:tcPr>
          <w:p w14:paraId="03A370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调整意见</w:t>
            </w:r>
          </w:p>
          <w:p w14:paraId="090AF6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及理由</w:t>
            </w:r>
          </w:p>
        </w:tc>
      </w:tr>
      <w:tr w14:paraId="7C62C24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92" w:hRule="atLeast"/>
        </w:trPr>
        <w:tc>
          <w:tcPr>
            <w:tcW w:w="471" w:type="dxa"/>
            <w:vMerge w:val="continue"/>
            <w:tcBorders>
              <w:top w:val="single" w:color="auto" w:sz="8" w:space="0"/>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2F31ABA4">
            <w:pPr>
              <w:rPr>
                <w:rFonts w:hint="eastAsia" w:ascii="sans-serif" w:hAnsi="sans-serif" w:eastAsia="sans-serif" w:cs="sans-serif"/>
                <w:i w:val="0"/>
                <w:iCs w:val="0"/>
                <w:caps w:val="0"/>
                <w:color w:val="000000"/>
                <w:spacing w:val="0"/>
                <w:sz w:val="24"/>
                <w:szCs w:val="24"/>
              </w:rPr>
            </w:pPr>
          </w:p>
        </w:tc>
        <w:tc>
          <w:tcPr>
            <w:tcW w:w="660" w:type="dxa"/>
            <w:vMerge w:val="continue"/>
            <w:tcBorders>
              <w:top w:val="single" w:color="auto" w:sz="8" w:space="0"/>
              <w:left w:val="nil"/>
              <w:bottom w:val="single" w:color="auto" w:sz="8" w:space="0"/>
              <w:right w:val="single" w:color="auto" w:sz="8" w:space="0"/>
            </w:tcBorders>
            <w:shd w:val="clear"/>
            <w:tcMar>
              <w:top w:w="15" w:type="dxa"/>
              <w:left w:w="15" w:type="dxa"/>
              <w:bottom w:w="15" w:type="dxa"/>
              <w:right w:w="15" w:type="dxa"/>
            </w:tcMar>
            <w:vAlign w:val="center"/>
          </w:tcPr>
          <w:p w14:paraId="46C66145">
            <w:pPr>
              <w:rPr>
                <w:rFonts w:hint="default" w:ascii="sans-serif" w:hAnsi="sans-serif" w:eastAsia="sans-serif" w:cs="sans-serif"/>
                <w:i w:val="0"/>
                <w:iCs w:val="0"/>
                <w:caps w:val="0"/>
                <w:color w:val="000000"/>
                <w:spacing w:val="0"/>
                <w:sz w:val="24"/>
                <w:szCs w:val="24"/>
              </w:rPr>
            </w:pPr>
          </w:p>
        </w:tc>
        <w:tc>
          <w:tcPr>
            <w:tcW w:w="5512" w:type="dxa"/>
            <w:vMerge w:val="continue"/>
            <w:tcBorders>
              <w:top w:val="single" w:color="auto" w:sz="8" w:space="0"/>
              <w:left w:val="nil"/>
              <w:bottom w:val="single" w:color="auto" w:sz="8" w:space="0"/>
              <w:right w:val="single" w:color="auto" w:sz="8" w:space="0"/>
            </w:tcBorders>
            <w:shd w:val="clear"/>
            <w:tcMar>
              <w:top w:w="15" w:type="dxa"/>
              <w:left w:w="15" w:type="dxa"/>
              <w:bottom w:w="15" w:type="dxa"/>
              <w:right w:w="15" w:type="dxa"/>
            </w:tcMar>
            <w:vAlign w:val="center"/>
          </w:tcPr>
          <w:p w14:paraId="0A2E66BD">
            <w:pPr>
              <w:rPr>
                <w:rFonts w:hint="default" w:ascii="sans-serif" w:hAnsi="sans-serif" w:eastAsia="sans-serif" w:cs="sans-serif"/>
                <w:i w:val="0"/>
                <w:iCs w:val="0"/>
                <w:caps w:val="0"/>
                <w:color w:val="000000"/>
                <w:spacing w:val="0"/>
                <w:sz w:val="24"/>
                <w:szCs w:val="24"/>
              </w:rPr>
            </w:pPr>
          </w:p>
        </w:tc>
        <w:tc>
          <w:tcPr>
            <w:tcW w:w="525" w:type="dxa"/>
            <w:vMerge w:val="continue"/>
            <w:tcBorders>
              <w:top w:val="single" w:color="auto" w:sz="8" w:space="0"/>
              <w:left w:val="nil"/>
              <w:bottom w:val="single" w:color="auto" w:sz="8" w:space="0"/>
              <w:right w:val="single" w:color="auto" w:sz="8" w:space="0"/>
            </w:tcBorders>
            <w:shd w:val="clear"/>
            <w:tcMar>
              <w:top w:w="15" w:type="dxa"/>
              <w:left w:w="15" w:type="dxa"/>
              <w:bottom w:w="15" w:type="dxa"/>
              <w:right w:w="15" w:type="dxa"/>
            </w:tcMar>
            <w:vAlign w:val="center"/>
          </w:tcPr>
          <w:p w14:paraId="5825F134">
            <w:pPr>
              <w:rPr>
                <w:rFonts w:hint="default" w:ascii="sans-serif" w:hAnsi="sans-serif" w:eastAsia="sans-serif" w:cs="sans-serif"/>
                <w:i w:val="0"/>
                <w:iCs w:val="0"/>
                <w:caps w:val="0"/>
                <w:color w:val="000000"/>
                <w:spacing w:val="0"/>
                <w:sz w:val="24"/>
                <w:szCs w:val="24"/>
              </w:rPr>
            </w:pPr>
          </w:p>
        </w:tc>
        <w:tc>
          <w:tcPr>
            <w:tcW w:w="510" w:type="dxa"/>
            <w:vMerge w:val="continue"/>
            <w:tcBorders>
              <w:top w:val="single" w:color="auto" w:sz="8" w:space="0"/>
              <w:left w:val="nil"/>
              <w:bottom w:val="single" w:color="auto" w:sz="8" w:space="0"/>
              <w:right w:val="single" w:color="auto" w:sz="8" w:space="0"/>
            </w:tcBorders>
            <w:shd w:val="clear"/>
            <w:tcMar>
              <w:top w:w="15" w:type="dxa"/>
              <w:left w:w="15" w:type="dxa"/>
              <w:bottom w:w="15" w:type="dxa"/>
              <w:right w:w="15" w:type="dxa"/>
            </w:tcMar>
            <w:vAlign w:val="center"/>
          </w:tcPr>
          <w:p w14:paraId="6FE01E12">
            <w:pPr>
              <w:rPr>
                <w:rFonts w:hint="default" w:ascii="sans-serif" w:hAnsi="sans-serif" w:eastAsia="sans-serif" w:cs="sans-serif"/>
                <w:i w:val="0"/>
                <w:iCs w:val="0"/>
                <w:caps w:val="0"/>
                <w:color w:val="000000"/>
                <w:spacing w:val="0"/>
                <w:sz w:val="24"/>
                <w:szCs w:val="24"/>
              </w:rPr>
            </w:pPr>
          </w:p>
        </w:tc>
        <w:tc>
          <w:tcPr>
            <w:tcW w:w="736" w:type="dxa"/>
            <w:vMerge w:val="continue"/>
            <w:tcBorders>
              <w:top w:val="single" w:color="auto" w:sz="8" w:space="0"/>
              <w:left w:val="nil"/>
              <w:bottom w:val="single" w:color="auto" w:sz="8" w:space="0"/>
              <w:right w:val="single" w:color="auto" w:sz="8" w:space="0"/>
            </w:tcBorders>
            <w:shd w:val="clear"/>
            <w:tcMar>
              <w:top w:w="15" w:type="dxa"/>
              <w:left w:w="15" w:type="dxa"/>
              <w:bottom w:w="15" w:type="dxa"/>
              <w:right w:w="15" w:type="dxa"/>
            </w:tcMar>
            <w:vAlign w:val="center"/>
          </w:tcPr>
          <w:p w14:paraId="3AE21214">
            <w:pPr>
              <w:rPr>
                <w:rFonts w:hint="default" w:ascii="sans-serif" w:hAnsi="sans-serif" w:eastAsia="sans-serif" w:cs="sans-serif"/>
                <w:i w:val="0"/>
                <w:iCs w:val="0"/>
                <w:caps w:val="0"/>
                <w:color w:val="000000"/>
                <w:spacing w:val="0"/>
                <w:sz w:val="24"/>
                <w:szCs w:val="24"/>
              </w:rPr>
            </w:pPr>
          </w:p>
        </w:tc>
        <w:tc>
          <w:tcPr>
            <w:tcW w:w="116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2DE32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法定时限（天）</w:t>
            </w:r>
          </w:p>
        </w:tc>
        <w:tc>
          <w:tcPr>
            <w:tcW w:w="1110" w:type="dxa"/>
            <w:gridSpan w:val="2"/>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B4508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承诺时限（天）</w:t>
            </w:r>
          </w:p>
        </w:tc>
        <w:tc>
          <w:tcPr>
            <w:tcW w:w="845" w:type="dxa"/>
            <w:vMerge w:val="continue"/>
            <w:tcBorders>
              <w:top w:val="single" w:color="auto" w:sz="8" w:space="0"/>
              <w:left w:val="nil"/>
              <w:bottom w:val="single" w:color="auto" w:sz="8" w:space="0"/>
              <w:right w:val="single" w:color="auto" w:sz="8" w:space="0"/>
            </w:tcBorders>
            <w:shd w:val="clear"/>
            <w:tcMar>
              <w:top w:w="15" w:type="dxa"/>
              <w:left w:w="15" w:type="dxa"/>
              <w:bottom w:w="15" w:type="dxa"/>
              <w:right w:w="15" w:type="dxa"/>
            </w:tcMar>
            <w:vAlign w:val="center"/>
          </w:tcPr>
          <w:p w14:paraId="7D044E28">
            <w:pPr>
              <w:rPr>
                <w:rFonts w:hint="default" w:ascii="sans-serif" w:hAnsi="sans-serif" w:eastAsia="sans-serif" w:cs="sans-serif"/>
                <w:i w:val="0"/>
                <w:iCs w:val="0"/>
                <w:caps w:val="0"/>
                <w:color w:val="000000"/>
                <w:spacing w:val="0"/>
                <w:sz w:val="24"/>
                <w:szCs w:val="24"/>
              </w:rPr>
            </w:pPr>
          </w:p>
        </w:tc>
        <w:tc>
          <w:tcPr>
            <w:tcW w:w="745" w:type="dxa"/>
            <w:vMerge w:val="continue"/>
            <w:tcBorders>
              <w:top w:val="single" w:color="auto" w:sz="8" w:space="0"/>
              <w:left w:val="nil"/>
              <w:bottom w:val="single" w:color="auto" w:sz="8" w:space="0"/>
              <w:right w:val="single" w:color="auto" w:sz="8" w:space="0"/>
            </w:tcBorders>
            <w:shd w:val="clear"/>
            <w:tcMar>
              <w:top w:w="15" w:type="dxa"/>
              <w:left w:w="15" w:type="dxa"/>
              <w:bottom w:w="15" w:type="dxa"/>
              <w:right w:w="15" w:type="dxa"/>
            </w:tcMar>
            <w:vAlign w:val="center"/>
          </w:tcPr>
          <w:p w14:paraId="011BBD93">
            <w:pPr>
              <w:rPr>
                <w:rFonts w:hint="default" w:ascii="sans-serif" w:hAnsi="sans-serif" w:eastAsia="sans-serif" w:cs="sans-serif"/>
                <w:i w:val="0"/>
                <w:iCs w:val="0"/>
                <w:caps w:val="0"/>
                <w:color w:val="000000"/>
                <w:spacing w:val="0"/>
                <w:sz w:val="24"/>
                <w:szCs w:val="24"/>
              </w:rPr>
            </w:pPr>
          </w:p>
        </w:tc>
        <w:tc>
          <w:tcPr>
            <w:tcW w:w="780" w:type="dxa"/>
            <w:vMerge w:val="continue"/>
            <w:tcBorders>
              <w:top w:val="single" w:color="auto" w:sz="8" w:space="0"/>
              <w:left w:val="nil"/>
              <w:bottom w:val="single" w:color="auto" w:sz="8" w:space="0"/>
              <w:right w:val="single" w:color="auto" w:sz="8" w:space="0"/>
            </w:tcBorders>
            <w:shd w:val="clear"/>
            <w:tcMar>
              <w:top w:w="15" w:type="dxa"/>
              <w:left w:w="15" w:type="dxa"/>
              <w:bottom w:w="15" w:type="dxa"/>
              <w:right w:w="15" w:type="dxa"/>
            </w:tcMar>
            <w:vAlign w:val="center"/>
          </w:tcPr>
          <w:p w14:paraId="656F8C66">
            <w:pPr>
              <w:rPr>
                <w:rFonts w:hint="default" w:ascii="sans-serif" w:hAnsi="sans-serif" w:eastAsia="sans-serif" w:cs="sans-serif"/>
                <w:i w:val="0"/>
                <w:iCs w:val="0"/>
                <w:caps w:val="0"/>
                <w:color w:val="000000"/>
                <w:spacing w:val="0"/>
                <w:sz w:val="24"/>
                <w:szCs w:val="24"/>
              </w:rPr>
            </w:pPr>
          </w:p>
        </w:tc>
        <w:tc>
          <w:tcPr>
            <w:tcW w:w="600" w:type="dxa"/>
            <w:vMerge w:val="continue"/>
            <w:tcBorders>
              <w:top w:val="single" w:color="auto" w:sz="8" w:space="0"/>
              <w:left w:val="nil"/>
              <w:bottom w:val="single" w:color="auto" w:sz="8" w:space="0"/>
              <w:right w:val="single" w:color="auto" w:sz="8" w:space="0"/>
            </w:tcBorders>
            <w:shd w:val="clear"/>
            <w:tcMar>
              <w:top w:w="15" w:type="dxa"/>
              <w:left w:w="15" w:type="dxa"/>
              <w:bottom w:w="15" w:type="dxa"/>
              <w:right w:w="15" w:type="dxa"/>
            </w:tcMar>
            <w:vAlign w:val="center"/>
          </w:tcPr>
          <w:p w14:paraId="0F9A765F">
            <w:pPr>
              <w:rPr>
                <w:rFonts w:hint="default" w:ascii="sans-serif" w:hAnsi="sans-serif" w:eastAsia="sans-serif" w:cs="sans-serif"/>
                <w:i w:val="0"/>
                <w:iCs w:val="0"/>
                <w:caps w:val="0"/>
                <w:color w:val="000000"/>
                <w:spacing w:val="0"/>
                <w:sz w:val="24"/>
                <w:szCs w:val="24"/>
              </w:rPr>
            </w:pPr>
          </w:p>
        </w:tc>
        <w:tc>
          <w:tcPr>
            <w:tcW w:w="960" w:type="dxa"/>
            <w:vMerge w:val="continue"/>
            <w:tcBorders>
              <w:top w:val="single" w:color="auto" w:sz="8" w:space="0"/>
              <w:left w:val="nil"/>
              <w:bottom w:val="single" w:color="auto" w:sz="8" w:space="0"/>
              <w:right w:val="single" w:color="auto" w:sz="8" w:space="0"/>
            </w:tcBorders>
            <w:shd w:val="clear"/>
            <w:tcMar>
              <w:top w:w="15" w:type="dxa"/>
              <w:left w:w="15" w:type="dxa"/>
              <w:bottom w:w="15" w:type="dxa"/>
              <w:right w:w="15" w:type="dxa"/>
            </w:tcMar>
            <w:vAlign w:val="center"/>
          </w:tcPr>
          <w:p w14:paraId="4B61D446">
            <w:pPr>
              <w:rPr>
                <w:rFonts w:hint="default" w:ascii="sans-serif" w:hAnsi="sans-serif" w:eastAsia="sans-serif" w:cs="sans-serif"/>
                <w:i w:val="0"/>
                <w:iCs w:val="0"/>
                <w:caps w:val="0"/>
                <w:color w:val="000000"/>
                <w:spacing w:val="0"/>
                <w:sz w:val="24"/>
                <w:szCs w:val="24"/>
              </w:rPr>
            </w:pPr>
          </w:p>
        </w:tc>
      </w:tr>
      <w:tr w14:paraId="6A77B77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70" w:hRule="atLeast"/>
        </w:trPr>
        <w:tc>
          <w:tcPr>
            <w:tcW w:w="47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420793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ascii="仿宋" w:hAnsi="仿宋" w:eastAsia="仿宋" w:cs="仿宋"/>
                <w:i w:val="0"/>
                <w:iCs w:val="0"/>
                <w:caps w:val="0"/>
                <w:color w:val="000000"/>
                <w:spacing w:val="0"/>
                <w:sz w:val="20"/>
                <w:szCs w:val="20"/>
                <w:bdr w:val="none" w:color="auto" w:sz="0" w:space="0"/>
              </w:rPr>
              <w:t>1</w:t>
            </w:r>
          </w:p>
        </w:tc>
        <w:tc>
          <w:tcPr>
            <w:tcW w:w="66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24631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国内植物调运检疫审批</w:t>
            </w:r>
          </w:p>
        </w:tc>
        <w:tc>
          <w:tcPr>
            <w:tcW w:w="551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B9117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00"/>
              <w:jc w:val="both"/>
              <w:rPr>
                <w:rFonts w:hint="default" w:ascii="Arial" w:hAnsi="Arial" w:cs="Arial"/>
                <w:sz w:val="14"/>
                <w:szCs w:val="14"/>
              </w:rPr>
            </w:pPr>
            <w:r>
              <w:rPr>
                <w:rFonts w:hint="eastAsia" w:ascii="仿宋" w:hAnsi="仿宋" w:eastAsia="仿宋" w:cs="仿宋"/>
                <w:i w:val="0"/>
                <w:iCs w:val="0"/>
                <w:caps w:val="0"/>
                <w:color w:val="000000"/>
                <w:spacing w:val="0"/>
                <w:sz w:val="20"/>
                <w:szCs w:val="20"/>
                <w:bdr w:val="none" w:color="auto" w:sz="0" w:space="0"/>
                <w:shd w:val="clear" w:fill="FFFFFF"/>
              </w:rPr>
              <w:t>《植物检疫条例》实施细则（农业部分）（1995年2月25日农业部令第5号发布，1997年12月25日农业部令第39号、2004年7月1日农业部令第38号、2007年11月8日农业部令第6号修订）第六条植物检疫证书的签发：(一)省间调运种子、苗木等繁殖材料及其他应施检疫的植物、植物产品，由省级植物检疫机构及其授权的地(市)、县级植物检疫机构签发植物检疫证书；</w:t>
            </w:r>
          </w:p>
        </w:tc>
        <w:tc>
          <w:tcPr>
            <w:tcW w:w="52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58D70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机关、事业单位、企业、社会组织、公民个人</w:t>
            </w:r>
          </w:p>
        </w:tc>
        <w:tc>
          <w:tcPr>
            <w:tcW w:w="51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2E867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局行政审批股</w:t>
            </w:r>
          </w:p>
        </w:tc>
        <w:tc>
          <w:tcPr>
            <w:tcW w:w="73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87521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无</w:t>
            </w:r>
          </w:p>
        </w:tc>
        <w:tc>
          <w:tcPr>
            <w:tcW w:w="116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89B85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20</w:t>
            </w:r>
          </w:p>
        </w:tc>
        <w:tc>
          <w:tcPr>
            <w:tcW w:w="1110" w:type="dxa"/>
            <w:gridSpan w:val="2"/>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D2BDC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10</w:t>
            </w:r>
          </w:p>
        </w:tc>
        <w:tc>
          <w:tcPr>
            <w:tcW w:w="84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78851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否</w:t>
            </w:r>
          </w:p>
        </w:tc>
        <w:tc>
          <w:tcPr>
            <w:tcW w:w="74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7499A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无</w:t>
            </w:r>
          </w:p>
        </w:tc>
        <w:tc>
          <w:tcPr>
            <w:tcW w:w="78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6BE02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否</w:t>
            </w:r>
          </w:p>
        </w:tc>
        <w:tc>
          <w:tcPr>
            <w:tcW w:w="60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8EA2A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否</w:t>
            </w:r>
          </w:p>
        </w:tc>
        <w:tc>
          <w:tcPr>
            <w:tcW w:w="96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CAC42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21EEC0D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40" w:hRule="atLeast"/>
        </w:trPr>
        <w:tc>
          <w:tcPr>
            <w:tcW w:w="471" w:type="dxa"/>
            <w:vMerge w:val="restart"/>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2F4330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序号</w:t>
            </w:r>
          </w:p>
        </w:tc>
        <w:tc>
          <w:tcPr>
            <w:tcW w:w="660" w:type="dxa"/>
            <w:vMerge w:val="restart"/>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9764C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项目名称</w:t>
            </w:r>
          </w:p>
        </w:tc>
        <w:tc>
          <w:tcPr>
            <w:tcW w:w="5512" w:type="dxa"/>
            <w:vMerge w:val="restart"/>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F21EC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实施依据</w:t>
            </w:r>
          </w:p>
        </w:tc>
        <w:tc>
          <w:tcPr>
            <w:tcW w:w="525" w:type="dxa"/>
            <w:vMerge w:val="restart"/>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B145D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实施对象</w:t>
            </w:r>
          </w:p>
        </w:tc>
        <w:tc>
          <w:tcPr>
            <w:tcW w:w="510" w:type="dxa"/>
            <w:vMerge w:val="restart"/>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987D0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责任科室</w:t>
            </w:r>
          </w:p>
        </w:tc>
        <w:tc>
          <w:tcPr>
            <w:tcW w:w="736" w:type="dxa"/>
            <w:vMerge w:val="restart"/>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729F4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其他共同审批部门</w:t>
            </w:r>
          </w:p>
        </w:tc>
        <w:tc>
          <w:tcPr>
            <w:tcW w:w="2279" w:type="dxa"/>
            <w:gridSpan w:val="3"/>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2788E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时限要求</w:t>
            </w:r>
          </w:p>
        </w:tc>
        <w:tc>
          <w:tcPr>
            <w:tcW w:w="845" w:type="dxa"/>
            <w:tcBorders>
              <w:top w:val="nil"/>
              <w:left w:val="nil"/>
              <w:bottom w:val="nil"/>
              <w:right w:val="single" w:color="auto" w:sz="8" w:space="0"/>
            </w:tcBorders>
            <w:shd w:val="clear"/>
            <w:tcMar>
              <w:top w:w="15" w:type="dxa"/>
              <w:left w:w="15" w:type="dxa"/>
              <w:bottom w:w="15" w:type="dxa"/>
              <w:right w:w="15" w:type="dxa"/>
            </w:tcMar>
            <w:vAlign w:val="center"/>
          </w:tcPr>
          <w:p w14:paraId="52869B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收费</w:t>
            </w:r>
          </w:p>
          <w:p w14:paraId="2E7174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情况</w:t>
            </w:r>
          </w:p>
        </w:tc>
        <w:tc>
          <w:tcPr>
            <w:tcW w:w="745" w:type="dxa"/>
            <w:tcBorders>
              <w:top w:val="nil"/>
              <w:left w:val="nil"/>
              <w:bottom w:val="nil"/>
              <w:right w:val="single" w:color="auto" w:sz="8" w:space="0"/>
            </w:tcBorders>
            <w:shd w:val="clear"/>
            <w:tcMar>
              <w:top w:w="15" w:type="dxa"/>
              <w:left w:w="15" w:type="dxa"/>
              <w:bottom w:w="15" w:type="dxa"/>
              <w:right w:w="15" w:type="dxa"/>
            </w:tcMar>
            <w:vAlign w:val="center"/>
          </w:tcPr>
          <w:p w14:paraId="33A03E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是否有数量限制</w:t>
            </w:r>
          </w:p>
        </w:tc>
        <w:tc>
          <w:tcPr>
            <w:tcW w:w="780" w:type="dxa"/>
            <w:tcBorders>
              <w:top w:val="nil"/>
              <w:left w:val="nil"/>
              <w:bottom w:val="nil"/>
              <w:right w:val="single" w:color="auto" w:sz="8" w:space="0"/>
            </w:tcBorders>
            <w:shd w:val="clear"/>
            <w:tcMar>
              <w:top w:w="15" w:type="dxa"/>
              <w:left w:w="15" w:type="dxa"/>
              <w:bottom w:w="15" w:type="dxa"/>
              <w:right w:w="15" w:type="dxa"/>
            </w:tcMar>
            <w:vAlign w:val="center"/>
          </w:tcPr>
          <w:p w14:paraId="6AE1A2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是否需要下级初 审</w:t>
            </w:r>
          </w:p>
          <w:p w14:paraId="2604D8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（审核）</w:t>
            </w:r>
          </w:p>
        </w:tc>
        <w:tc>
          <w:tcPr>
            <w:tcW w:w="600" w:type="dxa"/>
            <w:tcBorders>
              <w:top w:val="nil"/>
              <w:left w:val="nil"/>
              <w:bottom w:val="nil"/>
              <w:right w:val="single" w:color="auto" w:sz="8" w:space="0"/>
            </w:tcBorders>
            <w:shd w:val="clear"/>
            <w:tcMar>
              <w:top w:w="15" w:type="dxa"/>
              <w:left w:w="15" w:type="dxa"/>
              <w:bottom w:w="15" w:type="dxa"/>
              <w:right w:w="15" w:type="dxa"/>
            </w:tcMar>
            <w:vAlign w:val="center"/>
          </w:tcPr>
          <w:p w14:paraId="54BFD3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前置</w:t>
            </w:r>
          </w:p>
          <w:p w14:paraId="40A5C3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条件</w:t>
            </w:r>
          </w:p>
        </w:tc>
        <w:tc>
          <w:tcPr>
            <w:tcW w:w="960" w:type="dxa"/>
            <w:tcBorders>
              <w:top w:val="nil"/>
              <w:left w:val="nil"/>
              <w:bottom w:val="nil"/>
              <w:right w:val="single" w:color="auto" w:sz="8" w:space="0"/>
            </w:tcBorders>
            <w:shd w:val="clear"/>
            <w:tcMar>
              <w:top w:w="15" w:type="dxa"/>
              <w:left w:w="15" w:type="dxa"/>
              <w:bottom w:w="15" w:type="dxa"/>
              <w:right w:w="15" w:type="dxa"/>
            </w:tcMar>
            <w:vAlign w:val="center"/>
          </w:tcPr>
          <w:p w14:paraId="30EC64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调整意见</w:t>
            </w:r>
          </w:p>
          <w:p w14:paraId="7F36FA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及理由</w:t>
            </w:r>
          </w:p>
        </w:tc>
      </w:tr>
      <w:tr w14:paraId="1484308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471" w:type="dxa"/>
            <w:vMerge w:val="continue"/>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52230C86">
            <w:pPr>
              <w:rPr>
                <w:rFonts w:hint="default" w:ascii="sans-serif" w:hAnsi="sans-serif" w:eastAsia="sans-serif" w:cs="sans-serif"/>
                <w:i w:val="0"/>
                <w:iCs w:val="0"/>
                <w:caps w:val="0"/>
                <w:color w:val="000000"/>
                <w:spacing w:val="0"/>
                <w:sz w:val="24"/>
                <w:szCs w:val="24"/>
              </w:rPr>
            </w:pPr>
          </w:p>
        </w:tc>
        <w:tc>
          <w:tcPr>
            <w:tcW w:w="660" w:type="dxa"/>
            <w:vMerge w:val="continue"/>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2A6E537">
            <w:pPr>
              <w:rPr>
                <w:rFonts w:hint="default" w:ascii="sans-serif" w:hAnsi="sans-serif" w:eastAsia="sans-serif" w:cs="sans-serif"/>
                <w:i w:val="0"/>
                <w:iCs w:val="0"/>
                <w:caps w:val="0"/>
                <w:color w:val="000000"/>
                <w:spacing w:val="0"/>
                <w:sz w:val="24"/>
                <w:szCs w:val="24"/>
              </w:rPr>
            </w:pPr>
          </w:p>
        </w:tc>
        <w:tc>
          <w:tcPr>
            <w:tcW w:w="5512" w:type="dxa"/>
            <w:vMerge w:val="continue"/>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37C7D81">
            <w:pPr>
              <w:rPr>
                <w:rFonts w:hint="default" w:ascii="sans-serif" w:hAnsi="sans-serif" w:eastAsia="sans-serif" w:cs="sans-serif"/>
                <w:i w:val="0"/>
                <w:iCs w:val="0"/>
                <w:caps w:val="0"/>
                <w:color w:val="000000"/>
                <w:spacing w:val="0"/>
                <w:sz w:val="24"/>
                <w:szCs w:val="24"/>
              </w:rPr>
            </w:pPr>
          </w:p>
        </w:tc>
        <w:tc>
          <w:tcPr>
            <w:tcW w:w="525" w:type="dxa"/>
            <w:vMerge w:val="continue"/>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AD5848B">
            <w:pPr>
              <w:rPr>
                <w:rFonts w:hint="default" w:ascii="sans-serif" w:hAnsi="sans-serif" w:eastAsia="sans-serif" w:cs="sans-serif"/>
                <w:i w:val="0"/>
                <w:iCs w:val="0"/>
                <w:caps w:val="0"/>
                <w:color w:val="000000"/>
                <w:spacing w:val="0"/>
                <w:sz w:val="24"/>
                <w:szCs w:val="24"/>
              </w:rPr>
            </w:pPr>
          </w:p>
        </w:tc>
        <w:tc>
          <w:tcPr>
            <w:tcW w:w="510" w:type="dxa"/>
            <w:vMerge w:val="continue"/>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3CBF458">
            <w:pPr>
              <w:rPr>
                <w:rFonts w:hint="default" w:ascii="sans-serif" w:hAnsi="sans-serif" w:eastAsia="sans-serif" w:cs="sans-serif"/>
                <w:i w:val="0"/>
                <w:iCs w:val="0"/>
                <w:caps w:val="0"/>
                <w:color w:val="000000"/>
                <w:spacing w:val="0"/>
                <w:sz w:val="24"/>
                <w:szCs w:val="24"/>
              </w:rPr>
            </w:pPr>
          </w:p>
        </w:tc>
        <w:tc>
          <w:tcPr>
            <w:tcW w:w="736" w:type="dxa"/>
            <w:vMerge w:val="continue"/>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34B0EFD">
            <w:pPr>
              <w:rPr>
                <w:rFonts w:hint="default" w:ascii="sans-serif" w:hAnsi="sans-serif" w:eastAsia="sans-serif" w:cs="sans-serif"/>
                <w:i w:val="0"/>
                <w:iCs w:val="0"/>
                <w:caps w:val="0"/>
                <w:color w:val="000000"/>
                <w:spacing w:val="0"/>
                <w:sz w:val="24"/>
                <w:szCs w:val="24"/>
              </w:rPr>
            </w:pPr>
          </w:p>
        </w:tc>
        <w:tc>
          <w:tcPr>
            <w:tcW w:w="116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9257C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法定时限（天）</w:t>
            </w:r>
          </w:p>
        </w:tc>
        <w:tc>
          <w:tcPr>
            <w:tcW w:w="1110" w:type="dxa"/>
            <w:gridSpan w:val="2"/>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4134C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承诺时限（天）</w:t>
            </w:r>
          </w:p>
        </w:tc>
        <w:tc>
          <w:tcPr>
            <w:tcW w:w="84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96956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 </w:t>
            </w:r>
          </w:p>
        </w:tc>
        <w:tc>
          <w:tcPr>
            <w:tcW w:w="74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471EA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 </w:t>
            </w:r>
          </w:p>
        </w:tc>
        <w:tc>
          <w:tcPr>
            <w:tcW w:w="78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1AE47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 </w:t>
            </w:r>
          </w:p>
        </w:tc>
        <w:tc>
          <w:tcPr>
            <w:tcW w:w="60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7E450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Times New Roman" w:hAnsi="Times New Roman" w:eastAsia="sans-serif" w:cs="Times New Roman"/>
                <w:i w:val="0"/>
                <w:iCs w:val="0"/>
                <w:caps w:val="0"/>
                <w:color w:val="000000"/>
                <w:spacing w:val="0"/>
                <w:sz w:val="21"/>
                <w:szCs w:val="21"/>
                <w:bdr w:val="none" w:color="auto" w:sz="0" w:space="0"/>
              </w:rPr>
              <w:t> </w:t>
            </w:r>
          </w:p>
        </w:tc>
        <w:tc>
          <w:tcPr>
            <w:tcW w:w="96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0D182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 </w:t>
            </w:r>
          </w:p>
        </w:tc>
      </w:tr>
      <w:tr w14:paraId="70A1E48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60" w:hRule="atLeast"/>
        </w:trPr>
        <w:tc>
          <w:tcPr>
            <w:tcW w:w="47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681D53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2</w:t>
            </w:r>
          </w:p>
        </w:tc>
        <w:tc>
          <w:tcPr>
            <w:tcW w:w="66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9135A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农业植物产地检疫审批</w:t>
            </w:r>
          </w:p>
        </w:tc>
        <w:tc>
          <w:tcPr>
            <w:tcW w:w="551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60C30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00"/>
              <w:jc w:val="both"/>
              <w:textAlignment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中华人民共和国植物检疫条例》(中华人民共和国国务院令第98号）第十一条:“种子、苗木和其他繁殖材料和繁育单位，必须有计划地建立无植物检疫对象的种苗繁育基地、母树林基地。试验、推广的种子、苗木和其他繁殖材料，不得带有植物检疫对象。植物检疫机构应实施产地检疫。”</w:t>
            </w:r>
          </w:p>
        </w:tc>
        <w:tc>
          <w:tcPr>
            <w:tcW w:w="52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89A0A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个人、法人</w:t>
            </w:r>
          </w:p>
        </w:tc>
        <w:tc>
          <w:tcPr>
            <w:tcW w:w="51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969CD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局行政审批股</w:t>
            </w:r>
          </w:p>
        </w:tc>
        <w:tc>
          <w:tcPr>
            <w:tcW w:w="73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720C6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18"/>
                <w:szCs w:val="18"/>
                <w:bdr w:val="none" w:color="auto" w:sz="0" w:space="0"/>
              </w:rPr>
              <w:t>无</w:t>
            </w:r>
          </w:p>
        </w:tc>
        <w:tc>
          <w:tcPr>
            <w:tcW w:w="116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B38E7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20日（检疫时限不计入）</w:t>
            </w:r>
          </w:p>
        </w:tc>
        <w:tc>
          <w:tcPr>
            <w:tcW w:w="1110" w:type="dxa"/>
            <w:gridSpan w:val="2"/>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3D8A5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7日（检疫时限不计入）</w:t>
            </w:r>
          </w:p>
        </w:tc>
        <w:tc>
          <w:tcPr>
            <w:tcW w:w="84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5EC56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否</w:t>
            </w:r>
          </w:p>
        </w:tc>
        <w:tc>
          <w:tcPr>
            <w:tcW w:w="74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A3272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无</w:t>
            </w:r>
          </w:p>
        </w:tc>
        <w:tc>
          <w:tcPr>
            <w:tcW w:w="78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DFAB7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否</w:t>
            </w:r>
          </w:p>
        </w:tc>
        <w:tc>
          <w:tcPr>
            <w:tcW w:w="60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59A40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否</w:t>
            </w:r>
          </w:p>
        </w:tc>
        <w:tc>
          <w:tcPr>
            <w:tcW w:w="96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66584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12AB7DE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887" w:hRule="atLeast"/>
        </w:trPr>
        <w:tc>
          <w:tcPr>
            <w:tcW w:w="47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5D8D4C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3</w:t>
            </w:r>
          </w:p>
        </w:tc>
        <w:tc>
          <w:tcPr>
            <w:tcW w:w="66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A52C7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农作物种子、食用菌菌种、蚕种生产经营审核</w:t>
            </w:r>
          </w:p>
        </w:tc>
        <w:tc>
          <w:tcPr>
            <w:tcW w:w="551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C74F8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中华人民共和国种子法》(中华人民共和国主席令第26号)第二十条:“主要农作物杂交种子及其亲本种子、常规种原种种子、主要林木良种的种子生产许可证,由生产所在地县级人民政府农业、林业行政主管部门审核,省、自治区、直辖市人民政府农业、林业行政主管部门核发;其他种子的生产许可证,由生产所在地县级以上地方人民政府农业、林业行政主管部门核发。《中华人民共和国种子法》(中华人民共和国主席令第26号)第二十六条:“种子经营许可证由种子经营者所在地县级以上地方人民政府农业、林业行政主管部门核发</w:t>
            </w:r>
          </w:p>
        </w:tc>
        <w:tc>
          <w:tcPr>
            <w:tcW w:w="52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238F1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法人</w:t>
            </w:r>
          </w:p>
        </w:tc>
        <w:tc>
          <w:tcPr>
            <w:tcW w:w="51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9A40C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局行政审批股</w:t>
            </w:r>
          </w:p>
        </w:tc>
        <w:tc>
          <w:tcPr>
            <w:tcW w:w="73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327A1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18"/>
                <w:szCs w:val="18"/>
                <w:bdr w:val="none" w:color="auto" w:sz="0" w:space="0"/>
              </w:rPr>
              <w:t>无</w:t>
            </w:r>
          </w:p>
        </w:tc>
        <w:tc>
          <w:tcPr>
            <w:tcW w:w="116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22DE3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20个工作日(若进行实地考察,可适当延长10个工作日)</w:t>
            </w:r>
          </w:p>
        </w:tc>
        <w:tc>
          <w:tcPr>
            <w:tcW w:w="1110" w:type="dxa"/>
            <w:gridSpan w:val="2"/>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D465F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10个工作日(若进行实地考察,可适当延长10个工作日)</w:t>
            </w:r>
          </w:p>
        </w:tc>
        <w:tc>
          <w:tcPr>
            <w:tcW w:w="84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56D8F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否</w:t>
            </w:r>
          </w:p>
        </w:tc>
        <w:tc>
          <w:tcPr>
            <w:tcW w:w="74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44225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无</w:t>
            </w:r>
          </w:p>
        </w:tc>
        <w:tc>
          <w:tcPr>
            <w:tcW w:w="78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C0B0E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否</w:t>
            </w:r>
          </w:p>
        </w:tc>
        <w:tc>
          <w:tcPr>
            <w:tcW w:w="60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E7F09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否</w:t>
            </w:r>
          </w:p>
        </w:tc>
        <w:tc>
          <w:tcPr>
            <w:tcW w:w="96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08700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050D7C0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71" w:hRule="atLeast"/>
        </w:trPr>
        <w:tc>
          <w:tcPr>
            <w:tcW w:w="471" w:type="dxa"/>
            <w:vMerge w:val="restart"/>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2635D3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序号</w:t>
            </w:r>
          </w:p>
        </w:tc>
        <w:tc>
          <w:tcPr>
            <w:tcW w:w="660" w:type="dxa"/>
            <w:vMerge w:val="restart"/>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DE0FA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项目名称</w:t>
            </w:r>
          </w:p>
        </w:tc>
        <w:tc>
          <w:tcPr>
            <w:tcW w:w="5512" w:type="dxa"/>
            <w:vMerge w:val="restart"/>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02258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实施依据</w:t>
            </w:r>
          </w:p>
        </w:tc>
        <w:tc>
          <w:tcPr>
            <w:tcW w:w="525" w:type="dxa"/>
            <w:vMerge w:val="restart"/>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C3C9D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实施对象</w:t>
            </w:r>
          </w:p>
        </w:tc>
        <w:tc>
          <w:tcPr>
            <w:tcW w:w="510" w:type="dxa"/>
            <w:vMerge w:val="restart"/>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03335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责任科室</w:t>
            </w:r>
          </w:p>
        </w:tc>
        <w:tc>
          <w:tcPr>
            <w:tcW w:w="736" w:type="dxa"/>
            <w:vMerge w:val="restart"/>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7737D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其他共同审批部门</w:t>
            </w:r>
          </w:p>
        </w:tc>
        <w:tc>
          <w:tcPr>
            <w:tcW w:w="2279" w:type="dxa"/>
            <w:gridSpan w:val="3"/>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DB913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时限要求</w:t>
            </w:r>
          </w:p>
        </w:tc>
        <w:tc>
          <w:tcPr>
            <w:tcW w:w="845" w:type="dxa"/>
            <w:tcBorders>
              <w:top w:val="nil"/>
              <w:left w:val="nil"/>
              <w:bottom w:val="nil"/>
              <w:right w:val="single" w:color="auto" w:sz="8" w:space="0"/>
            </w:tcBorders>
            <w:shd w:val="clear"/>
            <w:tcMar>
              <w:top w:w="15" w:type="dxa"/>
              <w:left w:w="15" w:type="dxa"/>
              <w:bottom w:w="15" w:type="dxa"/>
              <w:right w:w="15" w:type="dxa"/>
            </w:tcMar>
            <w:vAlign w:val="center"/>
          </w:tcPr>
          <w:p w14:paraId="59E77E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收费</w:t>
            </w:r>
          </w:p>
          <w:p w14:paraId="0BF3BB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情况</w:t>
            </w:r>
          </w:p>
        </w:tc>
        <w:tc>
          <w:tcPr>
            <w:tcW w:w="745" w:type="dxa"/>
            <w:tcBorders>
              <w:top w:val="nil"/>
              <w:left w:val="nil"/>
              <w:bottom w:val="nil"/>
              <w:right w:val="single" w:color="auto" w:sz="8" w:space="0"/>
            </w:tcBorders>
            <w:shd w:val="clear"/>
            <w:tcMar>
              <w:top w:w="15" w:type="dxa"/>
              <w:left w:w="15" w:type="dxa"/>
              <w:bottom w:w="15" w:type="dxa"/>
              <w:right w:w="15" w:type="dxa"/>
            </w:tcMar>
            <w:vAlign w:val="center"/>
          </w:tcPr>
          <w:p w14:paraId="42BAE0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是否有数量限制</w:t>
            </w:r>
          </w:p>
        </w:tc>
        <w:tc>
          <w:tcPr>
            <w:tcW w:w="780" w:type="dxa"/>
            <w:tcBorders>
              <w:top w:val="nil"/>
              <w:left w:val="nil"/>
              <w:bottom w:val="nil"/>
              <w:right w:val="single" w:color="auto" w:sz="8" w:space="0"/>
            </w:tcBorders>
            <w:shd w:val="clear"/>
            <w:tcMar>
              <w:top w:w="15" w:type="dxa"/>
              <w:left w:w="15" w:type="dxa"/>
              <w:bottom w:w="15" w:type="dxa"/>
              <w:right w:w="15" w:type="dxa"/>
            </w:tcMar>
            <w:vAlign w:val="center"/>
          </w:tcPr>
          <w:p w14:paraId="6A841B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是否需要下级初 审</w:t>
            </w:r>
          </w:p>
          <w:p w14:paraId="7E343D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（审核）</w:t>
            </w:r>
          </w:p>
        </w:tc>
        <w:tc>
          <w:tcPr>
            <w:tcW w:w="600" w:type="dxa"/>
            <w:tcBorders>
              <w:top w:val="nil"/>
              <w:left w:val="nil"/>
              <w:bottom w:val="nil"/>
              <w:right w:val="single" w:color="auto" w:sz="8" w:space="0"/>
            </w:tcBorders>
            <w:shd w:val="clear"/>
            <w:tcMar>
              <w:top w:w="15" w:type="dxa"/>
              <w:left w:w="15" w:type="dxa"/>
              <w:bottom w:w="15" w:type="dxa"/>
              <w:right w:w="15" w:type="dxa"/>
            </w:tcMar>
            <w:vAlign w:val="center"/>
          </w:tcPr>
          <w:p w14:paraId="72B127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前置</w:t>
            </w:r>
          </w:p>
          <w:p w14:paraId="755FF8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条件</w:t>
            </w:r>
          </w:p>
        </w:tc>
        <w:tc>
          <w:tcPr>
            <w:tcW w:w="960" w:type="dxa"/>
            <w:tcBorders>
              <w:top w:val="nil"/>
              <w:left w:val="nil"/>
              <w:bottom w:val="nil"/>
              <w:right w:val="single" w:color="auto" w:sz="8" w:space="0"/>
            </w:tcBorders>
            <w:shd w:val="clear"/>
            <w:tcMar>
              <w:top w:w="15" w:type="dxa"/>
              <w:left w:w="15" w:type="dxa"/>
              <w:bottom w:w="15" w:type="dxa"/>
              <w:right w:w="15" w:type="dxa"/>
            </w:tcMar>
            <w:vAlign w:val="center"/>
          </w:tcPr>
          <w:p w14:paraId="4B891D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调整意见</w:t>
            </w:r>
          </w:p>
          <w:p w14:paraId="5ED601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及理由</w:t>
            </w:r>
          </w:p>
        </w:tc>
      </w:tr>
      <w:tr w14:paraId="62348D1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1" w:hRule="atLeast"/>
        </w:trPr>
        <w:tc>
          <w:tcPr>
            <w:tcW w:w="471" w:type="dxa"/>
            <w:vMerge w:val="continue"/>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2F02D47F">
            <w:pPr>
              <w:rPr>
                <w:rFonts w:hint="default" w:ascii="sans-serif" w:hAnsi="sans-serif" w:eastAsia="sans-serif" w:cs="sans-serif"/>
                <w:i w:val="0"/>
                <w:iCs w:val="0"/>
                <w:caps w:val="0"/>
                <w:color w:val="000000"/>
                <w:spacing w:val="0"/>
                <w:sz w:val="24"/>
                <w:szCs w:val="24"/>
              </w:rPr>
            </w:pPr>
          </w:p>
        </w:tc>
        <w:tc>
          <w:tcPr>
            <w:tcW w:w="660" w:type="dxa"/>
            <w:vMerge w:val="continue"/>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24DA8E3">
            <w:pPr>
              <w:rPr>
                <w:rFonts w:hint="default" w:ascii="sans-serif" w:hAnsi="sans-serif" w:eastAsia="sans-serif" w:cs="sans-serif"/>
                <w:i w:val="0"/>
                <w:iCs w:val="0"/>
                <w:caps w:val="0"/>
                <w:color w:val="000000"/>
                <w:spacing w:val="0"/>
                <w:sz w:val="24"/>
                <w:szCs w:val="24"/>
              </w:rPr>
            </w:pPr>
          </w:p>
        </w:tc>
        <w:tc>
          <w:tcPr>
            <w:tcW w:w="5512" w:type="dxa"/>
            <w:vMerge w:val="continue"/>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19527B3">
            <w:pPr>
              <w:rPr>
                <w:rFonts w:hint="default" w:ascii="sans-serif" w:hAnsi="sans-serif" w:eastAsia="sans-serif" w:cs="sans-serif"/>
                <w:i w:val="0"/>
                <w:iCs w:val="0"/>
                <w:caps w:val="0"/>
                <w:color w:val="000000"/>
                <w:spacing w:val="0"/>
                <w:sz w:val="24"/>
                <w:szCs w:val="24"/>
              </w:rPr>
            </w:pPr>
          </w:p>
        </w:tc>
        <w:tc>
          <w:tcPr>
            <w:tcW w:w="525" w:type="dxa"/>
            <w:vMerge w:val="continue"/>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30CF190">
            <w:pPr>
              <w:rPr>
                <w:rFonts w:hint="default" w:ascii="sans-serif" w:hAnsi="sans-serif" w:eastAsia="sans-serif" w:cs="sans-serif"/>
                <w:i w:val="0"/>
                <w:iCs w:val="0"/>
                <w:caps w:val="0"/>
                <w:color w:val="000000"/>
                <w:spacing w:val="0"/>
                <w:sz w:val="24"/>
                <w:szCs w:val="24"/>
              </w:rPr>
            </w:pPr>
          </w:p>
        </w:tc>
        <w:tc>
          <w:tcPr>
            <w:tcW w:w="510" w:type="dxa"/>
            <w:vMerge w:val="continue"/>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544EE32">
            <w:pPr>
              <w:rPr>
                <w:rFonts w:hint="default" w:ascii="sans-serif" w:hAnsi="sans-serif" w:eastAsia="sans-serif" w:cs="sans-serif"/>
                <w:i w:val="0"/>
                <w:iCs w:val="0"/>
                <w:caps w:val="0"/>
                <w:color w:val="000000"/>
                <w:spacing w:val="0"/>
                <w:sz w:val="24"/>
                <w:szCs w:val="24"/>
              </w:rPr>
            </w:pPr>
          </w:p>
        </w:tc>
        <w:tc>
          <w:tcPr>
            <w:tcW w:w="736" w:type="dxa"/>
            <w:vMerge w:val="continue"/>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6853F34">
            <w:pPr>
              <w:rPr>
                <w:rFonts w:hint="default" w:ascii="sans-serif" w:hAnsi="sans-serif" w:eastAsia="sans-serif" w:cs="sans-serif"/>
                <w:i w:val="0"/>
                <w:iCs w:val="0"/>
                <w:caps w:val="0"/>
                <w:color w:val="000000"/>
                <w:spacing w:val="0"/>
                <w:sz w:val="24"/>
                <w:szCs w:val="24"/>
              </w:rPr>
            </w:pPr>
          </w:p>
        </w:tc>
        <w:tc>
          <w:tcPr>
            <w:tcW w:w="116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B9F1A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法定时限（天）</w:t>
            </w:r>
          </w:p>
        </w:tc>
        <w:tc>
          <w:tcPr>
            <w:tcW w:w="1110" w:type="dxa"/>
            <w:gridSpan w:val="2"/>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E5DBA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承诺时限（天）</w:t>
            </w:r>
          </w:p>
        </w:tc>
        <w:tc>
          <w:tcPr>
            <w:tcW w:w="84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92D62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i w:val="0"/>
                <w:iCs w:val="0"/>
                <w:caps w:val="0"/>
                <w:color w:val="000000"/>
                <w:spacing w:val="0"/>
                <w:sz w:val="20"/>
                <w:szCs w:val="20"/>
                <w:bdr w:val="none" w:color="auto" w:sz="0" w:space="0"/>
              </w:rPr>
              <w:t> </w:t>
            </w:r>
          </w:p>
        </w:tc>
        <w:tc>
          <w:tcPr>
            <w:tcW w:w="74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28F22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i w:val="0"/>
                <w:iCs w:val="0"/>
                <w:caps w:val="0"/>
                <w:color w:val="000000"/>
                <w:spacing w:val="0"/>
                <w:sz w:val="20"/>
                <w:szCs w:val="20"/>
                <w:bdr w:val="none" w:color="auto" w:sz="0" w:space="0"/>
              </w:rPr>
              <w:t> </w:t>
            </w:r>
          </w:p>
        </w:tc>
        <w:tc>
          <w:tcPr>
            <w:tcW w:w="78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24784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i w:val="0"/>
                <w:iCs w:val="0"/>
                <w:caps w:val="0"/>
                <w:color w:val="000000"/>
                <w:spacing w:val="0"/>
                <w:sz w:val="20"/>
                <w:szCs w:val="20"/>
                <w:bdr w:val="none" w:color="auto" w:sz="0" w:space="0"/>
              </w:rPr>
              <w:t> </w:t>
            </w:r>
          </w:p>
        </w:tc>
        <w:tc>
          <w:tcPr>
            <w:tcW w:w="60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AA706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i w:val="0"/>
                <w:iCs w:val="0"/>
                <w:caps w:val="0"/>
                <w:color w:val="000000"/>
                <w:spacing w:val="0"/>
                <w:sz w:val="20"/>
                <w:szCs w:val="20"/>
                <w:bdr w:val="none" w:color="auto" w:sz="0" w:space="0"/>
              </w:rPr>
              <w:t> </w:t>
            </w:r>
          </w:p>
        </w:tc>
        <w:tc>
          <w:tcPr>
            <w:tcW w:w="96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C5A23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宋体" w:hAnsi="宋体" w:eastAsia="宋体" w:cs="宋体"/>
                <w:i w:val="0"/>
                <w:iCs w:val="0"/>
                <w:caps w:val="0"/>
                <w:color w:val="000000"/>
                <w:spacing w:val="0"/>
                <w:sz w:val="20"/>
                <w:szCs w:val="20"/>
                <w:bdr w:val="none" w:color="auto" w:sz="0" w:space="0"/>
              </w:rPr>
              <w:t> </w:t>
            </w:r>
          </w:p>
        </w:tc>
      </w:tr>
      <w:tr w14:paraId="54695D6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102" w:hRule="atLeast"/>
        </w:trPr>
        <w:tc>
          <w:tcPr>
            <w:tcW w:w="47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0E6C04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4</w:t>
            </w:r>
          </w:p>
        </w:tc>
        <w:tc>
          <w:tcPr>
            <w:tcW w:w="66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323E7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农药经营许可证</w:t>
            </w:r>
          </w:p>
        </w:tc>
        <w:tc>
          <w:tcPr>
            <w:tcW w:w="551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9258E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农药管理条例》（1997年5月8日国务院令第216号发布，2017年3月16日予以修改）第二十四条：国家实行农药经营许可制度，但经营卫生用农药的除外。农药经营者应当具备条件，并按照国务院农业主管部门的规定向县级以上地方人民政府农业主管部门申请农药经营许可证：（一）有具备农药和病虫害防治专业知识，熟悉农药管理规定，能够指导安全合理使用农药的经营人员；（二）有与其他商品以及饮用水水源、生活区域等有效隔离的营业场所和仓储场所，并配备与所申请经营农药相适应的防护设施；（三）有与所申请经营农药相适应的质量管理、台账记录、安全防护、应急处置、仓储管理等制度。经营限制使用农药的，还应当配备相应的用药指导和病虫害防治专业技术人员，并按照所在地省、自治区、直辖市人民政府农业主管部门的规定实行定点经营。县级以上地方人民政府农业主管部门应当自受理申请之日起20个工作日内作出审批决定。符合条件的，核发农药经营许可证；不符合条件的，书面通知申请人并说明理由。</w:t>
            </w:r>
          </w:p>
        </w:tc>
        <w:tc>
          <w:tcPr>
            <w:tcW w:w="52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029C8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333333"/>
                <w:spacing w:val="0"/>
                <w:sz w:val="21"/>
                <w:szCs w:val="21"/>
                <w:bdr w:val="none" w:color="auto" w:sz="0" w:space="0"/>
                <w:shd w:val="clear" w:fill="FFFFFF"/>
              </w:rPr>
              <w:t>个人、法人</w:t>
            </w:r>
          </w:p>
        </w:tc>
        <w:tc>
          <w:tcPr>
            <w:tcW w:w="51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04201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局行政审批股</w:t>
            </w:r>
          </w:p>
        </w:tc>
        <w:tc>
          <w:tcPr>
            <w:tcW w:w="73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7650B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18"/>
                <w:szCs w:val="18"/>
                <w:bdr w:val="none" w:color="auto" w:sz="0" w:space="0"/>
              </w:rPr>
              <w:t>无</w:t>
            </w:r>
          </w:p>
        </w:tc>
        <w:tc>
          <w:tcPr>
            <w:tcW w:w="116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F081A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333333"/>
                <w:spacing w:val="0"/>
                <w:sz w:val="21"/>
                <w:szCs w:val="21"/>
                <w:bdr w:val="none" w:color="auto" w:sz="0" w:space="0"/>
                <w:shd w:val="clear" w:fill="FFFFFF"/>
              </w:rPr>
              <w:t>20</w:t>
            </w:r>
          </w:p>
        </w:tc>
        <w:tc>
          <w:tcPr>
            <w:tcW w:w="1110" w:type="dxa"/>
            <w:gridSpan w:val="2"/>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26F28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9</w:t>
            </w:r>
          </w:p>
        </w:tc>
        <w:tc>
          <w:tcPr>
            <w:tcW w:w="84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48DC8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否</w:t>
            </w:r>
          </w:p>
        </w:tc>
        <w:tc>
          <w:tcPr>
            <w:tcW w:w="74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3959C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无</w:t>
            </w:r>
          </w:p>
        </w:tc>
        <w:tc>
          <w:tcPr>
            <w:tcW w:w="78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CB6B7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否</w:t>
            </w:r>
          </w:p>
        </w:tc>
        <w:tc>
          <w:tcPr>
            <w:tcW w:w="60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785D2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否</w:t>
            </w:r>
          </w:p>
        </w:tc>
        <w:tc>
          <w:tcPr>
            <w:tcW w:w="96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6125E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733511A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91" w:hRule="atLeast"/>
        </w:trPr>
        <w:tc>
          <w:tcPr>
            <w:tcW w:w="471" w:type="dxa"/>
            <w:vMerge w:val="restart"/>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707199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序号</w:t>
            </w:r>
          </w:p>
        </w:tc>
        <w:tc>
          <w:tcPr>
            <w:tcW w:w="660" w:type="dxa"/>
            <w:vMerge w:val="restart"/>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E7E29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项目名称</w:t>
            </w:r>
          </w:p>
        </w:tc>
        <w:tc>
          <w:tcPr>
            <w:tcW w:w="5512" w:type="dxa"/>
            <w:vMerge w:val="restart"/>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240BD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实施依据</w:t>
            </w:r>
          </w:p>
        </w:tc>
        <w:tc>
          <w:tcPr>
            <w:tcW w:w="525" w:type="dxa"/>
            <w:vMerge w:val="restart"/>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92B47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实施对象</w:t>
            </w:r>
          </w:p>
        </w:tc>
        <w:tc>
          <w:tcPr>
            <w:tcW w:w="510" w:type="dxa"/>
            <w:vMerge w:val="restart"/>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E3810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责任科室</w:t>
            </w:r>
          </w:p>
        </w:tc>
        <w:tc>
          <w:tcPr>
            <w:tcW w:w="736" w:type="dxa"/>
            <w:vMerge w:val="restart"/>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5E44A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其他共同审批部门</w:t>
            </w:r>
          </w:p>
        </w:tc>
        <w:tc>
          <w:tcPr>
            <w:tcW w:w="2279" w:type="dxa"/>
            <w:gridSpan w:val="3"/>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08EE4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时限要求</w:t>
            </w:r>
          </w:p>
        </w:tc>
        <w:tc>
          <w:tcPr>
            <w:tcW w:w="845" w:type="dxa"/>
            <w:tcBorders>
              <w:top w:val="nil"/>
              <w:left w:val="nil"/>
              <w:bottom w:val="nil"/>
              <w:right w:val="single" w:color="auto" w:sz="8" w:space="0"/>
            </w:tcBorders>
            <w:shd w:val="clear"/>
            <w:tcMar>
              <w:top w:w="15" w:type="dxa"/>
              <w:left w:w="15" w:type="dxa"/>
              <w:bottom w:w="15" w:type="dxa"/>
              <w:right w:w="15" w:type="dxa"/>
            </w:tcMar>
            <w:vAlign w:val="center"/>
          </w:tcPr>
          <w:p w14:paraId="064093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收费</w:t>
            </w:r>
          </w:p>
          <w:p w14:paraId="45EC06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情况</w:t>
            </w:r>
          </w:p>
        </w:tc>
        <w:tc>
          <w:tcPr>
            <w:tcW w:w="745" w:type="dxa"/>
            <w:tcBorders>
              <w:top w:val="nil"/>
              <w:left w:val="nil"/>
              <w:bottom w:val="nil"/>
              <w:right w:val="single" w:color="auto" w:sz="8" w:space="0"/>
            </w:tcBorders>
            <w:shd w:val="clear"/>
            <w:tcMar>
              <w:top w:w="15" w:type="dxa"/>
              <w:left w:w="15" w:type="dxa"/>
              <w:bottom w:w="15" w:type="dxa"/>
              <w:right w:w="15" w:type="dxa"/>
            </w:tcMar>
            <w:vAlign w:val="center"/>
          </w:tcPr>
          <w:p w14:paraId="107B1A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是否有数量限制</w:t>
            </w:r>
          </w:p>
        </w:tc>
        <w:tc>
          <w:tcPr>
            <w:tcW w:w="780" w:type="dxa"/>
            <w:tcBorders>
              <w:top w:val="nil"/>
              <w:left w:val="nil"/>
              <w:bottom w:val="nil"/>
              <w:right w:val="single" w:color="auto" w:sz="8" w:space="0"/>
            </w:tcBorders>
            <w:shd w:val="clear"/>
            <w:tcMar>
              <w:top w:w="15" w:type="dxa"/>
              <w:left w:w="15" w:type="dxa"/>
              <w:bottom w:w="15" w:type="dxa"/>
              <w:right w:w="15" w:type="dxa"/>
            </w:tcMar>
            <w:vAlign w:val="center"/>
          </w:tcPr>
          <w:p w14:paraId="6B969C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是否需要下级初 审</w:t>
            </w:r>
          </w:p>
          <w:p w14:paraId="6274F9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（审核）</w:t>
            </w:r>
          </w:p>
        </w:tc>
        <w:tc>
          <w:tcPr>
            <w:tcW w:w="600" w:type="dxa"/>
            <w:tcBorders>
              <w:top w:val="nil"/>
              <w:left w:val="nil"/>
              <w:bottom w:val="nil"/>
              <w:right w:val="single" w:color="auto" w:sz="8" w:space="0"/>
            </w:tcBorders>
            <w:shd w:val="clear"/>
            <w:tcMar>
              <w:top w:w="15" w:type="dxa"/>
              <w:left w:w="15" w:type="dxa"/>
              <w:bottom w:w="15" w:type="dxa"/>
              <w:right w:w="15" w:type="dxa"/>
            </w:tcMar>
            <w:vAlign w:val="center"/>
          </w:tcPr>
          <w:p w14:paraId="5931B2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前置</w:t>
            </w:r>
          </w:p>
          <w:p w14:paraId="6A818F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条件</w:t>
            </w:r>
          </w:p>
        </w:tc>
        <w:tc>
          <w:tcPr>
            <w:tcW w:w="960" w:type="dxa"/>
            <w:tcBorders>
              <w:top w:val="nil"/>
              <w:left w:val="nil"/>
              <w:bottom w:val="nil"/>
              <w:right w:val="single" w:color="auto" w:sz="8" w:space="0"/>
            </w:tcBorders>
            <w:shd w:val="clear"/>
            <w:tcMar>
              <w:top w:w="15" w:type="dxa"/>
              <w:left w:w="15" w:type="dxa"/>
              <w:bottom w:w="15" w:type="dxa"/>
              <w:right w:w="15" w:type="dxa"/>
            </w:tcMar>
            <w:vAlign w:val="center"/>
          </w:tcPr>
          <w:p w14:paraId="281FDA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调整意见</w:t>
            </w:r>
          </w:p>
          <w:p w14:paraId="32639A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及理由</w:t>
            </w:r>
          </w:p>
        </w:tc>
      </w:tr>
      <w:tr w14:paraId="4CE34C4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60" w:hRule="atLeast"/>
        </w:trPr>
        <w:tc>
          <w:tcPr>
            <w:tcW w:w="471" w:type="dxa"/>
            <w:vMerge w:val="continue"/>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74B4C7BC">
            <w:pPr>
              <w:rPr>
                <w:rFonts w:hint="default" w:ascii="sans-serif" w:hAnsi="sans-serif" w:eastAsia="sans-serif" w:cs="sans-serif"/>
                <w:i w:val="0"/>
                <w:iCs w:val="0"/>
                <w:caps w:val="0"/>
                <w:color w:val="000000"/>
                <w:spacing w:val="0"/>
                <w:sz w:val="24"/>
                <w:szCs w:val="24"/>
              </w:rPr>
            </w:pPr>
          </w:p>
        </w:tc>
        <w:tc>
          <w:tcPr>
            <w:tcW w:w="660" w:type="dxa"/>
            <w:vMerge w:val="continue"/>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D0A3311">
            <w:pPr>
              <w:rPr>
                <w:rFonts w:hint="default" w:ascii="sans-serif" w:hAnsi="sans-serif" w:eastAsia="sans-serif" w:cs="sans-serif"/>
                <w:i w:val="0"/>
                <w:iCs w:val="0"/>
                <w:caps w:val="0"/>
                <w:color w:val="000000"/>
                <w:spacing w:val="0"/>
                <w:sz w:val="24"/>
                <w:szCs w:val="24"/>
              </w:rPr>
            </w:pPr>
          </w:p>
        </w:tc>
        <w:tc>
          <w:tcPr>
            <w:tcW w:w="5512" w:type="dxa"/>
            <w:vMerge w:val="continue"/>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D6384CD">
            <w:pPr>
              <w:rPr>
                <w:rFonts w:hint="default" w:ascii="sans-serif" w:hAnsi="sans-serif" w:eastAsia="sans-serif" w:cs="sans-serif"/>
                <w:i w:val="0"/>
                <w:iCs w:val="0"/>
                <w:caps w:val="0"/>
                <w:color w:val="000000"/>
                <w:spacing w:val="0"/>
                <w:sz w:val="24"/>
                <w:szCs w:val="24"/>
              </w:rPr>
            </w:pPr>
          </w:p>
        </w:tc>
        <w:tc>
          <w:tcPr>
            <w:tcW w:w="525" w:type="dxa"/>
            <w:vMerge w:val="continue"/>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8FB9097">
            <w:pPr>
              <w:rPr>
                <w:rFonts w:hint="default" w:ascii="sans-serif" w:hAnsi="sans-serif" w:eastAsia="sans-serif" w:cs="sans-serif"/>
                <w:i w:val="0"/>
                <w:iCs w:val="0"/>
                <w:caps w:val="0"/>
                <w:color w:val="000000"/>
                <w:spacing w:val="0"/>
                <w:sz w:val="24"/>
                <w:szCs w:val="24"/>
              </w:rPr>
            </w:pPr>
          </w:p>
        </w:tc>
        <w:tc>
          <w:tcPr>
            <w:tcW w:w="510" w:type="dxa"/>
            <w:vMerge w:val="continue"/>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9A6CAEC">
            <w:pPr>
              <w:rPr>
                <w:rFonts w:hint="default" w:ascii="sans-serif" w:hAnsi="sans-serif" w:eastAsia="sans-serif" w:cs="sans-serif"/>
                <w:i w:val="0"/>
                <w:iCs w:val="0"/>
                <w:caps w:val="0"/>
                <w:color w:val="000000"/>
                <w:spacing w:val="0"/>
                <w:sz w:val="24"/>
                <w:szCs w:val="24"/>
              </w:rPr>
            </w:pPr>
          </w:p>
        </w:tc>
        <w:tc>
          <w:tcPr>
            <w:tcW w:w="736" w:type="dxa"/>
            <w:vMerge w:val="continue"/>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52705BF">
            <w:pPr>
              <w:rPr>
                <w:rFonts w:hint="default" w:ascii="sans-serif" w:hAnsi="sans-serif" w:eastAsia="sans-serif" w:cs="sans-serif"/>
                <w:i w:val="0"/>
                <w:iCs w:val="0"/>
                <w:caps w:val="0"/>
                <w:color w:val="000000"/>
                <w:spacing w:val="0"/>
                <w:sz w:val="24"/>
                <w:szCs w:val="24"/>
              </w:rPr>
            </w:pPr>
          </w:p>
        </w:tc>
        <w:tc>
          <w:tcPr>
            <w:tcW w:w="116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D1B51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法定时限（天）</w:t>
            </w:r>
          </w:p>
        </w:tc>
        <w:tc>
          <w:tcPr>
            <w:tcW w:w="1110" w:type="dxa"/>
            <w:gridSpan w:val="2"/>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67AE1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承诺时限（天）</w:t>
            </w:r>
          </w:p>
        </w:tc>
        <w:tc>
          <w:tcPr>
            <w:tcW w:w="84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1651F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 </w:t>
            </w:r>
          </w:p>
        </w:tc>
        <w:tc>
          <w:tcPr>
            <w:tcW w:w="74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AFCD4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 </w:t>
            </w:r>
          </w:p>
        </w:tc>
        <w:tc>
          <w:tcPr>
            <w:tcW w:w="78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9AE60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 </w:t>
            </w:r>
          </w:p>
        </w:tc>
        <w:tc>
          <w:tcPr>
            <w:tcW w:w="60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65647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 </w:t>
            </w:r>
          </w:p>
        </w:tc>
        <w:tc>
          <w:tcPr>
            <w:tcW w:w="96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077EA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 </w:t>
            </w:r>
          </w:p>
        </w:tc>
      </w:tr>
      <w:tr w14:paraId="6586D79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580" w:hRule="atLeast"/>
        </w:trPr>
        <w:tc>
          <w:tcPr>
            <w:tcW w:w="47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3D5C03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5</w:t>
            </w:r>
          </w:p>
        </w:tc>
        <w:tc>
          <w:tcPr>
            <w:tcW w:w="66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4DA4E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乡村兽医登记证核发</w:t>
            </w:r>
          </w:p>
        </w:tc>
        <w:tc>
          <w:tcPr>
            <w:tcW w:w="551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CA266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   《中华人民共和国动物防疫法》第五十七条：“乡村兽医服务人员可以在乡村从事动物诊疗活动，具体办法由国务院兽医主管部门制定”。</w:t>
            </w:r>
          </w:p>
          <w:p w14:paraId="6C43C3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   《乡村兽医管理办法》（农业部令第17号）第三条：“本办法所称乡村兽医是指尚未取得执业兽医资格，经登记在乡村从事动物诊疗服务活动的人员”。第四条第二款：“县级以上地方人民政府兽医主管部门主管本行政区域内的乡村兽医管理工作”。第六条：“国家实行乡村兽医登记制度。符合条件的可以向县级人民政府兽医主管部门申请乡村兽医登记”。第八条:“县级人民政府兽医主管部门应当在收到申请材料20个工作日完成审核，审核合格的，予以登记，发给乡村兽医登记证；不合格的，书面通知申请人，并说明理由”。</w:t>
            </w:r>
          </w:p>
        </w:tc>
        <w:tc>
          <w:tcPr>
            <w:tcW w:w="52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5CCA5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个人、法人</w:t>
            </w:r>
          </w:p>
        </w:tc>
        <w:tc>
          <w:tcPr>
            <w:tcW w:w="51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92516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局行政审批股</w:t>
            </w:r>
          </w:p>
        </w:tc>
        <w:tc>
          <w:tcPr>
            <w:tcW w:w="73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C84C2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无</w:t>
            </w:r>
          </w:p>
        </w:tc>
        <w:tc>
          <w:tcPr>
            <w:tcW w:w="116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93532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20</w:t>
            </w:r>
          </w:p>
        </w:tc>
        <w:tc>
          <w:tcPr>
            <w:tcW w:w="1110" w:type="dxa"/>
            <w:gridSpan w:val="2"/>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545F3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9</w:t>
            </w:r>
          </w:p>
        </w:tc>
        <w:tc>
          <w:tcPr>
            <w:tcW w:w="84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DDC71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否</w:t>
            </w:r>
          </w:p>
        </w:tc>
        <w:tc>
          <w:tcPr>
            <w:tcW w:w="74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AFED6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无</w:t>
            </w:r>
          </w:p>
        </w:tc>
        <w:tc>
          <w:tcPr>
            <w:tcW w:w="78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63D41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否</w:t>
            </w:r>
          </w:p>
        </w:tc>
        <w:tc>
          <w:tcPr>
            <w:tcW w:w="60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56AC6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否</w:t>
            </w:r>
          </w:p>
        </w:tc>
        <w:tc>
          <w:tcPr>
            <w:tcW w:w="96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47916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1198359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0" w:hRule="atLeast"/>
        </w:trPr>
        <w:tc>
          <w:tcPr>
            <w:tcW w:w="471" w:type="dxa"/>
            <w:vMerge w:val="restart"/>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0A0534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序号</w:t>
            </w:r>
          </w:p>
        </w:tc>
        <w:tc>
          <w:tcPr>
            <w:tcW w:w="660" w:type="dxa"/>
            <w:vMerge w:val="restart"/>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C3CDA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项目名称</w:t>
            </w:r>
          </w:p>
        </w:tc>
        <w:tc>
          <w:tcPr>
            <w:tcW w:w="5512" w:type="dxa"/>
            <w:vMerge w:val="restart"/>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A465C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实施依据</w:t>
            </w:r>
          </w:p>
        </w:tc>
        <w:tc>
          <w:tcPr>
            <w:tcW w:w="525" w:type="dxa"/>
            <w:vMerge w:val="restart"/>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66168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实施对象</w:t>
            </w:r>
          </w:p>
        </w:tc>
        <w:tc>
          <w:tcPr>
            <w:tcW w:w="510" w:type="dxa"/>
            <w:vMerge w:val="restart"/>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5FB96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责任科室</w:t>
            </w:r>
          </w:p>
        </w:tc>
        <w:tc>
          <w:tcPr>
            <w:tcW w:w="736" w:type="dxa"/>
            <w:vMerge w:val="restart"/>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7044E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其他共同审批部门</w:t>
            </w:r>
          </w:p>
        </w:tc>
        <w:tc>
          <w:tcPr>
            <w:tcW w:w="2279" w:type="dxa"/>
            <w:gridSpan w:val="3"/>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7F6A0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时限要求</w:t>
            </w:r>
          </w:p>
        </w:tc>
        <w:tc>
          <w:tcPr>
            <w:tcW w:w="845" w:type="dxa"/>
            <w:tcBorders>
              <w:top w:val="nil"/>
              <w:left w:val="nil"/>
              <w:bottom w:val="nil"/>
              <w:right w:val="single" w:color="auto" w:sz="8" w:space="0"/>
            </w:tcBorders>
            <w:shd w:val="clear"/>
            <w:tcMar>
              <w:top w:w="15" w:type="dxa"/>
              <w:left w:w="15" w:type="dxa"/>
              <w:bottom w:w="15" w:type="dxa"/>
              <w:right w:w="15" w:type="dxa"/>
            </w:tcMar>
            <w:vAlign w:val="center"/>
          </w:tcPr>
          <w:p w14:paraId="3F2EAD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收费</w:t>
            </w:r>
          </w:p>
          <w:p w14:paraId="60BB71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情况</w:t>
            </w:r>
          </w:p>
        </w:tc>
        <w:tc>
          <w:tcPr>
            <w:tcW w:w="745" w:type="dxa"/>
            <w:tcBorders>
              <w:top w:val="nil"/>
              <w:left w:val="nil"/>
              <w:bottom w:val="nil"/>
              <w:right w:val="single" w:color="auto" w:sz="8" w:space="0"/>
            </w:tcBorders>
            <w:shd w:val="clear"/>
            <w:tcMar>
              <w:top w:w="15" w:type="dxa"/>
              <w:left w:w="15" w:type="dxa"/>
              <w:bottom w:w="15" w:type="dxa"/>
              <w:right w:w="15" w:type="dxa"/>
            </w:tcMar>
            <w:vAlign w:val="center"/>
          </w:tcPr>
          <w:p w14:paraId="46F783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是否有数量限制</w:t>
            </w:r>
          </w:p>
        </w:tc>
        <w:tc>
          <w:tcPr>
            <w:tcW w:w="780" w:type="dxa"/>
            <w:tcBorders>
              <w:top w:val="nil"/>
              <w:left w:val="nil"/>
              <w:bottom w:val="nil"/>
              <w:right w:val="single" w:color="auto" w:sz="8" w:space="0"/>
            </w:tcBorders>
            <w:shd w:val="clear"/>
            <w:tcMar>
              <w:top w:w="15" w:type="dxa"/>
              <w:left w:w="15" w:type="dxa"/>
              <w:bottom w:w="15" w:type="dxa"/>
              <w:right w:w="15" w:type="dxa"/>
            </w:tcMar>
            <w:vAlign w:val="center"/>
          </w:tcPr>
          <w:p w14:paraId="4D258C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是否需要下级初 审</w:t>
            </w:r>
          </w:p>
          <w:p w14:paraId="0A64C9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（审核）</w:t>
            </w:r>
          </w:p>
        </w:tc>
        <w:tc>
          <w:tcPr>
            <w:tcW w:w="600" w:type="dxa"/>
            <w:tcBorders>
              <w:top w:val="nil"/>
              <w:left w:val="nil"/>
              <w:bottom w:val="nil"/>
              <w:right w:val="single" w:color="auto" w:sz="8" w:space="0"/>
            </w:tcBorders>
            <w:shd w:val="clear"/>
            <w:tcMar>
              <w:top w:w="15" w:type="dxa"/>
              <w:left w:w="15" w:type="dxa"/>
              <w:bottom w:w="15" w:type="dxa"/>
              <w:right w:w="15" w:type="dxa"/>
            </w:tcMar>
            <w:vAlign w:val="center"/>
          </w:tcPr>
          <w:p w14:paraId="0BB44F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前置</w:t>
            </w:r>
          </w:p>
          <w:p w14:paraId="05F563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条件</w:t>
            </w:r>
          </w:p>
        </w:tc>
        <w:tc>
          <w:tcPr>
            <w:tcW w:w="960" w:type="dxa"/>
            <w:tcBorders>
              <w:top w:val="nil"/>
              <w:left w:val="nil"/>
              <w:bottom w:val="nil"/>
              <w:right w:val="single" w:color="auto" w:sz="8" w:space="0"/>
            </w:tcBorders>
            <w:shd w:val="clear"/>
            <w:tcMar>
              <w:top w:w="15" w:type="dxa"/>
              <w:left w:w="15" w:type="dxa"/>
              <w:bottom w:w="15" w:type="dxa"/>
              <w:right w:w="15" w:type="dxa"/>
            </w:tcMar>
            <w:vAlign w:val="center"/>
          </w:tcPr>
          <w:p w14:paraId="3E1BD7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调整意见</w:t>
            </w:r>
          </w:p>
          <w:p w14:paraId="46C82D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及理由</w:t>
            </w:r>
          </w:p>
        </w:tc>
      </w:tr>
      <w:tr w14:paraId="00363CD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70" w:hRule="atLeast"/>
        </w:trPr>
        <w:tc>
          <w:tcPr>
            <w:tcW w:w="471" w:type="dxa"/>
            <w:vMerge w:val="continue"/>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1E9DB059">
            <w:pPr>
              <w:rPr>
                <w:rFonts w:hint="default" w:ascii="sans-serif" w:hAnsi="sans-serif" w:eastAsia="sans-serif" w:cs="sans-serif"/>
                <w:i w:val="0"/>
                <w:iCs w:val="0"/>
                <w:caps w:val="0"/>
                <w:color w:val="000000"/>
                <w:spacing w:val="0"/>
                <w:sz w:val="24"/>
                <w:szCs w:val="24"/>
              </w:rPr>
            </w:pPr>
          </w:p>
        </w:tc>
        <w:tc>
          <w:tcPr>
            <w:tcW w:w="660" w:type="dxa"/>
            <w:vMerge w:val="continue"/>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F7A1701">
            <w:pPr>
              <w:rPr>
                <w:rFonts w:hint="default" w:ascii="sans-serif" w:hAnsi="sans-serif" w:eastAsia="sans-serif" w:cs="sans-serif"/>
                <w:i w:val="0"/>
                <w:iCs w:val="0"/>
                <w:caps w:val="0"/>
                <w:color w:val="000000"/>
                <w:spacing w:val="0"/>
                <w:sz w:val="24"/>
                <w:szCs w:val="24"/>
              </w:rPr>
            </w:pPr>
          </w:p>
        </w:tc>
        <w:tc>
          <w:tcPr>
            <w:tcW w:w="5512" w:type="dxa"/>
            <w:vMerge w:val="continue"/>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9A2CBF6">
            <w:pPr>
              <w:rPr>
                <w:rFonts w:hint="default" w:ascii="sans-serif" w:hAnsi="sans-serif" w:eastAsia="sans-serif" w:cs="sans-serif"/>
                <w:i w:val="0"/>
                <w:iCs w:val="0"/>
                <w:caps w:val="0"/>
                <w:color w:val="000000"/>
                <w:spacing w:val="0"/>
                <w:sz w:val="24"/>
                <w:szCs w:val="24"/>
              </w:rPr>
            </w:pPr>
          </w:p>
        </w:tc>
        <w:tc>
          <w:tcPr>
            <w:tcW w:w="525" w:type="dxa"/>
            <w:vMerge w:val="continue"/>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92C45DD">
            <w:pPr>
              <w:rPr>
                <w:rFonts w:hint="default" w:ascii="sans-serif" w:hAnsi="sans-serif" w:eastAsia="sans-serif" w:cs="sans-serif"/>
                <w:i w:val="0"/>
                <w:iCs w:val="0"/>
                <w:caps w:val="0"/>
                <w:color w:val="000000"/>
                <w:spacing w:val="0"/>
                <w:sz w:val="24"/>
                <w:szCs w:val="24"/>
              </w:rPr>
            </w:pPr>
          </w:p>
        </w:tc>
        <w:tc>
          <w:tcPr>
            <w:tcW w:w="510" w:type="dxa"/>
            <w:vMerge w:val="continue"/>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B642096">
            <w:pPr>
              <w:rPr>
                <w:rFonts w:hint="default" w:ascii="sans-serif" w:hAnsi="sans-serif" w:eastAsia="sans-serif" w:cs="sans-serif"/>
                <w:i w:val="0"/>
                <w:iCs w:val="0"/>
                <w:caps w:val="0"/>
                <w:color w:val="000000"/>
                <w:spacing w:val="0"/>
                <w:sz w:val="24"/>
                <w:szCs w:val="24"/>
              </w:rPr>
            </w:pPr>
          </w:p>
        </w:tc>
        <w:tc>
          <w:tcPr>
            <w:tcW w:w="736" w:type="dxa"/>
            <w:vMerge w:val="continue"/>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B856AEF">
            <w:pPr>
              <w:rPr>
                <w:rFonts w:hint="default" w:ascii="sans-serif" w:hAnsi="sans-serif" w:eastAsia="sans-serif" w:cs="sans-serif"/>
                <w:i w:val="0"/>
                <w:iCs w:val="0"/>
                <w:caps w:val="0"/>
                <w:color w:val="000000"/>
                <w:spacing w:val="0"/>
                <w:sz w:val="24"/>
                <w:szCs w:val="24"/>
              </w:rPr>
            </w:pPr>
          </w:p>
        </w:tc>
        <w:tc>
          <w:tcPr>
            <w:tcW w:w="116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BED23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法定时限（天）</w:t>
            </w:r>
          </w:p>
        </w:tc>
        <w:tc>
          <w:tcPr>
            <w:tcW w:w="1110" w:type="dxa"/>
            <w:gridSpan w:val="2"/>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13D1F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承诺时限（天）</w:t>
            </w:r>
          </w:p>
        </w:tc>
        <w:tc>
          <w:tcPr>
            <w:tcW w:w="84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5AA73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宋体" w:hAnsi="宋体" w:eastAsia="宋体" w:cs="宋体"/>
                <w:i w:val="0"/>
                <w:iCs w:val="0"/>
                <w:caps w:val="0"/>
                <w:color w:val="000000"/>
                <w:spacing w:val="0"/>
                <w:sz w:val="20"/>
                <w:szCs w:val="20"/>
                <w:bdr w:val="none" w:color="auto" w:sz="0" w:space="0"/>
              </w:rPr>
              <w:t> </w:t>
            </w:r>
          </w:p>
        </w:tc>
        <w:tc>
          <w:tcPr>
            <w:tcW w:w="74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DB312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宋体" w:hAnsi="宋体" w:eastAsia="宋体" w:cs="宋体"/>
                <w:i w:val="0"/>
                <w:iCs w:val="0"/>
                <w:caps w:val="0"/>
                <w:color w:val="000000"/>
                <w:spacing w:val="0"/>
                <w:sz w:val="20"/>
                <w:szCs w:val="20"/>
                <w:bdr w:val="none" w:color="auto" w:sz="0" w:space="0"/>
              </w:rPr>
              <w:t> </w:t>
            </w:r>
          </w:p>
        </w:tc>
        <w:tc>
          <w:tcPr>
            <w:tcW w:w="78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4EBCE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宋体" w:hAnsi="宋体" w:eastAsia="宋体" w:cs="宋体"/>
                <w:i w:val="0"/>
                <w:iCs w:val="0"/>
                <w:caps w:val="0"/>
                <w:color w:val="000000"/>
                <w:spacing w:val="0"/>
                <w:sz w:val="20"/>
                <w:szCs w:val="20"/>
                <w:bdr w:val="none" w:color="auto" w:sz="0" w:space="0"/>
              </w:rPr>
              <w:t> </w:t>
            </w:r>
          </w:p>
        </w:tc>
        <w:tc>
          <w:tcPr>
            <w:tcW w:w="60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547D3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宋体" w:hAnsi="宋体" w:eastAsia="宋体" w:cs="宋体"/>
                <w:i w:val="0"/>
                <w:iCs w:val="0"/>
                <w:caps w:val="0"/>
                <w:color w:val="000000"/>
                <w:spacing w:val="0"/>
                <w:sz w:val="20"/>
                <w:szCs w:val="20"/>
                <w:bdr w:val="none" w:color="auto" w:sz="0" w:space="0"/>
              </w:rPr>
              <w:t> </w:t>
            </w:r>
          </w:p>
        </w:tc>
        <w:tc>
          <w:tcPr>
            <w:tcW w:w="96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472C9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宋体" w:hAnsi="宋体" w:eastAsia="宋体" w:cs="宋体"/>
                <w:i w:val="0"/>
                <w:iCs w:val="0"/>
                <w:caps w:val="0"/>
                <w:color w:val="000000"/>
                <w:spacing w:val="0"/>
                <w:sz w:val="20"/>
                <w:szCs w:val="20"/>
                <w:bdr w:val="none" w:color="auto" w:sz="0" w:space="0"/>
              </w:rPr>
              <w:t> </w:t>
            </w:r>
          </w:p>
        </w:tc>
      </w:tr>
      <w:tr w14:paraId="337BDCE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935" w:hRule="atLeast"/>
        </w:trPr>
        <w:tc>
          <w:tcPr>
            <w:tcW w:w="47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6F1AFE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6</w:t>
            </w:r>
          </w:p>
        </w:tc>
        <w:tc>
          <w:tcPr>
            <w:tcW w:w="66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98AFC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动物诊疗许可证</w:t>
            </w:r>
          </w:p>
          <w:p w14:paraId="0C9D92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核发</w:t>
            </w:r>
          </w:p>
        </w:tc>
        <w:tc>
          <w:tcPr>
            <w:tcW w:w="551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4CE3E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0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中华人民共和国动物防疫法》第五十一条：“设立从事动物诊疗活动的机构，应当向县级以上地方人民政府兽医主管部门申请动物诊疗许可证。受理申请的兽医主管部门应当依照本法和《中华人民共和国行政许可法》的规定进行审查”。</w:t>
            </w:r>
          </w:p>
          <w:p w14:paraId="297C49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0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动物诊疗机构管理办法》（农业部令第19号）第三条第二款：“县级以上地方人民政府兽医主管部门负责本行政区域内动物诊疗机构的管理”。第四条：“国家实行动物诊疗许可制度”。第七条：“设立动物诊疗机构应当向诊疗场所所在地发证机关提出申请并提交相关材料”。第九条：“发证机关受理申请后，应当在20个工作日完成材料审核和诊疗场所实地察看，符合条件的，向申请人发给动物诊疗许可证，不符合条件的，书面通知申请人，并说明理由”。第三十九条：“本办法所称发证机关是指县（市辖区）级人民政府兽医主管部门”。</w:t>
            </w:r>
          </w:p>
          <w:p w14:paraId="60F2DC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 </w:t>
            </w:r>
          </w:p>
        </w:tc>
        <w:tc>
          <w:tcPr>
            <w:tcW w:w="52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07705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333333"/>
                <w:spacing w:val="0"/>
                <w:sz w:val="21"/>
                <w:szCs w:val="21"/>
                <w:bdr w:val="none" w:color="auto" w:sz="0" w:space="0"/>
                <w:shd w:val="clear" w:fill="FFFFFF"/>
              </w:rPr>
              <w:t>法人</w:t>
            </w:r>
          </w:p>
        </w:tc>
        <w:tc>
          <w:tcPr>
            <w:tcW w:w="51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D9C5B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局行政审批股</w:t>
            </w:r>
          </w:p>
        </w:tc>
        <w:tc>
          <w:tcPr>
            <w:tcW w:w="73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96C52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无</w:t>
            </w:r>
          </w:p>
        </w:tc>
        <w:tc>
          <w:tcPr>
            <w:tcW w:w="116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66B9D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20</w:t>
            </w:r>
          </w:p>
        </w:tc>
        <w:tc>
          <w:tcPr>
            <w:tcW w:w="1110" w:type="dxa"/>
            <w:gridSpan w:val="2"/>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137AF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7</w:t>
            </w:r>
          </w:p>
        </w:tc>
        <w:tc>
          <w:tcPr>
            <w:tcW w:w="84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CB0F1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否</w:t>
            </w:r>
          </w:p>
        </w:tc>
        <w:tc>
          <w:tcPr>
            <w:tcW w:w="74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DE603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无</w:t>
            </w:r>
          </w:p>
        </w:tc>
        <w:tc>
          <w:tcPr>
            <w:tcW w:w="78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57636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否</w:t>
            </w:r>
          </w:p>
        </w:tc>
        <w:tc>
          <w:tcPr>
            <w:tcW w:w="60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0BDF3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否</w:t>
            </w:r>
          </w:p>
        </w:tc>
        <w:tc>
          <w:tcPr>
            <w:tcW w:w="96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C8DCB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6B8DA3D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62" w:hRule="atLeast"/>
        </w:trPr>
        <w:tc>
          <w:tcPr>
            <w:tcW w:w="471" w:type="dxa"/>
            <w:vMerge w:val="restart"/>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087343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序号</w:t>
            </w:r>
          </w:p>
        </w:tc>
        <w:tc>
          <w:tcPr>
            <w:tcW w:w="660" w:type="dxa"/>
            <w:vMerge w:val="restart"/>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7EEF2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项目名称</w:t>
            </w:r>
          </w:p>
        </w:tc>
        <w:tc>
          <w:tcPr>
            <w:tcW w:w="5512" w:type="dxa"/>
            <w:vMerge w:val="restart"/>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3CEB7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实施依据</w:t>
            </w:r>
          </w:p>
        </w:tc>
        <w:tc>
          <w:tcPr>
            <w:tcW w:w="525" w:type="dxa"/>
            <w:vMerge w:val="restart"/>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04241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实施对象</w:t>
            </w:r>
          </w:p>
        </w:tc>
        <w:tc>
          <w:tcPr>
            <w:tcW w:w="510" w:type="dxa"/>
            <w:vMerge w:val="restart"/>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DA45B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责任科室</w:t>
            </w:r>
          </w:p>
        </w:tc>
        <w:tc>
          <w:tcPr>
            <w:tcW w:w="736" w:type="dxa"/>
            <w:vMerge w:val="restart"/>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2B297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其他共同审批部门</w:t>
            </w:r>
          </w:p>
        </w:tc>
        <w:tc>
          <w:tcPr>
            <w:tcW w:w="2279" w:type="dxa"/>
            <w:gridSpan w:val="3"/>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2139E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时限要求</w:t>
            </w:r>
          </w:p>
        </w:tc>
        <w:tc>
          <w:tcPr>
            <w:tcW w:w="845" w:type="dxa"/>
            <w:tcBorders>
              <w:top w:val="nil"/>
              <w:left w:val="nil"/>
              <w:bottom w:val="nil"/>
              <w:right w:val="single" w:color="auto" w:sz="8" w:space="0"/>
            </w:tcBorders>
            <w:shd w:val="clear"/>
            <w:tcMar>
              <w:top w:w="15" w:type="dxa"/>
              <w:left w:w="15" w:type="dxa"/>
              <w:bottom w:w="15" w:type="dxa"/>
              <w:right w:w="15" w:type="dxa"/>
            </w:tcMar>
            <w:vAlign w:val="center"/>
          </w:tcPr>
          <w:p w14:paraId="6FE2E4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收费</w:t>
            </w:r>
          </w:p>
          <w:p w14:paraId="6FDC77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情况</w:t>
            </w:r>
          </w:p>
        </w:tc>
        <w:tc>
          <w:tcPr>
            <w:tcW w:w="745" w:type="dxa"/>
            <w:tcBorders>
              <w:top w:val="nil"/>
              <w:left w:val="nil"/>
              <w:bottom w:val="nil"/>
              <w:right w:val="single" w:color="auto" w:sz="8" w:space="0"/>
            </w:tcBorders>
            <w:shd w:val="clear"/>
            <w:tcMar>
              <w:top w:w="15" w:type="dxa"/>
              <w:left w:w="15" w:type="dxa"/>
              <w:bottom w:w="15" w:type="dxa"/>
              <w:right w:w="15" w:type="dxa"/>
            </w:tcMar>
            <w:vAlign w:val="center"/>
          </w:tcPr>
          <w:p w14:paraId="11D313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是否有数量限制</w:t>
            </w:r>
          </w:p>
        </w:tc>
        <w:tc>
          <w:tcPr>
            <w:tcW w:w="780" w:type="dxa"/>
            <w:tcBorders>
              <w:top w:val="nil"/>
              <w:left w:val="nil"/>
              <w:bottom w:val="nil"/>
              <w:right w:val="single" w:color="auto" w:sz="8" w:space="0"/>
            </w:tcBorders>
            <w:shd w:val="clear"/>
            <w:tcMar>
              <w:top w:w="15" w:type="dxa"/>
              <w:left w:w="15" w:type="dxa"/>
              <w:bottom w:w="15" w:type="dxa"/>
              <w:right w:w="15" w:type="dxa"/>
            </w:tcMar>
            <w:vAlign w:val="center"/>
          </w:tcPr>
          <w:p w14:paraId="7E8241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是否需要下级初 审</w:t>
            </w:r>
          </w:p>
          <w:p w14:paraId="0B26B4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（审核）</w:t>
            </w:r>
          </w:p>
        </w:tc>
        <w:tc>
          <w:tcPr>
            <w:tcW w:w="600" w:type="dxa"/>
            <w:tcBorders>
              <w:top w:val="nil"/>
              <w:left w:val="nil"/>
              <w:bottom w:val="nil"/>
              <w:right w:val="single" w:color="auto" w:sz="8" w:space="0"/>
            </w:tcBorders>
            <w:shd w:val="clear"/>
            <w:tcMar>
              <w:top w:w="15" w:type="dxa"/>
              <w:left w:w="15" w:type="dxa"/>
              <w:bottom w:w="15" w:type="dxa"/>
              <w:right w:w="15" w:type="dxa"/>
            </w:tcMar>
            <w:vAlign w:val="center"/>
          </w:tcPr>
          <w:p w14:paraId="0F6F71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前置</w:t>
            </w:r>
          </w:p>
          <w:p w14:paraId="748FEA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条件</w:t>
            </w:r>
          </w:p>
        </w:tc>
        <w:tc>
          <w:tcPr>
            <w:tcW w:w="960" w:type="dxa"/>
            <w:tcBorders>
              <w:top w:val="nil"/>
              <w:left w:val="nil"/>
              <w:bottom w:val="nil"/>
              <w:right w:val="single" w:color="auto" w:sz="8" w:space="0"/>
            </w:tcBorders>
            <w:shd w:val="clear"/>
            <w:tcMar>
              <w:top w:w="15" w:type="dxa"/>
              <w:left w:w="15" w:type="dxa"/>
              <w:bottom w:w="15" w:type="dxa"/>
              <w:right w:w="15" w:type="dxa"/>
            </w:tcMar>
            <w:vAlign w:val="center"/>
          </w:tcPr>
          <w:p w14:paraId="3D8CAF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调整意见</w:t>
            </w:r>
          </w:p>
          <w:p w14:paraId="6F6615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及理由</w:t>
            </w:r>
          </w:p>
        </w:tc>
      </w:tr>
      <w:tr w14:paraId="7B09A8C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72" w:hRule="atLeast"/>
        </w:trPr>
        <w:tc>
          <w:tcPr>
            <w:tcW w:w="471" w:type="dxa"/>
            <w:vMerge w:val="continue"/>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2908BDAE">
            <w:pPr>
              <w:rPr>
                <w:rFonts w:hint="default" w:ascii="sans-serif" w:hAnsi="sans-serif" w:eastAsia="sans-serif" w:cs="sans-serif"/>
                <w:i w:val="0"/>
                <w:iCs w:val="0"/>
                <w:caps w:val="0"/>
                <w:color w:val="000000"/>
                <w:spacing w:val="0"/>
                <w:sz w:val="24"/>
                <w:szCs w:val="24"/>
              </w:rPr>
            </w:pPr>
          </w:p>
        </w:tc>
        <w:tc>
          <w:tcPr>
            <w:tcW w:w="660" w:type="dxa"/>
            <w:vMerge w:val="continue"/>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17E7FB7">
            <w:pPr>
              <w:rPr>
                <w:rFonts w:hint="default" w:ascii="sans-serif" w:hAnsi="sans-serif" w:eastAsia="sans-serif" w:cs="sans-serif"/>
                <w:i w:val="0"/>
                <w:iCs w:val="0"/>
                <w:caps w:val="0"/>
                <w:color w:val="000000"/>
                <w:spacing w:val="0"/>
                <w:sz w:val="24"/>
                <w:szCs w:val="24"/>
              </w:rPr>
            </w:pPr>
          </w:p>
        </w:tc>
        <w:tc>
          <w:tcPr>
            <w:tcW w:w="5512" w:type="dxa"/>
            <w:vMerge w:val="continue"/>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DF4FFFC">
            <w:pPr>
              <w:rPr>
                <w:rFonts w:hint="default" w:ascii="sans-serif" w:hAnsi="sans-serif" w:eastAsia="sans-serif" w:cs="sans-serif"/>
                <w:i w:val="0"/>
                <w:iCs w:val="0"/>
                <w:caps w:val="0"/>
                <w:color w:val="000000"/>
                <w:spacing w:val="0"/>
                <w:sz w:val="24"/>
                <w:szCs w:val="24"/>
              </w:rPr>
            </w:pPr>
          </w:p>
        </w:tc>
        <w:tc>
          <w:tcPr>
            <w:tcW w:w="525" w:type="dxa"/>
            <w:vMerge w:val="continue"/>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38505A3">
            <w:pPr>
              <w:rPr>
                <w:rFonts w:hint="default" w:ascii="sans-serif" w:hAnsi="sans-serif" w:eastAsia="sans-serif" w:cs="sans-serif"/>
                <w:i w:val="0"/>
                <w:iCs w:val="0"/>
                <w:caps w:val="0"/>
                <w:color w:val="000000"/>
                <w:spacing w:val="0"/>
                <w:sz w:val="24"/>
                <w:szCs w:val="24"/>
              </w:rPr>
            </w:pPr>
          </w:p>
        </w:tc>
        <w:tc>
          <w:tcPr>
            <w:tcW w:w="510" w:type="dxa"/>
            <w:vMerge w:val="continue"/>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DA9A4BD">
            <w:pPr>
              <w:rPr>
                <w:rFonts w:hint="default" w:ascii="sans-serif" w:hAnsi="sans-serif" w:eastAsia="sans-serif" w:cs="sans-serif"/>
                <w:i w:val="0"/>
                <w:iCs w:val="0"/>
                <w:caps w:val="0"/>
                <w:color w:val="000000"/>
                <w:spacing w:val="0"/>
                <w:sz w:val="24"/>
                <w:szCs w:val="24"/>
              </w:rPr>
            </w:pPr>
          </w:p>
        </w:tc>
        <w:tc>
          <w:tcPr>
            <w:tcW w:w="736" w:type="dxa"/>
            <w:vMerge w:val="continue"/>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A1F5E9D">
            <w:pPr>
              <w:rPr>
                <w:rFonts w:hint="default" w:ascii="sans-serif" w:hAnsi="sans-serif" w:eastAsia="sans-serif" w:cs="sans-serif"/>
                <w:i w:val="0"/>
                <w:iCs w:val="0"/>
                <w:caps w:val="0"/>
                <w:color w:val="000000"/>
                <w:spacing w:val="0"/>
                <w:sz w:val="24"/>
                <w:szCs w:val="24"/>
              </w:rPr>
            </w:pPr>
          </w:p>
        </w:tc>
        <w:tc>
          <w:tcPr>
            <w:tcW w:w="116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507D1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法定时限（天）</w:t>
            </w:r>
          </w:p>
        </w:tc>
        <w:tc>
          <w:tcPr>
            <w:tcW w:w="1110" w:type="dxa"/>
            <w:gridSpan w:val="2"/>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CDE2E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承诺时限（天）</w:t>
            </w:r>
          </w:p>
        </w:tc>
        <w:tc>
          <w:tcPr>
            <w:tcW w:w="84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96D83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宋体" w:hAnsi="宋体" w:eastAsia="宋体" w:cs="宋体"/>
                <w:i w:val="0"/>
                <w:iCs w:val="0"/>
                <w:caps w:val="0"/>
                <w:color w:val="000000"/>
                <w:spacing w:val="0"/>
                <w:sz w:val="20"/>
                <w:szCs w:val="20"/>
                <w:bdr w:val="none" w:color="auto" w:sz="0" w:space="0"/>
              </w:rPr>
              <w:t> </w:t>
            </w:r>
          </w:p>
        </w:tc>
        <w:tc>
          <w:tcPr>
            <w:tcW w:w="74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81B1C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宋体" w:hAnsi="宋体" w:eastAsia="宋体" w:cs="宋体"/>
                <w:i w:val="0"/>
                <w:iCs w:val="0"/>
                <w:caps w:val="0"/>
                <w:color w:val="000000"/>
                <w:spacing w:val="0"/>
                <w:sz w:val="20"/>
                <w:szCs w:val="20"/>
                <w:bdr w:val="none" w:color="auto" w:sz="0" w:space="0"/>
              </w:rPr>
              <w:t> </w:t>
            </w:r>
          </w:p>
        </w:tc>
        <w:tc>
          <w:tcPr>
            <w:tcW w:w="78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EA6CD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宋体" w:hAnsi="宋体" w:eastAsia="宋体" w:cs="宋体"/>
                <w:i w:val="0"/>
                <w:iCs w:val="0"/>
                <w:caps w:val="0"/>
                <w:color w:val="000000"/>
                <w:spacing w:val="0"/>
                <w:sz w:val="20"/>
                <w:szCs w:val="20"/>
                <w:bdr w:val="none" w:color="auto" w:sz="0" w:space="0"/>
              </w:rPr>
              <w:t> </w:t>
            </w:r>
          </w:p>
        </w:tc>
        <w:tc>
          <w:tcPr>
            <w:tcW w:w="60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2F5BD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宋体" w:hAnsi="宋体" w:eastAsia="宋体" w:cs="宋体"/>
                <w:i w:val="0"/>
                <w:iCs w:val="0"/>
                <w:caps w:val="0"/>
                <w:color w:val="000000"/>
                <w:spacing w:val="0"/>
                <w:sz w:val="20"/>
                <w:szCs w:val="20"/>
                <w:bdr w:val="none" w:color="auto" w:sz="0" w:space="0"/>
              </w:rPr>
              <w:t> </w:t>
            </w:r>
          </w:p>
        </w:tc>
        <w:tc>
          <w:tcPr>
            <w:tcW w:w="96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C3B90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宋体" w:hAnsi="宋体" w:eastAsia="宋体" w:cs="宋体"/>
                <w:i w:val="0"/>
                <w:iCs w:val="0"/>
                <w:caps w:val="0"/>
                <w:color w:val="000000"/>
                <w:spacing w:val="0"/>
                <w:sz w:val="20"/>
                <w:szCs w:val="20"/>
                <w:bdr w:val="none" w:color="auto" w:sz="0" w:space="0"/>
              </w:rPr>
              <w:t> </w:t>
            </w:r>
          </w:p>
        </w:tc>
      </w:tr>
      <w:tr w14:paraId="51CAF6B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185" w:hRule="atLeast"/>
        </w:trPr>
        <w:tc>
          <w:tcPr>
            <w:tcW w:w="47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565407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7</w:t>
            </w:r>
          </w:p>
        </w:tc>
        <w:tc>
          <w:tcPr>
            <w:tcW w:w="66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2FDBA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兽药经营许可证</w:t>
            </w:r>
          </w:p>
          <w:p w14:paraId="4DCF68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核发</w:t>
            </w:r>
          </w:p>
        </w:tc>
        <w:tc>
          <w:tcPr>
            <w:tcW w:w="551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AB357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0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兽药管理条例》（国务院令第404号）第四章第二十二条：“兽药经营的企业应当具备下列申报条件，申请人方可向市、县人民政府兽医主管部门提出申请，县级以上人民政府兽医主管部门收到申请后30个工作日完成审查（行政许可法规定20个工作日），审查合格的，发给兽药经营许可证，不合格的，通知申请人并说明理由”。</w:t>
            </w:r>
          </w:p>
          <w:p w14:paraId="508A18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 </w:t>
            </w:r>
          </w:p>
        </w:tc>
        <w:tc>
          <w:tcPr>
            <w:tcW w:w="52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25E0C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 </w:t>
            </w:r>
          </w:p>
          <w:p w14:paraId="78850B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法人</w:t>
            </w:r>
          </w:p>
        </w:tc>
        <w:tc>
          <w:tcPr>
            <w:tcW w:w="51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389BC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局行政审批股</w:t>
            </w:r>
          </w:p>
        </w:tc>
        <w:tc>
          <w:tcPr>
            <w:tcW w:w="73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0E2A8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无</w:t>
            </w:r>
          </w:p>
        </w:tc>
        <w:tc>
          <w:tcPr>
            <w:tcW w:w="116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A14D5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30</w:t>
            </w:r>
          </w:p>
        </w:tc>
        <w:tc>
          <w:tcPr>
            <w:tcW w:w="1110" w:type="dxa"/>
            <w:gridSpan w:val="2"/>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E2637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14</w:t>
            </w:r>
          </w:p>
        </w:tc>
        <w:tc>
          <w:tcPr>
            <w:tcW w:w="84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95FFC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否</w:t>
            </w:r>
          </w:p>
        </w:tc>
        <w:tc>
          <w:tcPr>
            <w:tcW w:w="74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F212C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无</w:t>
            </w:r>
          </w:p>
        </w:tc>
        <w:tc>
          <w:tcPr>
            <w:tcW w:w="78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D6462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否</w:t>
            </w:r>
          </w:p>
        </w:tc>
        <w:tc>
          <w:tcPr>
            <w:tcW w:w="60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F77CB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否</w:t>
            </w:r>
          </w:p>
        </w:tc>
        <w:tc>
          <w:tcPr>
            <w:tcW w:w="96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BFF8C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0C46905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20" w:hRule="atLeast"/>
        </w:trPr>
        <w:tc>
          <w:tcPr>
            <w:tcW w:w="47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150AE1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8</w:t>
            </w:r>
          </w:p>
        </w:tc>
        <w:tc>
          <w:tcPr>
            <w:tcW w:w="66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AE584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动物防疫条件合格证核发</w:t>
            </w:r>
          </w:p>
        </w:tc>
        <w:tc>
          <w:tcPr>
            <w:tcW w:w="551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1292F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0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中华人民共和国动物防疫法》第二十条：“兴办动物饲养场（养殖小区）和隔离场所，动物屠宰加工场所，以及动物和动物产品无害化处理场所，应当向县级以上人民政府兽医主管部门提出申请，并附具相关材料。受理申请的兽医主管部门应当依照本法和《中华人民共和国行政许可法》的规定进行审查”。</w:t>
            </w:r>
          </w:p>
          <w:p w14:paraId="63FB41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  </w:t>
            </w:r>
          </w:p>
        </w:tc>
        <w:tc>
          <w:tcPr>
            <w:tcW w:w="52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BB8F0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法人</w:t>
            </w:r>
          </w:p>
        </w:tc>
        <w:tc>
          <w:tcPr>
            <w:tcW w:w="51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F9379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局行政审批股</w:t>
            </w:r>
          </w:p>
        </w:tc>
        <w:tc>
          <w:tcPr>
            <w:tcW w:w="73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85E59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无</w:t>
            </w:r>
          </w:p>
        </w:tc>
        <w:tc>
          <w:tcPr>
            <w:tcW w:w="116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AFE67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20</w:t>
            </w:r>
          </w:p>
        </w:tc>
        <w:tc>
          <w:tcPr>
            <w:tcW w:w="1110" w:type="dxa"/>
            <w:gridSpan w:val="2"/>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13E3C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9</w:t>
            </w:r>
          </w:p>
        </w:tc>
        <w:tc>
          <w:tcPr>
            <w:tcW w:w="84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93B1B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否</w:t>
            </w:r>
          </w:p>
        </w:tc>
        <w:tc>
          <w:tcPr>
            <w:tcW w:w="74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33D56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无</w:t>
            </w:r>
          </w:p>
        </w:tc>
        <w:tc>
          <w:tcPr>
            <w:tcW w:w="78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37345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否</w:t>
            </w:r>
          </w:p>
        </w:tc>
        <w:tc>
          <w:tcPr>
            <w:tcW w:w="60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E6C17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否</w:t>
            </w:r>
          </w:p>
        </w:tc>
        <w:tc>
          <w:tcPr>
            <w:tcW w:w="96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0D9A4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617BDD6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57" w:hRule="atLeast"/>
        </w:trPr>
        <w:tc>
          <w:tcPr>
            <w:tcW w:w="471" w:type="dxa"/>
            <w:vMerge w:val="restart"/>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3CE2B7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序号</w:t>
            </w:r>
          </w:p>
        </w:tc>
        <w:tc>
          <w:tcPr>
            <w:tcW w:w="660" w:type="dxa"/>
            <w:vMerge w:val="restart"/>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54114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项目名称</w:t>
            </w:r>
          </w:p>
        </w:tc>
        <w:tc>
          <w:tcPr>
            <w:tcW w:w="5512" w:type="dxa"/>
            <w:vMerge w:val="restart"/>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D4612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实施依据</w:t>
            </w:r>
          </w:p>
        </w:tc>
        <w:tc>
          <w:tcPr>
            <w:tcW w:w="525" w:type="dxa"/>
            <w:vMerge w:val="restart"/>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C6E27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实施对象</w:t>
            </w:r>
          </w:p>
        </w:tc>
        <w:tc>
          <w:tcPr>
            <w:tcW w:w="510" w:type="dxa"/>
            <w:vMerge w:val="restart"/>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F58AB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责任科室</w:t>
            </w:r>
          </w:p>
        </w:tc>
        <w:tc>
          <w:tcPr>
            <w:tcW w:w="736" w:type="dxa"/>
            <w:vMerge w:val="restart"/>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D60A9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其他共同审批部门</w:t>
            </w:r>
          </w:p>
        </w:tc>
        <w:tc>
          <w:tcPr>
            <w:tcW w:w="2279" w:type="dxa"/>
            <w:gridSpan w:val="3"/>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2262C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时限要求</w:t>
            </w:r>
          </w:p>
        </w:tc>
        <w:tc>
          <w:tcPr>
            <w:tcW w:w="845" w:type="dxa"/>
            <w:vMerge w:val="restart"/>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FA9BC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收费</w:t>
            </w:r>
          </w:p>
          <w:p w14:paraId="2D1561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情况</w:t>
            </w:r>
          </w:p>
        </w:tc>
        <w:tc>
          <w:tcPr>
            <w:tcW w:w="745" w:type="dxa"/>
            <w:vMerge w:val="restart"/>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32785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是否有数量限制</w:t>
            </w:r>
          </w:p>
        </w:tc>
        <w:tc>
          <w:tcPr>
            <w:tcW w:w="780" w:type="dxa"/>
            <w:vMerge w:val="restart"/>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8FB51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是否需要下级初 审</w:t>
            </w:r>
          </w:p>
          <w:p w14:paraId="30CE12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（审核）</w:t>
            </w:r>
          </w:p>
        </w:tc>
        <w:tc>
          <w:tcPr>
            <w:tcW w:w="600" w:type="dxa"/>
            <w:vMerge w:val="restart"/>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A9AB0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前置</w:t>
            </w:r>
          </w:p>
          <w:p w14:paraId="28338F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条件</w:t>
            </w:r>
          </w:p>
        </w:tc>
        <w:tc>
          <w:tcPr>
            <w:tcW w:w="960" w:type="dxa"/>
            <w:vMerge w:val="restart"/>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66F2F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调整意见</w:t>
            </w:r>
          </w:p>
          <w:p w14:paraId="0F8486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及理由</w:t>
            </w:r>
          </w:p>
        </w:tc>
      </w:tr>
      <w:tr w14:paraId="6BE0F69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10" w:hRule="atLeast"/>
        </w:trPr>
        <w:tc>
          <w:tcPr>
            <w:tcW w:w="471" w:type="dxa"/>
            <w:vMerge w:val="continue"/>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56073B1D">
            <w:pPr>
              <w:rPr>
                <w:rFonts w:hint="default" w:ascii="sans-serif" w:hAnsi="sans-serif" w:eastAsia="sans-serif" w:cs="sans-serif"/>
                <w:i w:val="0"/>
                <w:iCs w:val="0"/>
                <w:caps w:val="0"/>
                <w:color w:val="000000"/>
                <w:spacing w:val="0"/>
                <w:sz w:val="24"/>
                <w:szCs w:val="24"/>
              </w:rPr>
            </w:pPr>
          </w:p>
        </w:tc>
        <w:tc>
          <w:tcPr>
            <w:tcW w:w="660" w:type="dxa"/>
            <w:vMerge w:val="continue"/>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AF28F1C">
            <w:pPr>
              <w:rPr>
                <w:rFonts w:hint="default" w:ascii="sans-serif" w:hAnsi="sans-serif" w:eastAsia="sans-serif" w:cs="sans-serif"/>
                <w:i w:val="0"/>
                <w:iCs w:val="0"/>
                <w:caps w:val="0"/>
                <w:color w:val="000000"/>
                <w:spacing w:val="0"/>
                <w:sz w:val="24"/>
                <w:szCs w:val="24"/>
              </w:rPr>
            </w:pPr>
          </w:p>
        </w:tc>
        <w:tc>
          <w:tcPr>
            <w:tcW w:w="5512" w:type="dxa"/>
            <w:vMerge w:val="continue"/>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35644E2">
            <w:pPr>
              <w:rPr>
                <w:rFonts w:hint="default" w:ascii="sans-serif" w:hAnsi="sans-serif" w:eastAsia="sans-serif" w:cs="sans-serif"/>
                <w:i w:val="0"/>
                <w:iCs w:val="0"/>
                <w:caps w:val="0"/>
                <w:color w:val="000000"/>
                <w:spacing w:val="0"/>
                <w:sz w:val="24"/>
                <w:szCs w:val="24"/>
              </w:rPr>
            </w:pPr>
          </w:p>
        </w:tc>
        <w:tc>
          <w:tcPr>
            <w:tcW w:w="525" w:type="dxa"/>
            <w:vMerge w:val="continue"/>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A16D77B">
            <w:pPr>
              <w:rPr>
                <w:rFonts w:hint="default" w:ascii="sans-serif" w:hAnsi="sans-serif" w:eastAsia="sans-serif" w:cs="sans-serif"/>
                <w:i w:val="0"/>
                <w:iCs w:val="0"/>
                <w:caps w:val="0"/>
                <w:color w:val="000000"/>
                <w:spacing w:val="0"/>
                <w:sz w:val="24"/>
                <w:szCs w:val="24"/>
              </w:rPr>
            </w:pPr>
          </w:p>
        </w:tc>
        <w:tc>
          <w:tcPr>
            <w:tcW w:w="510" w:type="dxa"/>
            <w:vMerge w:val="continue"/>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01BC8FD">
            <w:pPr>
              <w:rPr>
                <w:rFonts w:hint="default" w:ascii="sans-serif" w:hAnsi="sans-serif" w:eastAsia="sans-serif" w:cs="sans-serif"/>
                <w:i w:val="0"/>
                <w:iCs w:val="0"/>
                <w:caps w:val="0"/>
                <w:color w:val="000000"/>
                <w:spacing w:val="0"/>
                <w:sz w:val="24"/>
                <w:szCs w:val="24"/>
              </w:rPr>
            </w:pPr>
          </w:p>
        </w:tc>
        <w:tc>
          <w:tcPr>
            <w:tcW w:w="736" w:type="dxa"/>
            <w:vMerge w:val="continue"/>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3F0049E">
            <w:pPr>
              <w:rPr>
                <w:rFonts w:hint="default" w:ascii="sans-serif" w:hAnsi="sans-serif" w:eastAsia="sans-serif" w:cs="sans-serif"/>
                <w:i w:val="0"/>
                <w:iCs w:val="0"/>
                <w:caps w:val="0"/>
                <w:color w:val="000000"/>
                <w:spacing w:val="0"/>
                <w:sz w:val="24"/>
                <w:szCs w:val="24"/>
              </w:rPr>
            </w:pPr>
          </w:p>
        </w:tc>
        <w:tc>
          <w:tcPr>
            <w:tcW w:w="1200" w:type="dxa"/>
            <w:gridSpan w:val="2"/>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7095D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法定时限（天）</w:t>
            </w:r>
          </w:p>
        </w:tc>
        <w:tc>
          <w:tcPr>
            <w:tcW w:w="107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52377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承诺时限（天）</w:t>
            </w:r>
          </w:p>
        </w:tc>
        <w:tc>
          <w:tcPr>
            <w:tcW w:w="845" w:type="dxa"/>
            <w:vMerge w:val="continue"/>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2EC1EE3">
            <w:pPr>
              <w:rPr>
                <w:rFonts w:hint="default" w:ascii="sans-serif" w:hAnsi="sans-serif" w:eastAsia="sans-serif" w:cs="sans-serif"/>
                <w:i w:val="0"/>
                <w:iCs w:val="0"/>
                <w:caps w:val="0"/>
                <w:color w:val="000000"/>
                <w:spacing w:val="0"/>
                <w:sz w:val="24"/>
                <w:szCs w:val="24"/>
              </w:rPr>
            </w:pPr>
          </w:p>
        </w:tc>
        <w:tc>
          <w:tcPr>
            <w:tcW w:w="745" w:type="dxa"/>
            <w:vMerge w:val="continue"/>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0DE745B">
            <w:pPr>
              <w:rPr>
                <w:rFonts w:hint="default" w:ascii="sans-serif" w:hAnsi="sans-serif" w:eastAsia="sans-serif" w:cs="sans-serif"/>
                <w:i w:val="0"/>
                <w:iCs w:val="0"/>
                <w:caps w:val="0"/>
                <w:color w:val="000000"/>
                <w:spacing w:val="0"/>
                <w:sz w:val="24"/>
                <w:szCs w:val="24"/>
              </w:rPr>
            </w:pPr>
          </w:p>
        </w:tc>
        <w:tc>
          <w:tcPr>
            <w:tcW w:w="780" w:type="dxa"/>
            <w:vMerge w:val="continue"/>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556727C">
            <w:pPr>
              <w:rPr>
                <w:rFonts w:hint="default" w:ascii="sans-serif" w:hAnsi="sans-serif" w:eastAsia="sans-serif" w:cs="sans-serif"/>
                <w:i w:val="0"/>
                <w:iCs w:val="0"/>
                <w:caps w:val="0"/>
                <w:color w:val="000000"/>
                <w:spacing w:val="0"/>
                <w:sz w:val="24"/>
                <w:szCs w:val="24"/>
              </w:rPr>
            </w:pPr>
          </w:p>
        </w:tc>
        <w:tc>
          <w:tcPr>
            <w:tcW w:w="600" w:type="dxa"/>
            <w:vMerge w:val="continue"/>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65A0E07">
            <w:pPr>
              <w:rPr>
                <w:rFonts w:hint="default" w:ascii="sans-serif" w:hAnsi="sans-serif" w:eastAsia="sans-serif" w:cs="sans-serif"/>
                <w:i w:val="0"/>
                <w:iCs w:val="0"/>
                <w:caps w:val="0"/>
                <w:color w:val="000000"/>
                <w:spacing w:val="0"/>
                <w:sz w:val="24"/>
                <w:szCs w:val="24"/>
              </w:rPr>
            </w:pPr>
          </w:p>
        </w:tc>
        <w:tc>
          <w:tcPr>
            <w:tcW w:w="960" w:type="dxa"/>
            <w:vMerge w:val="continue"/>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3FA64B4">
            <w:pPr>
              <w:rPr>
                <w:rFonts w:hint="default" w:ascii="sans-serif" w:hAnsi="sans-serif" w:eastAsia="sans-serif" w:cs="sans-serif"/>
                <w:i w:val="0"/>
                <w:iCs w:val="0"/>
                <w:caps w:val="0"/>
                <w:color w:val="000000"/>
                <w:spacing w:val="0"/>
                <w:sz w:val="24"/>
                <w:szCs w:val="24"/>
              </w:rPr>
            </w:pPr>
          </w:p>
        </w:tc>
      </w:tr>
      <w:tr w14:paraId="5DB661B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05" w:hRule="atLeast"/>
        </w:trPr>
        <w:tc>
          <w:tcPr>
            <w:tcW w:w="47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44A1AF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9</w:t>
            </w:r>
          </w:p>
        </w:tc>
        <w:tc>
          <w:tcPr>
            <w:tcW w:w="66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DDD54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执业兽医师注册</w:t>
            </w:r>
          </w:p>
        </w:tc>
        <w:tc>
          <w:tcPr>
            <w:tcW w:w="551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447E4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中华人民共和国动物防疫法》（1997年7月3日主席令第八十七号，2015年4月24日予以修改）第五十四条：国家实行执业兽医资格考试制度。具有兽医相关专业大学专科以上学历的，可以申请参加执业兽医资格考试；考试合格的，由省、自治区、直辖市人民政府兽医主管部门颁发执业兽医资格证书；从事动物诊疗的，还应当向当地县级人民政府兽医主管部门申请注册。  《执业兽医管理办法》第十四条 取得执业兽医师资格证书，从事动物诊疗活动的，应当向注册机关申请兽医执业注册；取得执业助理兽医师资格证书，从事动物诊疗辅助活动的，应当向注册机关备案。  第四十四条 本办法所称注册机关，是指县（市辖区）级人民政府兽医主管部门；市辖区未设立兽医主管部门的，注册机关为上一级兽医主管部门。</w:t>
            </w:r>
          </w:p>
        </w:tc>
        <w:tc>
          <w:tcPr>
            <w:tcW w:w="52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D2661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333333"/>
                <w:spacing w:val="0"/>
                <w:sz w:val="21"/>
                <w:szCs w:val="21"/>
                <w:bdr w:val="none" w:color="auto" w:sz="0" w:space="0"/>
                <w:shd w:val="clear" w:fill="FFFFFF"/>
              </w:rPr>
              <w:t>个人</w:t>
            </w:r>
          </w:p>
        </w:tc>
        <w:tc>
          <w:tcPr>
            <w:tcW w:w="51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FAF16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局行政审批股</w:t>
            </w:r>
          </w:p>
        </w:tc>
        <w:tc>
          <w:tcPr>
            <w:tcW w:w="73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2A783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无</w:t>
            </w:r>
          </w:p>
        </w:tc>
        <w:tc>
          <w:tcPr>
            <w:tcW w:w="1200" w:type="dxa"/>
            <w:gridSpan w:val="2"/>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9A7B2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20</w:t>
            </w:r>
          </w:p>
        </w:tc>
        <w:tc>
          <w:tcPr>
            <w:tcW w:w="107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953F7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7</w:t>
            </w:r>
          </w:p>
        </w:tc>
        <w:tc>
          <w:tcPr>
            <w:tcW w:w="84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5D371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否</w:t>
            </w:r>
          </w:p>
        </w:tc>
        <w:tc>
          <w:tcPr>
            <w:tcW w:w="74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86F4C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无</w:t>
            </w:r>
          </w:p>
        </w:tc>
        <w:tc>
          <w:tcPr>
            <w:tcW w:w="78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FC8AF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否</w:t>
            </w:r>
          </w:p>
        </w:tc>
        <w:tc>
          <w:tcPr>
            <w:tcW w:w="60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760AD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否</w:t>
            </w:r>
          </w:p>
        </w:tc>
        <w:tc>
          <w:tcPr>
            <w:tcW w:w="96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D77A1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27AF015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88" w:hRule="atLeast"/>
        </w:trPr>
        <w:tc>
          <w:tcPr>
            <w:tcW w:w="471" w:type="dxa"/>
            <w:vMerge w:val="restart"/>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624C3E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序号</w:t>
            </w:r>
          </w:p>
        </w:tc>
        <w:tc>
          <w:tcPr>
            <w:tcW w:w="660" w:type="dxa"/>
            <w:vMerge w:val="restart"/>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6568C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项目名称</w:t>
            </w:r>
          </w:p>
        </w:tc>
        <w:tc>
          <w:tcPr>
            <w:tcW w:w="5512" w:type="dxa"/>
            <w:vMerge w:val="restart"/>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71DEF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实施依据</w:t>
            </w:r>
          </w:p>
        </w:tc>
        <w:tc>
          <w:tcPr>
            <w:tcW w:w="525" w:type="dxa"/>
            <w:vMerge w:val="restart"/>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84875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实施对象</w:t>
            </w:r>
          </w:p>
        </w:tc>
        <w:tc>
          <w:tcPr>
            <w:tcW w:w="510" w:type="dxa"/>
            <w:vMerge w:val="restart"/>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5741A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责任科室</w:t>
            </w:r>
          </w:p>
        </w:tc>
        <w:tc>
          <w:tcPr>
            <w:tcW w:w="736" w:type="dxa"/>
            <w:vMerge w:val="restart"/>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EFE41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其他共同审批部门</w:t>
            </w:r>
          </w:p>
        </w:tc>
        <w:tc>
          <w:tcPr>
            <w:tcW w:w="2279" w:type="dxa"/>
            <w:gridSpan w:val="3"/>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9236A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时限要求</w:t>
            </w:r>
          </w:p>
        </w:tc>
        <w:tc>
          <w:tcPr>
            <w:tcW w:w="845" w:type="dxa"/>
            <w:vMerge w:val="restart"/>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148FD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收费</w:t>
            </w:r>
          </w:p>
          <w:p w14:paraId="546135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情况</w:t>
            </w:r>
          </w:p>
        </w:tc>
        <w:tc>
          <w:tcPr>
            <w:tcW w:w="745" w:type="dxa"/>
            <w:vMerge w:val="restart"/>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DCEBB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是否有数量限制</w:t>
            </w:r>
          </w:p>
        </w:tc>
        <w:tc>
          <w:tcPr>
            <w:tcW w:w="780" w:type="dxa"/>
            <w:vMerge w:val="restart"/>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801F1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是否需要下级初 审</w:t>
            </w:r>
          </w:p>
          <w:p w14:paraId="7921CC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（审核）</w:t>
            </w:r>
          </w:p>
        </w:tc>
        <w:tc>
          <w:tcPr>
            <w:tcW w:w="600" w:type="dxa"/>
            <w:vMerge w:val="restart"/>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5BB13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前置</w:t>
            </w:r>
          </w:p>
          <w:p w14:paraId="5C5288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条件</w:t>
            </w:r>
          </w:p>
        </w:tc>
        <w:tc>
          <w:tcPr>
            <w:tcW w:w="960" w:type="dxa"/>
            <w:vMerge w:val="restart"/>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388BF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调整意见</w:t>
            </w:r>
          </w:p>
          <w:p w14:paraId="7116C9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及理由</w:t>
            </w:r>
          </w:p>
        </w:tc>
      </w:tr>
      <w:tr w14:paraId="45368B7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23" w:hRule="atLeast"/>
        </w:trPr>
        <w:tc>
          <w:tcPr>
            <w:tcW w:w="471" w:type="dxa"/>
            <w:vMerge w:val="continue"/>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5256C761">
            <w:pPr>
              <w:rPr>
                <w:rFonts w:hint="default" w:ascii="sans-serif" w:hAnsi="sans-serif" w:eastAsia="sans-serif" w:cs="sans-serif"/>
                <w:i w:val="0"/>
                <w:iCs w:val="0"/>
                <w:caps w:val="0"/>
                <w:color w:val="000000"/>
                <w:spacing w:val="0"/>
                <w:sz w:val="24"/>
                <w:szCs w:val="24"/>
              </w:rPr>
            </w:pPr>
          </w:p>
        </w:tc>
        <w:tc>
          <w:tcPr>
            <w:tcW w:w="660" w:type="dxa"/>
            <w:vMerge w:val="continue"/>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D472F51">
            <w:pPr>
              <w:rPr>
                <w:rFonts w:hint="default" w:ascii="sans-serif" w:hAnsi="sans-serif" w:eastAsia="sans-serif" w:cs="sans-serif"/>
                <w:i w:val="0"/>
                <w:iCs w:val="0"/>
                <w:caps w:val="0"/>
                <w:color w:val="000000"/>
                <w:spacing w:val="0"/>
                <w:sz w:val="24"/>
                <w:szCs w:val="24"/>
              </w:rPr>
            </w:pPr>
          </w:p>
        </w:tc>
        <w:tc>
          <w:tcPr>
            <w:tcW w:w="5512" w:type="dxa"/>
            <w:vMerge w:val="continue"/>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3C1E014">
            <w:pPr>
              <w:rPr>
                <w:rFonts w:hint="default" w:ascii="sans-serif" w:hAnsi="sans-serif" w:eastAsia="sans-serif" w:cs="sans-serif"/>
                <w:i w:val="0"/>
                <w:iCs w:val="0"/>
                <w:caps w:val="0"/>
                <w:color w:val="000000"/>
                <w:spacing w:val="0"/>
                <w:sz w:val="24"/>
                <w:szCs w:val="24"/>
              </w:rPr>
            </w:pPr>
          </w:p>
        </w:tc>
        <w:tc>
          <w:tcPr>
            <w:tcW w:w="525" w:type="dxa"/>
            <w:vMerge w:val="continue"/>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3B98A4F">
            <w:pPr>
              <w:rPr>
                <w:rFonts w:hint="default" w:ascii="sans-serif" w:hAnsi="sans-serif" w:eastAsia="sans-serif" w:cs="sans-serif"/>
                <w:i w:val="0"/>
                <w:iCs w:val="0"/>
                <w:caps w:val="0"/>
                <w:color w:val="000000"/>
                <w:spacing w:val="0"/>
                <w:sz w:val="24"/>
                <w:szCs w:val="24"/>
              </w:rPr>
            </w:pPr>
          </w:p>
        </w:tc>
        <w:tc>
          <w:tcPr>
            <w:tcW w:w="510" w:type="dxa"/>
            <w:vMerge w:val="continue"/>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E15CBE2">
            <w:pPr>
              <w:rPr>
                <w:rFonts w:hint="default" w:ascii="sans-serif" w:hAnsi="sans-serif" w:eastAsia="sans-serif" w:cs="sans-serif"/>
                <w:i w:val="0"/>
                <w:iCs w:val="0"/>
                <w:caps w:val="0"/>
                <w:color w:val="000000"/>
                <w:spacing w:val="0"/>
                <w:sz w:val="24"/>
                <w:szCs w:val="24"/>
              </w:rPr>
            </w:pPr>
          </w:p>
        </w:tc>
        <w:tc>
          <w:tcPr>
            <w:tcW w:w="736" w:type="dxa"/>
            <w:vMerge w:val="continue"/>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E53488F">
            <w:pPr>
              <w:rPr>
                <w:rFonts w:hint="default" w:ascii="sans-serif" w:hAnsi="sans-serif" w:eastAsia="sans-serif" w:cs="sans-serif"/>
                <w:i w:val="0"/>
                <w:iCs w:val="0"/>
                <w:caps w:val="0"/>
                <w:color w:val="000000"/>
                <w:spacing w:val="0"/>
                <w:sz w:val="24"/>
                <w:szCs w:val="24"/>
              </w:rPr>
            </w:pPr>
          </w:p>
        </w:tc>
        <w:tc>
          <w:tcPr>
            <w:tcW w:w="1200" w:type="dxa"/>
            <w:gridSpan w:val="2"/>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DC225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法定时限（天）</w:t>
            </w:r>
          </w:p>
        </w:tc>
        <w:tc>
          <w:tcPr>
            <w:tcW w:w="107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12F9E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承诺时限（天）</w:t>
            </w:r>
          </w:p>
        </w:tc>
        <w:tc>
          <w:tcPr>
            <w:tcW w:w="845" w:type="dxa"/>
            <w:vMerge w:val="continue"/>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3DC7631">
            <w:pPr>
              <w:rPr>
                <w:rFonts w:hint="default" w:ascii="sans-serif" w:hAnsi="sans-serif" w:eastAsia="sans-serif" w:cs="sans-serif"/>
                <w:i w:val="0"/>
                <w:iCs w:val="0"/>
                <w:caps w:val="0"/>
                <w:color w:val="000000"/>
                <w:spacing w:val="0"/>
                <w:sz w:val="24"/>
                <w:szCs w:val="24"/>
              </w:rPr>
            </w:pPr>
          </w:p>
        </w:tc>
        <w:tc>
          <w:tcPr>
            <w:tcW w:w="745" w:type="dxa"/>
            <w:vMerge w:val="continue"/>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6610B66">
            <w:pPr>
              <w:rPr>
                <w:rFonts w:hint="default" w:ascii="sans-serif" w:hAnsi="sans-serif" w:eastAsia="sans-serif" w:cs="sans-serif"/>
                <w:i w:val="0"/>
                <w:iCs w:val="0"/>
                <w:caps w:val="0"/>
                <w:color w:val="000000"/>
                <w:spacing w:val="0"/>
                <w:sz w:val="24"/>
                <w:szCs w:val="24"/>
              </w:rPr>
            </w:pPr>
          </w:p>
        </w:tc>
        <w:tc>
          <w:tcPr>
            <w:tcW w:w="780" w:type="dxa"/>
            <w:vMerge w:val="continue"/>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C9199FA">
            <w:pPr>
              <w:rPr>
                <w:rFonts w:hint="default" w:ascii="sans-serif" w:hAnsi="sans-serif" w:eastAsia="sans-serif" w:cs="sans-serif"/>
                <w:i w:val="0"/>
                <w:iCs w:val="0"/>
                <w:caps w:val="0"/>
                <w:color w:val="000000"/>
                <w:spacing w:val="0"/>
                <w:sz w:val="24"/>
                <w:szCs w:val="24"/>
              </w:rPr>
            </w:pPr>
          </w:p>
        </w:tc>
        <w:tc>
          <w:tcPr>
            <w:tcW w:w="600" w:type="dxa"/>
            <w:vMerge w:val="continue"/>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F68DB4D">
            <w:pPr>
              <w:rPr>
                <w:rFonts w:hint="default" w:ascii="sans-serif" w:hAnsi="sans-serif" w:eastAsia="sans-serif" w:cs="sans-serif"/>
                <w:i w:val="0"/>
                <w:iCs w:val="0"/>
                <w:caps w:val="0"/>
                <w:color w:val="000000"/>
                <w:spacing w:val="0"/>
                <w:sz w:val="24"/>
                <w:szCs w:val="24"/>
              </w:rPr>
            </w:pPr>
          </w:p>
        </w:tc>
        <w:tc>
          <w:tcPr>
            <w:tcW w:w="960" w:type="dxa"/>
            <w:vMerge w:val="continue"/>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FBFD780">
            <w:pPr>
              <w:rPr>
                <w:rFonts w:hint="default" w:ascii="sans-serif" w:hAnsi="sans-serif" w:eastAsia="sans-serif" w:cs="sans-serif"/>
                <w:i w:val="0"/>
                <w:iCs w:val="0"/>
                <w:caps w:val="0"/>
                <w:color w:val="000000"/>
                <w:spacing w:val="0"/>
                <w:sz w:val="24"/>
                <w:szCs w:val="24"/>
              </w:rPr>
            </w:pPr>
          </w:p>
        </w:tc>
      </w:tr>
      <w:tr w14:paraId="151140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575" w:hRule="atLeast"/>
        </w:trPr>
        <w:tc>
          <w:tcPr>
            <w:tcW w:w="47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468CB0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10</w:t>
            </w:r>
          </w:p>
        </w:tc>
        <w:tc>
          <w:tcPr>
            <w:tcW w:w="66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5FEB4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执业助理兽医师备案</w:t>
            </w:r>
          </w:p>
        </w:tc>
        <w:tc>
          <w:tcPr>
            <w:tcW w:w="551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E08DF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中华人民共和国动物防疫法》（1997年7月3日主席令第八十七号，2015年4月24日予以修改）第五十四条：国家实行执业兽医资格考试制度。具有兽医相关专业大学专科以上学历的，可以申请参加执业兽医资格考试；考试合格的，由省、自治区、直辖市人民政府兽医主管部门颁发执业兽医资格证书；从事动物诊疗的，还应当向当地县级人民政府兽医主管部门申请注册。  《执业兽医管理办法》第十四条 取得执业兽医师资格证书，从事动物诊疗活动的，应当向注册机关申请兽医执业注册；取得执业助理兽医师资格证书，从事动物诊疗辅助活动的，应当向注册机关备案。  第四十四条 本办法所称注册机关，是指县（市辖区）级人民政府兽医主管部门；市辖区未设立兽医主管部门的，注册机关为上一级兽医主管部门。</w:t>
            </w:r>
          </w:p>
        </w:tc>
        <w:tc>
          <w:tcPr>
            <w:tcW w:w="52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F1E2E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333333"/>
                <w:spacing w:val="0"/>
                <w:sz w:val="21"/>
                <w:szCs w:val="21"/>
                <w:bdr w:val="none" w:color="auto" w:sz="0" w:space="0"/>
                <w:shd w:val="clear" w:fill="FFFFFF"/>
              </w:rPr>
              <w:t>个人</w:t>
            </w:r>
          </w:p>
        </w:tc>
        <w:tc>
          <w:tcPr>
            <w:tcW w:w="51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5F10E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局行政审批股</w:t>
            </w:r>
          </w:p>
        </w:tc>
        <w:tc>
          <w:tcPr>
            <w:tcW w:w="73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ECB99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无</w:t>
            </w:r>
          </w:p>
        </w:tc>
        <w:tc>
          <w:tcPr>
            <w:tcW w:w="1200" w:type="dxa"/>
            <w:gridSpan w:val="2"/>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FD19B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20</w:t>
            </w:r>
          </w:p>
        </w:tc>
        <w:tc>
          <w:tcPr>
            <w:tcW w:w="107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D3382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7</w:t>
            </w:r>
          </w:p>
        </w:tc>
        <w:tc>
          <w:tcPr>
            <w:tcW w:w="84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F5797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否</w:t>
            </w:r>
          </w:p>
        </w:tc>
        <w:tc>
          <w:tcPr>
            <w:tcW w:w="74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49A85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无</w:t>
            </w:r>
          </w:p>
        </w:tc>
        <w:tc>
          <w:tcPr>
            <w:tcW w:w="78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09E07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否</w:t>
            </w:r>
          </w:p>
        </w:tc>
        <w:tc>
          <w:tcPr>
            <w:tcW w:w="60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D8615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否</w:t>
            </w:r>
          </w:p>
        </w:tc>
        <w:tc>
          <w:tcPr>
            <w:tcW w:w="96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AAFCA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66E412B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45" w:hRule="atLeast"/>
        </w:trPr>
        <w:tc>
          <w:tcPr>
            <w:tcW w:w="471" w:type="dxa"/>
            <w:vMerge w:val="restart"/>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42B6F1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序号</w:t>
            </w:r>
          </w:p>
        </w:tc>
        <w:tc>
          <w:tcPr>
            <w:tcW w:w="660" w:type="dxa"/>
            <w:vMerge w:val="restart"/>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E80F9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项目名称</w:t>
            </w:r>
          </w:p>
        </w:tc>
        <w:tc>
          <w:tcPr>
            <w:tcW w:w="5512" w:type="dxa"/>
            <w:vMerge w:val="restart"/>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E565E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实施依据</w:t>
            </w:r>
          </w:p>
        </w:tc>
        <w:tc>
          <w:tcPr>
            <w:tcW w:w="525" w:type="dxa"/>
            <w:vMerge w:val="restart"/>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5A314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实施对象</w:t>
            </w:r>
          </w:p>
        </w:tc>
        <w:tc>
          <w:tcPr>
            <w:tcW w:w="510" w:type="dxa"/>
            <w:vMerge w:val="restart"/>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98726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责任科室</w:t>
            </w:r>
          </w:p>
        </w:tc>
        <w:tc>
          <w:tcPr>
            <w:tcW w:w="736" w:type="dxa"/>
            <w:vMerge w:val="restart"/>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C46BC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其他共同审批部门</w:t>
            </w:r>
          </w:p>
        </w:tc>
        <w:tc>
          <w:tcPr>
            <w:tcW w:w="2279" w:type="dxa"/>
            <w:gridSpan w:val="3"/>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3F2F5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时限要求</w:t>
            </w:r>
          </w:p>
        </w:tc>
        <w:tc>
          <w:tcPr>
            <w:tcW w:w="845" w:type="dxa"/>
            <w:vMerge w:val="restart"/>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0400E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收费</w:t>
            </w:r>
          </w:p>
          <w:p w14:paraId="3536E2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情况</w:t>
            </w:r>
          </w:p>
        </w:tc>
        <w:tc>
          <w:tcPr>
            <w:tcW w:w="745" w:type="dxa"/>
            <w:vMerge w:val="restart"/>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625BE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是否有数量限制</w:t>
            </w:r>
          </w:p>
        </w:tc>
        <w:tc>
          <w:tcPr>
            <w:tcW w:w="780" w:type="dxa"/>
            <w:vMerge w:val="restart"/>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0862E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是否需要下级初 审</w:t>
            </w:r>
          </w:p>
          <w:p w14:paraId="13A7AD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（审核）</w:t>
            </w:r>
          </w:p>
        </w:tc>
        <w:tc>
          <w:tcPr>
            <w:tcW w:w="600" w:type="dxa"/>
            <w:vMerge w:val="restart"/>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419B3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前置</w:t>
            </w:r>
          </w:p>
          <w:p w14:paraId="31A697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条件</w:t>
            </w:r>
          </w:p>
        </w:tc>
        <w:tc>
          <w:tcPr>
            <w:tcW w:w="960" w:type="dxa"/>
            <w:vMerge w:val="restart"/>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B7129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调整意见</w:t>
            </w:r>
          </w:p>
          <w:p w14:paraId="1078FF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及理由</w:t>
            </w:r>
          </w:p>
        </w:tc>
      </w:tr>
      <w:tr w14:paraId="516572C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45" w:hRule="atLeast"/>
        </w:trPr>
        <w:tc>
          <w:tcPr>
            <w:tcW w:w="471" w:type="dxa"/>
            <w:vMerge w:val="continue"/>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2DDA1EFB">
            <w:pPr>
              <w:rPr>
                <w:rFonts w:hint="default" w:ascii="sans-serif" w:hAnsi="sans-serif" w:eastAsia="sans-serif" w:cs="sans-serif"/>
                <w:i w:val="0"/>
                <w:iCs w:val="0"/>
                <w:caps w:val="0"/>
                <w:color w:val="000000"/>
                <w:spacing w:val="0"/>
                <w:sz w:val="24"/>
                <w:szCs w:val="24"/>
              </w:rPr>
            </w:pPr>
          </w:p>
        </w:tc>
        <w:tc>
          <w:tcPr>
            <w:tcW w:w="660" w:type="dxa"/>
            <w:vMerge w:val="continue"/>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59062E0">
            <w:pPr>
              <w:rPr>
                <w:rFonts w:hint="default" w:ascii="sans-serif" w:hAnsi="sans-serif" w:eastAsia="sans-serif" w:cs="sans-serif"/>
                <w:i w:val="0"/>
                <w:iCs w:val="0"/>
                <w:caps w:val="0"/>
                <w:color w:val="000000"/>
                <w:spacing w:val="0"/>
                <w:sz w:val="24"/>
                <w:szCs w:val="24"/>
              </w:rPr>
            </w:pPr>
          </w:p>
        </w:tc>
        <w:tc>
          <w:tcPr>
            <w:tcW w:w="5512" w:type="dxa"/>
            <w:vMerge w:val="continue"/>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06AF424">
            <w:pPr>
              <w:rPr>
                <w:rFonts w:hint="default" w:ascii="sans-serif" w:hAnsi="sans-serif" w:eastAsia="sans-serif" w:cs="sans-serif"/>
                <w:i w:val="0"/>
                <w:iCs w:val="0"/>
                <w:caps w:val="0"/>
                <w:color w:val="000000"/>
                <w:spacing w:val="0"/>
                <w:sz w:val="24"/>
                <w:szCs w:val="24"/>
              </w:rPr>
            </w:pPr>
          </w:p>
        </w:tc>
        <w:tc>
          <w:tcPr>
            <w:tcW w:w="525" w:type="dxa"/>
            <w:vMerge w:val="continue"/>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B49BCF1">
            <w:pPr>
              <w:rPr>
                <w:rFonts w:hint="default" w:ascii="sans-serif" w:hAnsi="sans-serif" w:eastAsia="sans-serif" w:cs="sans-serif"/>
                <w:i w:val="0"/>
                <w:iCs w:val="0"/>
                <w:caps w:val="0"/>
                <w:color w:val="000000"/>
                <w:spacing w:val="0"/>
                <w:sz w:val="24"/>
                <w:szCs w:val="24"/>
              </w:rPr>
            </w:pPr>
          </w:p>
        </w:tc>
        <w:tc>
          <w:tcPr>
            <w:tcW w:w="510" w:type="dxa"/>
            <w:vMerge w:val="continue"/>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0447A03">
            <w:pPr>
              <w:rPr>
                <w:rFonts w:hint="default" w:ascii="sans-serif" w:hAnsi="sans-serif" w:eastAsia="sans-serif" w:cs="sans-serif"/>
                <w:i w:val="0"/>
                <w:iCs w:val="0"/>
                <w:caps w:val="0"/>
                <w:color w:val="000000"/>
                <w:spacing w:val="0"/>
                <w:sz w:val="24"/>
                <w:szCs w:val="24"/>
              </w:rPr>
            </w:pPr>
          </w:p>
        </w:tc>
        <w:tc>
          <w:tcPr>
            <w:tcW w:w="736" w:type="dxa"/>
            <w:vMerge w:val="continue"/>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08BC9D5">
            <w:pPr>
              <w:rPr>
                <w:rFonts w:hint="default" w:ascii="sans-serif" w:hAnsi="sans-serif" w:eastAsia="sans-serif" w:cs="sans-serif"/>
                <w:i w:val="0"/>
                <w:iCs w:val="0"/>
                <w:caps w:val="0"/>
                <w:color w:val="000000"/>
                <w:spacing w:val="0"/>
                <w:sz w:val="24"/>
                <w:szCs w:val="24"/>
              </w:rPr>
            </w:pPr>
          </w:p>
        </w:tc>
        <w:tc>
          <w:tcPr>
            <w:tcW w:w="1200" w:type="dxa"/>
            <w:gridSpan w:val="2"/>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67033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法定时限（天）</w:t>
            </w:r>
          </w:p>
        </w:tc>
        <w:tc>
          <w:tcPr>
            <w:tcW w:w="107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63DE0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承诺时限（天）</w:t>
            </w:r>
          </w:p>
        </w:tc>
        <w:tc>
          <w:tcPr>
            <w:tcW w:w="845" w:type="dxa"/>
            <w:vMerge w:val="continue"/>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56956FD">
            <w:pPr>
              <w:rPr>
                <w:rFonts w:hint="default" w:ascii="sans-serif" w:hAnsi="sans-serif" w:eastAsia="sans-serif" w:cs="sans-serif"/>
                <w:i w:val="0"/>
                <w:iCs w:val="0"/>
                <w:caps w:val="0"/>
                <w:color w:val="000000"/>
                <w:spacing w:val="0"/>
                <w:sz w:val="24"/>
                <w:szCs w:val="24"/>
              </w:rPr>
            </w:pPr>
          </w:p>
        </w:tc>
        <w:tc>
          <w:tcPr>
            <w:tcW w:w="745" w:type="dxa"/>
            <w:vMerge w:val="continue"/>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57373CF">
            <w:pPr>
              <w:rPr>
                <w:rFonts w:hint="default" w:ascii="sans-serif" w:hAnsi="sans-serif" w:eastAsia="sans-serif" w:cs="sans-serif"/>
                <w:i w:val="0"/>
                <w:iCs w:val="0"/>
                <w:caps w:val="0"/>
                <w:color w:val="000000"/>
                <w:spacing w:val="0"/>
                <w:sz w:val="24"/>
                <w:szCs w:val="24"/>
              </w:rPr>
            </w:pPr>
          </w:p>
        </w:tc>
        <w:tc>
          <w:tcPr>
            <w:tcW w:w="780" w:type="dxa"/>
            <w:vMerge w:val="continue"/>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234D45A">
            <w:pPr>
              <w:rPr>
                <w:rFonts w:hint="default" w:ascii="sans-serif" w:hAnsi="sans-serif" w:eastAsia="sans-serif" w:cs="sans-serif"/>
                <w:i w:val="0"/>
                <w:iCs w:val="0"/>
                <w:caps w:val="0"/>
                <w:color w:val="000000"/>
                <w:spacing w:val="0"/>
                <w:sz w:val="24"/>
                <w:szCs w:val="24"/>
              </w:rPr>
            </w:pPr>
          </w:p>
        </w:tc>
        <w:tc>
          <w:tcPr>
            <w:tcW w:w="600" w:type="dxa"/>
            <w:vMerge w:val="continue"/>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69B8891">
            <w:pPr>
              <w:rPr>
                <w:rFonts w:hint="default" w:ascii="sans-serif" w:hAnsi="sans-serif" w:eastAsia="sans-serif" w:cs="sans-serif"/>
                <w:i w:val="0"/>
                <w:iCs w:val="0"/>
                <w:caps w:val="0"/>
                <w:color w:val="000000"/>
                <w:spacing w:val="0"/>
                <w:sz w:val="24"/>
                <w:szCs w:val="24"/>
              </w:rPr>
            </w:pPr>
          </w:p>
        </w:tc>
        <w:tc>
          <w:tcPr>
            <w:tcW w:w="960" w:type="dxa"/>
            <w:vMerge w:val="continue"/>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262A141">
            <w:pPr>
              <w:rPr>
                <w:rFonts w:hint="default" w:ascii="sans-serif" w:hAnsi="sans-serif" w:eastAsia="sans-serif" w:cs="sans-serif"/>
                <w:i w:val="0"/>
                <w:iCs w:val="0"/>
                <w:caps w:val="0"/>
                <w:color w:val="000000"/>
                <w:spacing w:val="0"/>
                <w:sz w:val="24"/>
                <w:szCs w:val="24"/>
              </w:rPr>
            </w:pPr>
          </w:p>
        </w:tc>
      </w:tr>
      <w:tr w14:paraId="78867F0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220" w:hRule="atLeast"/>
        </w:trPr>
        <w:tc>
          <w:tcPr>
            <w:tcW w:w="47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067E54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11</w:t>
            </w:r>
          </w:p>
        </w:tc>
        <w:tc>
          <w:tcPr>
            <w:tcW w:w="66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D7400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拖拉机联合收割机驾驶人驾驶证核发</w:t>
            </w:r>
          </w:p>
        </w:tc>
        <w:tc>
          <w:tcPr>
            <w:tcW w:w="551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006DA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（1）《中华人民共和国道路交通安全法》第十九条第二款：“申请机动车驾驶证，应当符合国务院公安部门规定的驾驶许可条件；经考试合格后，由公安机关交通管理部门发给相应类别的机动车驾驶证。”  ，第一百二十一条“对上道路行驶的拖拉机，由农业（农业机械）主管部门行使本法第八条、第九条、第十三条、第十九条、第二十三条规定的公安机关交通管理部门的管理职权。”</w:t>
            </w:r>
          </w:p>
          <w:p w14:paraId="4E8D5D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（2）《国务院对确需保留的行政审批项目设定行政许可的决定》（国务院令第412号）附件第176项：“项目名称：联合收割机及驾驶员牌照证照核发。实施机关：县级以上地方人民政府农业机械行政主管部门”。</w:t>
            </w:r>
          </w:p>
          <w:p w14:paraId="517F1A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3）《拖拉机驾驶证申领和使用规定》第三条第一款：“直辖市农业（农业机械）主管部门农机安全监理机构、设区的市或者相当于同级的农业（农业机械）主管部门农机安全监理机构（以下简称“农机监理机构”）负责办理本行政辖区内拖拉机驾驶证业务。”</w:t>
            </w:r>
          </w:p>
          <w:p w14:paraId="404349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4）《联合收割机及驾驶人安全监理规定》第三条第二款：“直辖市农业机械化主管部门农机安全监理机构、设区的市或者相当于同级的农业机械化主管部门农机安全监理机构（以下简称“农机监理机构”）承担本行政区域内联合收割机登记和驾驶证核发等工作。”</w:t>
            </w:r>
          </w:p>
        </w:tc>
        <w:tc>
          <w:tcPr>
            <w:tcW w:w="52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BFCC7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个人、法人</w:t>
            </w:r>
          </w:p>
          <w:p w14:paraId="06B88C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333333"/>
                <w:spacing w:val="0"/>
                <w:sz w:val="21"/>
                <w:szCs w:val="21"/>
                <w:bdr w:val="none" w:color="auto" w:sz="0" w:space="0"/>
                <w:shd w:val="clear" w:fill="FFFFFF"/>
              </w:rPr>
              <w:t> </w:t>
            </w:r>
          </w:p>
        </w:tc>
        <w:tc>
          <w:tcPr>
            <w:tcW w:w="51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1BBC0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局行政审批股</w:t>
            </w:r>
          </w:p>
        </w:tc>
        <w:tc>
          <w:tcPr>
            <w:tcW w:w="73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D1E71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无</w:t>
            </w:r>
          </w:p>
        </w:tc>
        <w:tc>
          <w:tcPr>
            <w:tcW w:w="1200" w:type="dxa"/>
            <w:gridSpan w:val="2"/>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E4F02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2</w:t>
            </w:r>
          </w:p>
        </w:tc>
        <w:tc>
          <w:tcPr>
            <w:tcW w:w="107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336C9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1</w:t>
            </w:r>
          </w:p>
        </w:tc>
        <w:tc>
          <w:tcPr>
            <w:tcW w:w="84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C08B0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否</w:t>
            </w:r>
          </w:p>
        </w:tc>
        <w:tc>
          <w:tcPr>
            <w:tcW w:w="74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81473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无</w:t>
            </w:r>
          </w:p>
        </w:tc>
        <w:tc>
          <w:tcPr>
            <w:tcW w:w="78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8663D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否</w:t>
            </w:r>
          </w:p>
        </w:tc>
        <w:tc>
          <w:tcPr>
            <w:tcW w:w="60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043F5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否</w:t>
            </w:r>
          </w:p>
        </w:tc>
        <w:tc>
          <w:tcPr>
            <w:tcW w:w="96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A7907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79302D2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12" w:hRule="atLeast"/>
        </w:trPr>
        <w:tc>
          <w:tcPr>
            <w:tcW w:w="471" w:type="dxa"/>
            <w:vMerge w:val="restart"/>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2C6163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序号</w:t>
            </w:r>
          </w:p>
        </w:tc>
        <w:tc>
          <w:tcPr>
            <w:tcW w:w="660" w:type="dxa"/>
            <w:vMerge w:val="restart"/>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64378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项目名称</w:t>
            </w:r>
          </w:p>
        </w:tc>
        <w:tc>
          <w:tcPr>
            <w:tcW w:w="5512" w:type="dxa"/>
            <w:vMerge w:val="restart"/>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E5E0B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实施依据</w:t>
            </w:r>
          </w:p>
        </w:tc>
        <w:tc>
          <w:tcPr>
            <w:tcW w:w="525" w:type="dxa"/>
            <w:vMerge w:val="restart"/>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63405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实施对象</w:t>
            </w:r>
          </w:p>
        </w:tc>
        <w:tc>
          <w:tcPr>
            <w:tcW w:w="510" w:type="dxa"/>
            <w:vMerge w:val="restart"/>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93F1F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责任科室</w:t>
            </w:r>
          </w:p>
        </w:tc>
        <w:tc>
          <w:tcPr>
            <w:tcW w:w="736" w:type="dxa"/>
            <w:vMerge w:val="restart"/>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C93E6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其他共同审批部门</w:t>
            </w:r>
          </w:p>
        </w:tc>
        <w:tc>
          <w:tcPr>
            <w:tcW w:w="2279" w:type="dxa"/>
            <w:gridSpan w:val="3"/>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895E6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时限要求</w:t>
            </w:r>
          </w:p>
        </w:tc>
        <w:tc>
          <w:tcPr>
            <w:tcW w:w="845" w:type="dxa"/>
            <w:vMerge w:val="restart"/>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708E4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收费</w:t>
            </w:r>
          </w:p>
          <w:p w14:paraId="49CCCE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情况</w:t>
            </w:r>
          </w:p>
        </w:tc>
        <w:tc>
          <w:tcPr>
            <w:tcW w:w="745" w:type="dxa"/>
            <w:vMerge w:val="restart"/>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B867E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是否有数量限制</w:t>
            </w:r>
          </w:p>
        </w:tc>
        <w:tc>
          <w:tcPr>
            <w:tcW w:w="780" w:type="dxa"/>
            <w:vMerge w:val="restart"/>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ECB85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是否需要下级初 审</w:t>
            </w:r>
          </w:p>
          <w:p w14:paraId="126BAD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（审核）</w:t>
            </w:r>
          </w:p>
        </w:tc>
        <w:tc>
          <w:tcPr>
            <w:tcW w:w="600" w:type="dxa"/>
            <w:vMerge w:val="restart"/>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CC7E6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前置</w:t>
            </w:r>
          </w:p>
          <w:p w14:paraId="23F9A1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条件</w:t>
            </w:r>
          </w:p>
        </w:tc>
        <w:tc>
          <w:tcPr>
            <w:tcW w:w="960" w:type="dxa"/>
            <w:vMerge w:val="restart"/>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B19D8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调整意见</w:t>
            </w:r>
          </w:p>
          <w:p w14:paraId="5A00A1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及理由</w:t>
            </w:r>
          </w:p>
        </w:tc>
      </w:tr>
      <w:tr w14:paraId="554E36C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70" w:hRule="atLeast"/>
        </w:trPr>
        <w:tc>
          <w:tcPr>
            <w:tcW w:w="471" w:type="dxa"/>
            <w:vMerge w:val="continue"/>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0CDA2D17">
            <w:pPr>
              <w:rPr>
                <w:rFonts w:hint="default" w:ascii="sans-serif" w:hAnsi="sans-serif" w:eastAsia="sans-serif" w:cs="sans-serif"/>
                <w:i w:val="0"/>
                <w:iCs w:val="0"/>
                <w:caps w:val="0"/>
                <w:color w:val="000000"/>
                <w:spacing w:val="0"/>
                <w:sz w:val="24"/>
                <w:szCs w:val="24"/>
              </w:rPr>
            </w:pPr>
          </w:p>
        </w:tc>
        <w:tc>
          <w:tcPr>
            <w:tcW w:w="660" w:type="dxa"/>
            <w:vMerge w:val="continue"/>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8B149B4">
            <w:pPr>
              <w:rPr>
                <w:rFonts w:hint="default" w:ascii="sans-serif" w:hAnsi="sans-serif" w:eastAsia="sans-serif" w:cs="sans-serif"/>
                <w:i w:val="0"/>
                <w:iCs w:val="0"/>
                <w:caps w:val="0"/>
                <w:color w:val="000000"/>
                <w:spacing w:val="0"/>
                <w:sz w:val="24"/>
                <w:szCs w:val="24"/>
              </w:rPr>
            </w:pPr>
          </w:p>
        </w:tc>
        <w:tc>
          <w:tcPr>
            <w:tcW w:w="5512" w:type="dxa"/>
            <w:vMerge w:val="continue"/>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A5B269E">
            <w:pPr>
              <w:rPr>
                <w:rFonts w:hint="default" w:ascii="sans-serif" w:hAnsi="sans-serif" w:eastAsia="sans-serif" w:cs="sans-serif"/>
                <w:i w:val="0"/>
                <w:iCs w:val="0"/>
                <w:caps w:val="0"/>
                <w:color w:val="000000"/>
                <w:spacing w:val="0"/>
                <w:sz w:val="24"/>
                <w:szCs w:val="24"/>
              </w:rPr>
            </w:pPr>
          </w:p>
        </w:tc>
        <w:tc>
          <w:tcPr>
            <w:tcW w:w="525" w:type="dxa"/>
            <w:vMerge w:val="continue"/>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4518389">
            <w:pPr>
              <w:rPr>
                <w:rFonts w:hint="default" w:ascii="sans-serif" w:hAnsi="sans-serif" w:eastAsia="sans-serif" w:cs="sans-serif"/>
                <w:i w:val="0"/>
                <w:iCs w:val="0"/>
                <w:caps w:val="0"/>
                <w:color w:val="000000"/>
                <w:spacing w:val="0"/>
                <w:sz w:val="24"/>
                <w:szCs w:val="24"/>
              </w:rPr>
            </w:pPr>
          </w:p>
        </w:tc>
        <w:tc>
          <w:tcPr>
            <w:tcW w:w="510" w:type="dxa"/>
            <w:vMerge w:val="continue"/>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8E4A29B">
            <w:pPr>
              <w:rPr>
                <w:rFonts w:hint="default" w:ascii="sans-serif" w:hAnsi="sans-serif" w:eastAsia="sans-serif" w:cs="sans-serif"/>
                <w:i w:val="0"/>
                <w:iCs w:val="0"/>
                <w:caps w:val="0"/>
                <w:color w:val="000000"/>
                <w:spacing w:val="0"/>
                <w:sz w:val="24"/>
                <w:szCs w:val="24"/>
              </w:rPr>
            </w:pPr>
          </w:p>
        </w:tc>
        <w:tc>
          <w:tcPr>
            <w:tcW w:w="736" w:type="dxa"/>
            <w:vMerge w:val="continue"/>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3582B98">
            <w:pPr>
              <w:rPr>
                <w:rFonts w:hint="default" w:ascii="sans-serif" w:hAnsi="sans-serif" w:eastAsia="sans-serif" w:cs="sans-serif"/>
                <w:i w:val="0"/>
                <w:iCs w:val="0"/>
                <w:caps w:val="0"/>
                <w:color w:val="000000"/>
                <w:spacing w:val="0"/>
                <w:sz w:val="24"/>
                <w:szCs w:val="24"/>
              </w:rPr>
            </w:pPr>
          </w:p>
        </w:tc>
        <w:tc>
          <w:tcPr>
            <w:tcW w:w="1200" w:type="dxa"/>
            <w:gridSpan w:val="2"/>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03E2F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法定时限（天）</w:t>
            </w:r>
          </w:p>
        </w:tc>
        <w:tc>
          <w:tcPr>
            <w:tcW w:w="107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A7106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承诺时限（天）</w:t>
            </w:r>
          </w:p>
        </w:tc>
        <w:tc>
          <w:tcPr>
            <w:tcW w:w="845" w:type="dxa"/>
            <w:vMerge w:val="continue"/>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DF26B29">
            <w:pPr>
              <w:rPr>
                <w:rFonts w:hint="default" w:ascii="sans-serif" w:hAnsi="sans-serif" w:eastAsia="sans-serif" w:cs="sans-serif"/>
                <w:i w:val="0"/>
                <w:iCs w:val="0"/>
                <w:caps w:val="0"/>
                <w:color w:val="000000"/>
                <w:spacing w:val="0"/>
                <w:sz w:val="24"/>
                <w:szCs w:val="24"/>
              </w:rPr>
            </w:pPr>
          </w:p>
        </w:tc>
        <w:tc>
          <w:tcPr>
            <w:tcW w:w="745" w:type="dxa"/>
            <w:vMerge w:val="continue"/>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6D5B8F2">
            <w:pPr>
              <w:rPr>
                <w:rFonts w:hint="default" w:ascii="sans-serif" w:hAnsi="sans-serif" w:eastAsia="sans-serif" w:cs="sans-serif"/>
                <w:i w:val="0"/>
                <w:iCs w:val="0"/>
                <w:caps w:val="0"/>
                <w:color w:val="000000"/>
                <w:spacing w:val="0"/>
                <w:sz w:val="24"/>
                <w:szCs w:val="24"/>
              </w:rPr>
            </w:pPr>
          </w:p>
        </w:tc>
        <w:tc>
          <w:tcPr>
            <w:tcW w:w="780" w:type="dxa"/>
            <w:vMerge w:val="continue"/>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DF2D535">
            <w:pPr>
              <w:rPr>
                <w:rFonts w:hint="default" w:ascii="sans-serif" w:hAnsi="sans-serif" w:eastAsia="sans-serif" w:cs="sans-serif"/>
                <w:i w:val="0"/>
                <w:iCs w:val="0"/>
                <w:caps w:val="0"/>
                <w:color w:val="000000"/>
                <w:spacing w:val="0"/>
                <w:sz w:val="24"/>
                <w:szCs w:val="24"/>
              </w:rPr>
            </w:pPr>
          </w:p>
        </w:tc>
        <w:tc>
          <w:tcPr>
            <w:tcW w:w="600" w:type="dxa"/>
            <w:vMerge w:val="continue"/>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A05779C">
            <w:pPr>
              <w:rPr>
                <w:rFonts w:hint="default" w:ascii="sans-serif" w:hAnsi="sans-serif" w:eastAsia="sans-serif" w:cs="sans-serif"/>
                <w:i w:val="0"/>
                <w:iCs w:val="0"/>
                <w:caps w:val="0"/>
                <w:color w:val="000000"/>
                <w:spacing w:val="0"/>
                <w:sz w:val="24"/>
                <w:szCs w:val="24"/>
              </w:rPr>
            </w:pPr>
          </w:p>
        </w:tc>
        <w:tc>
          <w:tcPr>
            <w:tcW w:w="960" w:type="dxa"/>
            <w:vMerge w:val="continue"/>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0635D64">
            <w:pPr>
              <w:rPr>
                <w:rFonts w:hint="default" w:ascii="sans-serif" w:hAnsi="sans-serif" w:eastAsia="sans-serif" w:cs="sans-serif"/>
                <w:i w:val="0"/>
                <w:iCs w:val="0"/>
                <w:caps w:val="0"/>
                <w:color w:val="000000"/>
                <w:spacing w:val="0"/>
                <w:sz w:val="24"/>
                <w:szCs w:val="24"/>
              </w:rPr>
            </w:pPr>
          </w:p>
        </w:tc>
      </w:tr>
      <w:tr w14:paraId="0AD6D77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700" w:hRule="atLeast"/>
        </w:trPr>
        <w:tc>
          <w:tcPr>
            <w:tcW w:w="47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15BCE5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12</w:t>
            </w:r>
          </w:p>
        </w:tc>
        <w:tc>
          <w:tcPr>
            <w:tcW w:w="66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4122F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拖拉机、联合收割机注册登记</w:t>
            </w:r>
          </w:p>
        </w:tc>
        <w:tc>
          <w:tcPr>
            <w:tcW w:w="551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0610C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中华人民共和国道路交通安全法》（2003年10月28日主席令第八号，2011年4月22日予以修改）第一百二十一条：对上道路行驶的拖拉机，由农业（农业机械）主管部门行使本法第八条、第九条、第十三条、第十九条、第二十三条规定的公安机关交通管理部门的管理职权。第十九条驾驶机动车，应当依法取得机动车驾驶证。申请机动车驾驶证，应当符合国务院公安部门规定的驾驶许可条件；经考试合格后，由公安机关交通管理部门发给相应类别的机动车驾驶证。持有境外机动车驾驶证的人，符合国务院公安部门规定的驾驶许可条件，经公安机关交通管理部门考核合格的，可以发给中国的机动车驾驶证。  《农业机械安全监督管理条例》（2009年9月17日国务院563号令，2016年2月6日予以修改）第二十一条：拖拉机、联合收割机投入使用前，其所有人应当按照国务院农业机械化主管部门的规定，持本人身份证明和机具来源证明，向所在地县级人民政府农业机械化主管部门申请登记。拖拉机、联合收割机经安全检验合格的，农业机械化主管部门应当在2个工作日内予以登记并核发相应的证书和牌照。拖拉机、联合收割机使用期间登记事项发生变更的，其所有人应当按照国务院农业机械化主管部门的规定申请变更登记。  《国务院对确需保留的行政审批项目设定行政许可的决定》（2004年6月29日国务院令第412号，2009年1月29日予以修改）附件第176条：联合收割机及驾驶员牌照证照核发。实施机关：县级以上地方人民政府农业机械行政主管部门。</w:t>
            </w:r>
          </w:p>
        </w:tc>
        <w:tc>
          <w:tcPr>
            <w:tcW w:w="52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F1D14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个人、法人</w:t>
            </w:r>
          </w:p>
          <w:p w14:paraId="6CD241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333333"/>
                <w:spacing w:val="0"/>
                <w:sz w:val="21"/>
                <w:szCs w:val="21"/>
                <w:bdr w:val="none" w:color="auto" w:sz="0" w:space="0"/>
                <w:shd w:val="clear" w:fill="FFFFFF"/>
              </w:rPr>
              <w:t> </w:t>
            </w:r>
          </w:p>
        </w:tc>
        <w:tc>
          <w:tcPr>
            <w:tcW w:w="51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7DBEC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局行政审批股</w:t>
            </w:r>
          </w:p>
        </w:tc>
        <w:tc>
          <w:tcPr>
            <w:tcW w:w="73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96D91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无</w:t>
            </w:r>
          </w:p>
        </w:tc>
        <w:tc>
          <w:tcPr>
            <w:tcW w:w="1200" w:type="dxa"/>
            <w:gridSpan w:val="2"/>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3F89D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2</w:t>
            </w:r>
          </w:p>
        </w:tc>
        <w:tc>
          <w:tcPr>
            <w:tcW w:w="107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48F4E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1</w:t>
            </w:r>
          </w:p>
        </w:tc>
        <w:tc>
          <w:tcPr>
            <w:tcW w:w="84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CFCA6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否</w:t>
            </w:r>
          </w:p>
        </w:tc>
        <w:tc>
          <w:tcPr>
            <w:tcW w:w="74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5EE6A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无</w:t>
            </w:r>
          </w:p>
        </w:tc>
        <w:tc>
          <w:tcPr>
            <w:tcW w:w="78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BCF7D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否</w:t>
            </w:r>
          </w:p>
        </w:tc>
        <w:tc>
          <w:tcPr>
            <w:tcW w:w="60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F4D9D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否</w:t>
            </w:r>
          </w:p>
        </w:tc>
        <w:tc>
          <w:tcPr>
            <w:tcW w:w="96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BC8FE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2030F79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85" w:hRule="atLeast"/>
        </w:trPr>
        <w:tc>
          <w:tcPr>
            <w:tcW w:w="471" w:type="dxa"/>
            <w:vMerge w:val="restart"/>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40FC59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序号</w:t>
            </w:r>
          </w:p>
        </w:tc>
        <w:tc>
          <w:tcPr>
            <w:tcW w:w="660" w:type="dxa"/>
            <w:vMerge w:val="restart"/>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D4D4A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项目名称</w:t>
            </w:r>
          </w:p>
        </w:tc>
        <w:tc>
          <w:tcPr>
            <w:tcW w:w="5512" w:type="dxa"/>
            <w:vMerge w:val="restart"/>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EE743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实施依据</w:t>
            </w:r>
          </w:p>
        </w:tc>
        <w:tc>
          <w:tcPr>
            <w:tcW w:w="525" w:type="dxa"/>
            <w:vMerge w:val="restart"/>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69F0E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实施对象</w:t>
            </w:r>
          </w:p>
        </w:tc>
        <w:tc>
          <w:tcPr>
            <w:tcW w:w="510" w:type="dxa"/>
            <w:vMerge w:val="restart"/>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8BFBB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责任科室</w:t>
            </w:r>
          </w:p>
        </w:tc>
        <w:tc>
          <w:tcPr>
            <w:tcW w:w="736" w:type="dxa"/>
            <w:vMerge w:val="restart"/>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37793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其他共同审批部门</w:t>
            </w:r>
          </w:p>
        </w:tc>
        <w:tc>
          <w:tcPr>
            <w:tcW w:w="2279" w:type="dxa"/>
            <w:gridSpan w:val="3"/>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3C785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时限要求</w:t>
            </w:r>
          </w:p>
        </w:tc>
        <w:tc>
          <w:tcPr>
            <w:tcW w:w="845" w:type="dxa"/>
            <w:vMerge w:val="restart"/>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D7A43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收费</w:t>
            </w:r>
          </w:p>
          <w:p w14:paraId="0E9A41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情况</w:t>
            </w:r>
          </w:p>
        </w:tc>
        <w:tc>
          <w:tcPr>
            <w:tcW w:w="745" w:type="dxa"/>
            <w:vMerge w:val="restart"/>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C9621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是否有数量限制</w:t>
            </w:r>
          </w:p>
        </w:tc>
        <w:tc>
          <w:tcPr>
            <w:tcW w:w="780" w:type="dxa"/>
            <w:vMerge w:val="restart"/>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879F1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是否需要下级初 审</w:t>
            </w:r>
          </w:p>
          <w:p w14:paraId="6884A2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（审核）</w:t>
            </w:r>
          </w:p>
        </w:tc>
        <w:tc>
          <w:tcPr>
            <w:tcW w:w="600" w:type="dxa"/>
            <w:vMerge w:val="restart"/>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97385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前置</w:t>
            </w:r>
          </w:p>
          <w:p w14:paraId="78F4C6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条件</w:t>
            </w:r>
          </w:p>
        </w:tc>
        <w:tc>
          <w:tcPr>
            <w:tcW w:w="960" w:type="dxa"/>
            <w:vMerge w:val="restart"/>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880D8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调整意见</w:t>
            </w:r>
          </w:p>
          <w:p w14:paraId="2CF9BA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及理由</w:t>
            </w:r>
          </w:p>
        </w:tc>
      </w:tr>
      <w:tr w14:paraId="66FF588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85" w:hRule="atLeast"/>
        </w:trPr>
        <w:tc>
          <w:tcPr>
            <w:tcW w:w="471" w:type="dxa"/>
            <w:vMerge w:val="continue"/>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22B5A36B">
            <w:pPr>
              <w:rPr>
                <w:rFonts w:hint="default" w:ascii="sans-serif" w:hAnsi="sans-serif" w:eastAsia="sans-serif" w:cs="sans-serif"/>
                <w:i w:val="0"/>
                <w:iCs w:val="0"/>
                <w:caps w:val="0"/>
                <w:color w:val="000000"/>
                <w:spacing w:val="0"/>
                <w:sz w:val="24"/>
                <w:szCs w:val="24"/>
              </w:rPr>
            </w:pPr>
          </w:p>
        </w:tc>
        <w:tc>
          <w:tcPr>
            <w:tcW w:w="660" w:type="dxa"/>
            <w:vMerge w:val="continue"/>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04B8666">
            <w:pPr>
              <w:rPr>
                <w:rFonts w:hint="default" w:ascii="sans-serif" w:hAnsi="sans-serif" w:eastAsia="sans-serif" w:cs="sans-serif"/>
                <w:i w:val="0"/>
                <w:iCs w:val="0"/>
                <w:caps w:val="0"/>
                <w:color w:val="000000"/>
                <w:spacing w:val="0"/>
                <w:sz w:val="24"/>
                <w:szCs w:val="24"/>
              </w:rPr>
            </w:pPr>
          </w:p>
        </w:tc>
        <w:tc>
          <w:tcPr>
            <w:tcW w:w="5512" w:type="dxa"/>
            <w:vMerge w:val="continue"/>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5E5AF34">
            <w:pPr>
              <w:rPr>
                <w:rFonts w:hint="default" w:ascii="sans-serif" w:hAnsi="sans-serif" w:eastAsia="sans-serif" w:cs="sans-serif"/>
                <w:i w:val="0"/>
                <w:iCs w:val="0"/>
                <w:caps w:val="0"/>
                <w:color w:val="000000"/>
                <w:spacing w:val="0"/>
                <w:sz w:val="24"/>
                <w:szCs w:val="24"/>
              </w:rPr>
            </w:pPr>
          </w:p>
        </w:tc>
        <w:tc>
          <w:tcPr>
            <w:tcW w:w="525" w:type="dxa"/>
            <w:vMerge w:val="continue"/>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D4123FF">
            <w:pPr>
              <w:rPr>
                <w:rFonts w:hint="default" w:ascii="sans-serif" w:hAnsi="sans-serif" w:eastAsia="sans-serif" w:cs="sans-serif"/>
                <w:i w:val="0"/>
                <w:iCs w:val="0"/>
                <w:caps w:val="0"/>
                <w:color w:val="000000"/>
                <w:spacing w:val="0"/>
                <w:sz w:val="24"/>
                <w:szCs w:val="24"/>
              </w:rPr>
            </w:pPr>
          </w:p>
        </w:tc>
        <w:tc>
          <w:tcPr>
            <w:tcW w:w="510" w:type="dxa"/>
            <w:vMerge w:val="continue"/>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A199F2A">
            <w:pPr>
              <w:rPr>
                <w:rFonts w:hint="default" w:ascii="sans-serif" w:hAnsi="sans-serif" w:eastAsia="sans-serif" w:cs="sans-serif"/>
                <w:i w:val="0"/>
                <w:iCs w:val="0"/>
                <w:caps w:val="0"/>
                <w:color w:val="000000"/>
                <w:spacing w:val="0"/>
                <w:sz w:val="24"/>
                <w:szCs w:val="24"/>
              </w:rPr>
            </w:pPr>
          </w:p>
        </w:tc>
        <w:tc>
          <w:tcPr>
            <w:tcW w:w="736" w:type="dxa"/>
            <w:vMerge w:val="continue"/>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A000E9B">
            <w:pPr>
              <w:rPr>
                <w:rFonts w:hint="default" w:ascii="sans-serif" w:hAnsi="sans-serif" w:eastAsia="sans-serif" w:cs="sans-serif"/>
                <w:i w:val="0"/>
                <w:iCs w:val="0"/>
                <w:caps w:val="0"/>
                <w:color w:val="000000"/>
                <w:spacing w:val="0"/>
                <w:sz w:val="24"/>
                <w:szCs w:val="24"/>
              </w:rPr>
            </w:pPr>
          </w:p>
        </w:tc>
        <w:tc>
          <w:tcPr>
            <w:tcW w:w="1200" w:type="dxa"/>
            <w:gridSpan w:val="2"/>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96CAE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法定时限（天）</w:t>
            </w:r>
          </w:p>
        </w:tc>
        <w:tc>
          <w:tcPr>
            <w:tcW w:w="107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72DA0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承诺时限（天）</w:t>
            </w:r>
          </w:p>
        </w:tc>
        <w:tc>
          <w:tcPr>
            <w:tcW w:w="845" w:type="dxa"/>
            <w:vMerge w:val="continue"/>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D141D8A">
            <w:pPr>
              <w:rPr>
                <w:rFonts w:hint="default" w:ascii="sans-serif" w:hAnsi="sans-serif" w:eastAsia="sans-serif" w:cs="sans-serif"/>
                <w:i w:val="0"/>
                <w:iCs w:val="0"/>
                <w:caps w:val="0"/>
                <w:color w:val="000000"/>
                <w:spacing w:val="0"/>
                <w:sz w:val="24"/>
                <w:szCs w:val="24"/>
              </w:rPr>
            </w:pPr>
          </w:p>
        </w:tc>
        <w:tc>
          <w:tcPr>
            <w:tcW w:w="745" w:type="dxa"/>
            <w:vMerge w:val="continue"/>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73F18E5">
            <w:pPr>
              <w:rPr>
                <w:rFonts w:hint="default" w:ascii="sans-serif" w:hAnsi="sans-serif" w:eastAsia="sans-serif" w:cs="sans-serif"/>
                <w:i w:val="0"/>
                <w:iCs w:val="0"/>
                <w:caps w:val="0"/>
                <w:color w:val="000000"/>
                <w:spacing w:val="0"/>
                <w:sz w:val="24"/>
                <w:szCs w:val="24"/>
              </w:rPr>
            </w:pPr>
          </w:p>
        </w:tc>
        <w:tc>
          <w:tcPr>
            <w:tcW w:w="780" w:type="dxa"/>
            <w:vMerge w:val="continue"/>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8066C72">
            <w:pPr>
              <w:rPr>
                <w:rFonts w:hint="default" w:ascii="sans-serif" w:hAnsi="sans-serif" w:eastAsia="sans-serif" w:cs="sans-serif"/>
                <w:i w:val="0"/>
                <w:iCs w:val="0"/>
                <w:caps w:val="0"/>
                <w:color w:val="000000"/>
                <w:spacing w:val="0"/>
                <w:sz w:val="24"/>
                <w:szCs w:val="24"/>
              </w:rPr>
            </w:pPr>
          </w:p>
        </w:tc>
        <w:tc>
          <w:tcPr>
            <w:tcW w:w="600" w:type="dxa"/>
            <w:vMerge w:val="continue"/>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891C1F0">
            <w:pPr>
              <w:rPr>
                <w:rFonts w:hint="default" w:ascii="sans-serif" w:hAnsi="sans-serif" w:eastAsia="sans-serif" w:cs="sans-serif"/>
                <w:i w:val="0"/>
                <w:iCs w:val="0"/>
                <w:caps w:val="0"/>
                <w:color w:val="000000"/>
                <w:spacing w:val="0"/>
                <w:sz w:val="24"/>
                <w:szCs w:val="24"/>
              </w:rPr>
            </w:pPr>
          </w:p>
        </w:tc>
        <w:tc>
          <w:tcPr>
            <w:tcW w:w="960" w:type="dxa"/>
            <w:vMerge w:val="continue"/>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962D956">
            <w:pPr>
              <w:rPr>
                <w:rFonts w:hint="default" w:ascii="sans-serif" w:hAnsi="sans-serif" w:eastAsia="sans-serif" w:cs="sans-serif"/>
                <w:i w:val="0"/>
                <w:iCs w:val="0"/>
                <w:caps w:val="0"/>
                <w:color w:val="000000"/>
                <w:spacing w:val="0"/>
                <w:sz w:val="24"/>
                <w:szCs w:val="24"/>
              </w:rPr>
            </w:pPr>
          </w:p>
        </w:tc>
      </w:tr>
      <w:tr w14:paraId="42A18AE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355" w:hRule="atLeast"/>
        </w:trPr>
        <w:tc>
          <w:tcPr>
            <w:tcW w:w="47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49F518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13</w:t>
            </w:r>
          </w:p>
        </w:tc>
        <w:tc>
          <w:tcPr>
            <w:tcW w:w="66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C4770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渔业捕捞许可证的审核</w:t>
            </w:r>
          </w:p>
        </w:tc>
        <w:tc>
          <w:tcPr>
            <w:tcW w:w="551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EA84D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中华人民共和国渔业法》（1986年1月20日主席令第三十四号，2013年12月28日予以修改）第二十三条：国家对捕捞业实行捕捞许可制度。到中华人民共和国与有关国家缔结的协定确定的共同管理的渔区或者公海从事捕捞作业的捕捞许可证，由国务院渔业行政主管部门批准发放。海洋大型拖网、围网作业的捕捞许可证，由省、自治区、直辖市渔业行政主管部门批准发放。其他作业的捕捞许可证，由县级以上地方人民政府渔业行政主管部门批准发放。但是批准发放海洋作业的捕捞许可证不得超过国家下达的船网工具控制指标，具体办法由省、自治区、直辖市人民政府规定。  《中华人民共和国渔业法实施细则》（1987年10月14日国务院批准，1987年10月20日农牧渔业部发布）第十五条：国家对捕捞业，实行捕捞许可制度……近海大型拖网、围网作业的捕捞许可证，由国务院渔业行政主管部门批准发放；近海其他作业的捕捞许可证，由省、自治区、直辖市人民政府渔业行政主管部门按照国家下达的船网工具控制指标批准发放。</w:t>
            </w:r>
          </w:p>
        </w:tc>
        <w:tc>
          <w:tcPr>
            <w:tcW w:w="52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7F48E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个人、法人</w:t>
            </w:r>
          </w:p>
          <w:p w14:paraId="041421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333333"/>
                <w:spacing w:val="0"/>
                <w:sz w:val="21"/>
                <w:szCs w:val="21"/>
                <w:bdr w:val="none" w:color="auto" w:sz="0" w:space="0"/>
                <w:shd w:val="clear" w:fill="FFFFFF"/>
              </w:rPr>
              <w:t> </w:t>
            </w:r>
          </w:p>
        </w:tc>
        <w:tc>
          <w:tcPr>
            <w:tcW w:w="51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C6A5B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局行政审批股</w:t>
            </w:r>
          </w:p>
        </w:tc>
        <w:tc>
          <w:tcPr>
            <w:tcW w:w="73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CC8B2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无</w:t>
            </w:r>
          </w:p>
        </w:tc>
        <w:tc>
          <w:tcPr>
            <w:tcW w:w="1200" w:type="dxa"/>
            <w:gridSpan w:val="2"/>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3D792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20</w:t>
            </w:r>
          </w:p>
        </w:tc>
        <w:tc>
          <w:tcPr>
            <w:tcW w:w="107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AC1B8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9</w:t>
            </w:r>
          </w:p>
        </w:tc>
        <w:tc>
          <w:tcPr>
            <w:tcW w:w="84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DC565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否</w:t>
            </w:r>
          </w:p>
        </w:tc>
        <w:tc>
          <w:tcPr>
            <w:tcW w:w="74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5EFD0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无</w:t>
            </w:r>
          </w:p>
        </w:tc>
        <w:tc>
          <w:tcPr>
            <w:tcW w:w="78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2BFAC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否</w:t>
            </w:r>
          </w:p>
        </w:tc>
        <w:tc>
          <w:tcPr>
            <w:tcW w:w="60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07862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否</w:t>
            </w:r>
          </w:p>
        </w:tc>
        <w:tc>
          <w:tcPr>
            <w:tcW w:w="96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2DA40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5F1A1DC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17" w:hRule="atLeast"/>
        </w:trPr>
        <w:tc>
          <w:tcPr>
            <w:tcW w:w="471" w:type="dxa"/>
            <w:vMerge w:val="restart"/>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3ECBD0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序号</w:t>
            </w:r>
          </w:p>
        </w:tc>
        <w:tc>
          <w:tcPr>
            <w:tcW w:w="660" w:type="dxa"/>
            <w:vMerge w:val="restart"/>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31283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项目名称</w:t>
            </w:r>
          </w:p>
        </w:tc>
        <w:tc>
          <w:tcPr>
            <w:tcW w:w="5512" w:type="dxa"/>
            <w:vMerge w:val="restart"/>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F671D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实施依据</w:t>
            </w:r>
          </w:p>
        </w:tc>
        <w:tc>
          <w:tcPr>
            <w:tcW w:w="525" w:type="dxa"/>
            <w:vMerge w:val="restart"/>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08D20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实施对象</w:t>
            </w:r>
          </w:p>
        </w:tc>
        <w:tc>
          <w:tcPr>
            <w:tcW w:w="510" w:type="dxa"/>
            <w:vMerge w:val="restart"/>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5E094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责任科室</w:t>
            </w:r>
          </w:p>
        </w:tc>
        <w:tc>
          <w:tcPr>
            <w:tcW w:w="736" w:type="dxa"/>
            <w:vMerge w:val="restart"/>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5D766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其他共同审批部门</w:t>
            </w:r>
          </w:p>
        </w:tc>
        <w:tc>
          <w:tcPr>
            <w:tcW w:w="2279" w:type="dxa"/>
            <w:gridSpan w:val="3"/>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E78E2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时限要求</w:t>
            </w:r>
          </w:p>
        </w:tc>
        <w:tc>
          <w:tcPr>
            <w:tcW w:w="845" w:type="dxa"/>
            <w:vMerge w:val="restart"/>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BDDF8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收费</w:t>
            </w:r>
          </w:p>
          <w:p w14:paraId="737578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情况</w:t>
            </w:r>
          </w:p>
        </w:tc>
        <w:tc>
          <w:tcPr>
            <w:tcW w:w="745" w:type="dxa"/>
            <w:vMerge w:val="restart"/>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663D5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是否有数量限制</w:t>
            </w:r>
          </w:p>
        </w:tc>
        <w:tc>
          <w:tcPr>
            <w:tcW w:w="780" w:type="dxa"/>
            <w:vMerge w:val="restart"/>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840C4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是否需要下级初 审</w:t>
            </w:r>
          </w:p>
          <w:p w14:paraId="0AA346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（审核）</w:t>
            </w:r>
          </w:p>
        </w:tc>
        <w:tc>
          <w:tcPr>
            <w:tcW w:w="600" w:type="dxa"/>
            <w:vMerge w:val="restart"/>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B442D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前置</w:t>
            </w:r>
          </w:p>
          <w:p w14:paraId="704CEA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条件</w:t>
            </w:r>
          </w:p>
        </w:tc>
        <w:tc>
          <w:tcPr>
            <w:tcW w:w="960" w:type="dxa"/>
            <w:vMerge w:val="restart"/>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6276F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调整意见</w:t>
            </w:r>
          </w:p>
          <w:p w14:paraId="23DBF8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及理由</w:t>
            </w:r>
          </w:p>
        </w:tc>
      </w:tr>
      <w:tr w14:paraId="3AC4DAB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7" w:hRule="atLeast"/>
        </w:trPr>
        <w:tc>
          <w:tcPr>
            <w:tcW w:w="471" w:type="dxa"/>
            <w:vMerge w:val="continue"/>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1DEBABE3">
            <w:pPr>
              <w:rPr>
                <w:rFonts w:hint="default" w:ascii="sans-serif" w:hAnsi="sans-serif" w:eastAsia="sans-serif" w:cs="sans-serif"/>
                <w:i w:val="0"/>
                <w:iCs w:val="0"/>
                <w:caps w:val="0"/>
                <w:color w:val="000000"/>
                <w:spacing w:val="0"/>
                <w:sz w:val="24"/>
                <w:szCs w:val="24"/>
              </w:rPr>
            </w:pPr>
          </w:p>
        </w:tc>
        <w:tc>
          <w:tcPr>
            <w:tcW w:w="660" w:type="dxa"/>
            <w:vMerge w:val="continue"/>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D709922">
            <w:pPr>
              <w:rPr>
                <w:rFonts w:hint="default" w:ascii="sans-serif" w:hAnsi="sans-serif" w:eastAsia="sans-serif" w:cs="sans-serif"/>
                <w:i w:val="0"/>
                <w:iCs w:val="0"/>
                <w:caps w:val="0"/>
                <w:color w:val="000000"/>
                <w:spacing w:val="0"/>
                <w:sz w:val="24"/>
                <w:szCs w:val="24"/>
              </w:rPr>
            </w:pPr>
          </w:p>
        </w:tc>
        <w:tc>
          <w:tcPr>
            <w:tcW w:w="5512" w:type="dxa"/>
            <w:vMerge w:val="continue"/>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AAF2EF9">
            <w:pPr>
              <w:rPr>
                <w:rFonts w:hint="default" w:ascii="sans-serif" w:hAnsi="sans-serif" w:eastAsia="sans-serif" w:cs="sans-serif"/>
                <w:i w:val="0"/>
                <w:iCs w:val="0"/>
                <w:caps w:val="0"/>
                <w:color w:val="000000"/>
                <w:spacing w:val="0"/>
                <w:sz w:val="24"/>
                <w:szCs w:val="24"/>
              </w:rPr>
            </w:pPr>
          </w:p>
        </w:tc>
        <w:tc>
          <w:tcPr>
            <w:tcW w:w="525" w:type="dxa"/>
            <w:vMerge w:val="continue"/>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F765340">
            <w:pPr>
              <w:rPr>
                <w:rFonts w:hint="default" w:ascii="sans-serif" w:hAnsi="sans-serif" w:eastAsia="sans-serif" w:cs="sans-serif"/>
                <w:i w:val="0"/>
                <w:iCs w:val="0"/>
                <w:caps w:val="0"/>
                <w:color w:val="000000"/>
                <w:spacing w:val="0"/>
                <w:sz w:val="24"/>
                <w:szCs w:val="24"/>
              </w:rPr>
            </w:pPr>
          </w:p>
        </w:tc>
        <w:tc>
          <w:tcPr>
            <w:tcW w:w="510" w:type="dxa"/>
            <w:vMerge w:val="continue"/>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EA87477">
            <w:pPr>
              <w:rPr>
                <w:rFonts w:hint="default" w:ascii="sans-serif" w:hAnsi="sans-serif" w:eastAsia="sans-serif" w:cs="sans-serif"/>
                <w:i w:val="0"/>
                <w:iCs w:val="0"/>
                <w:caps w:val="0"/>
                <w:color w:val="000000"/>
                <w:spacing w:val="0"/>
                <w:sz w:val="24"/>
                <w:szCs w:val="24"/>
              </w:rPr>
            </w:pPr>
          </w:p>
        </w:tc>
        <w:tc>
          <w:tcPr>
            <w:tcW w:w="736" w:type="dxa"/>
            <w:vMerge w:val="continue"/>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BA768CE">
            <w:pPr>
              <w:rPr>
                <w:rFonts w:hint="default" w:ascii="sans-serif" w:hAnsi="sans-serif" w:eastAsia="sans-serif" w:cs="sans-serif"/>
                <w:i w:val="0"/>
                <w:iCs w:val="0"/>
                <w:caps w:val="0"/>
                <w:color w:val="000000"/>
                <w:spacing w:val="0"/>
                <w:sz w:val="24"/>
                <w:szCs w:val="24"/>
              </w:rPr>
            </w:pPr>
          </w:p>
        </w:tc>
        <w:tc>
          <w:tcPr>
            <w:tcW w:w="1200" w:type="dxa"/>
            <w:gridSpan w:val="2"/>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AA887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法定时限（天）</w:t>
            </w:r>
          </w:p>
        </w:tc>
        <w:tc>
          <w:tcPr>
            <w:tcW w:w="107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2E4E5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承诺时限（天）</w:t>
            </w:r>
          </w:p>
        </w:tc>
        <w:tc>
          <w:tcPr>
            <w:tcW w:w="845" w:type="dxa"/>
            <w:vMerge w:val="continue"/>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68D9A6D">
            <w:pPr>
              <w:rPr>
                <w:rFonts w:hint="default" w:ascii="sans-serif" w:hAnsi="sans-serif" w:eastAsia="sans-serif" w:cs="sans-serif"/>
                <w:i w:val="0"/>
                <w:iCs w:val="0"/>
                <w:caps w:val="0"/>
                <w:color w:val="000000"/>
                <w:spacing w:val="0"/>
                <w:sz w:val="24"/>
                <w:szCs w:val="24"/>
              </w:rPr>
            </w:pPr>
          </w:p>
        </w:tc>
        <w:tc>
          <w:tcPr>
            <w:tcW w:w="745" w:type="dxa"/>
            <w:vMerge w:val="continue"/>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461418F">
            <w:pPr>
              <w:rPr>
                <w:rFonts w:hint="default" w:ascii="sans-serif" w:hAnsi="sans-serif" w:eastAsia="sans-serif" w:cs="sans-serif"/>
                <w:i w:val="0"/>
                <w:iCs w:val="0"/>
                <w:caps w:val="0"/>
                <w:color w:val="000000"/>
                <w:spacing w:val="0"/>
                <w:sz w:val="24"/>
                <w:szCs w:val="24"/>
              </w:rPr>
            </w:pPr>
          </w:p>
        </w:tc>
        <w:tc>
          <w:tcPr>
            <w:tcW w:w="780" w:type="dxa"/>
            <w:vMerge w:val="continue"/>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5399322">
            <w:pPr>
              <w:rPr>
                <w:rFonts w:hint="default" w:ascii="sans-serif" w:hAnsi="sans-serif" w:eastAsia="sans-serif" w:cs="sans-serif"/>
                <w:i w:val="0"/>
                <w:iCs w:val="0"/>
                <w:caps w:val="0"/>
                <w:color w:val="000000"/>
                <w:spacing w:val="0"/>
                <w:sz w:val="24"/>
                <w:szCs w:val="24"/>
              </w:rPr>
            </w:pPr>
          </w:p>
        </w:tc>
        <w:tc>
          <w:tcPr>
            <w:tcW w:w="600" w:type="dxa"/>
            <w:vMerge w:val="continue"/>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8AB66EA">
            <w:pPr>
              <w:rPr>
                <w:rFonts w:hint="default" w:ascii="sans-serif" w:hAnsi="sans-serif" w:eastAsia="sans-serif" w:cs="sans-serif"/>
                <w:i w:val="0"/>
                <w:iCs w:val="0"/>
                <w:caps w:val="0"/>
                <w:color w:val="000000"/>
                <w:spacing w:val="0"/>
                <w:sz w:val="24"/>
                <w:szCs w:val="24"/>
              </w:rPr>
            </w:pPr>
          </w:p>
        </w:tc>
        <w:tc>
          <w:tcPr>
            <w:tcW w:w="960" w:type="dxa"/>
            <w:vMerge w:val="continue"/>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7251EA4">
            <w:pPr>
              <w:rPr>
                <w:rFonts w:hint="default" w:ascii="sans-serif" w:hAnsi="sans-serif" w:eastAsia="sans-serif" w:cs="sans-serif"/>
                <w:i w:val="0"/>
                <w:iCs w:val="0"/>
                <w:caps w:val="0"/>
                <w:color w:val="000000"/>
                <w:spacing w:val="0"/>
                <w:sz w:val="24"/>
                <w:szCs w:val="24"/>
              </w:rPr>
            </w:pPr>
          </w:p>
        </w:tc>
      </w:tr>
      <w:tr w14:paraId="7D1D2B0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320" w:hRule="atLeast"/>
        </w:trPr>
        <w:tc>
          <w:tcPr>
            <w:tcW w:w="47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543B88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14</w:t>
            </w:r>
          </w:p>
        </w:tc>
        <w:tc>
          <w:tcPr>
            <w:tcW w:w="66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C8A5E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规划范围内全民所有的水域、滩涂养殖证初审</w:t>
            </w:r>
          </w:p>
        </w:tc>
        <w:tc>
          <w:tcPr>
            <w:tcW w:w="551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B7540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中华人民共和国渔业法》（1986年1月20日主席令第三十四号，2013年12月28日予以修改）第十一条：单位和个人使用国家规划确定用于养殖业的全民所有的水域、滩涂的，使用者应当向县级以上地方人民政府渔业行政主管部门提出申请，由本级人民政府核发养殖证，许可其使用该水域、滩涂从事养殖生产。</w:t>
            </w:r>
          </w:p>
        </w:tc>
        <w:tc>
          <w:tcPr>
            <w:tcW w:w="52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7A4D7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个人、法人</w:t>
            </w:r>
          </w:p>
        </w:tc>
        <w:tc>
          <w:tcPr>
            <w:tcW w:w="51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8192D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局行政审批股</w:t>
            </w:r>
          </w:p>
        </w:tc>
        <w:tc>
          <w:tcPr>
            <w:tcW w:w="73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869FA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无</w:t>
            </w:r>
          </w:p>
        </w:tc>
        <w:tc>
          <w:tcPr>
            <w:tcW w:w="116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42904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20</w:t>
            </w:r>
          </w:p>
        </w:tc>
        <w:tc>
          <w:tcPr>
            <w:tcW w:w="1110" w:type="dxa"/>
            <w:gridSpan w:val="2"/>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A353F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9</w:t>
            </w:r>
          </w:p>
        </w:tc>
        <w:tc>
          <w:tcPr>
            <w:tcW w:w="84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48065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否</w:t>
            </w:r>
          </w:p>
        </w:tc>
        <w:tc>
          <w:tcPr>
            <w:tcW w:w="74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85D59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无</w:t>
            </w:r>
          </w:p>
        </w:tc>
        <w:tc>
          <w:tcPr>
            <w:tcW w:w="78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19804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否</w:t>
            </w:r>
          </w:p>
        </w:tc>
        <w:tc>
          <w:tcPr>
            <w:tcW w:w="60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341EE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否</w:t>
            </w:r>
          </w:p>
        </w:tc>
        <w:tc>
          <w:tcPr>
            <w:tcW w:w="96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861C8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1C38A17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205" w:hRule="atLeast"/>
        </w:trPr>
        <w:tc>
          <w:tcPr>
            <w:tcW w:w="47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4EFB06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15</w:t>
            </w:r>
          </w:p>
        </w:tc>
        <w:tc>
          <w:tcPr>
            <w:tcW w:w="66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E8720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水产苗种生产许可</w:t>
            </w:r>
          </w:p>
        </w:tc>
        <w:tc>
          <w:tcPr>
            <w:tcW w:w="551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68382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中华人民共和国渔业法》（1986年1月20日主席令第三十四号，2013年12月28日予以修改）第十六条第三款：水产苗种的生产由县级以上地方人民政府渔业行政主管部门审批。但是，渔业生产者自育、自用水产苗种的除外。  《水产苗种管理办法》（2005年1月5日农业部令第46号）第十一条：单位和个人从事水产苗种生产，应当经县级以上地方人民政府渔业行政主管部门批准，取得水产苗种生产许可证。但是，渔业生产者自育、自用水产苗种的除外。</w:t>
            </w:r>
          </w:p>
        </w:tc>
        <w:tc>
          <w:tcPr>
            <w:tcW w:w="52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1B460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个人、法人</w:t>
            </w:r>
          </w:p>
        </w:tc>
        <w:tc>
          <w:tcPr>
            <w:tcW w:w="51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23151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局行政审批股</w:t>
            </w:r>
          </w:p>
        </w:tc>
        <w:tc>
          <w:tcPr>
            <w:tcW w:w="73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16051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无</w:t>
            </w:r>
          </w:p>
        </w:tc>
        <w:tc>
          <w:tcPr>
            <w:tcW w:w="116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86FAA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20</w:t>
            </w:r>
          </w:p>
        </w:tc>
        <w:tc>
          <w:tcPr>
            <w:tcW w:w="1110" w:type="dxa"/>
            <w:gridSpan w:val="2"/>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2707C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9</w:t>
            </w:r>
          </w:p>
        </w:tc>
        <w:tc>
          <w:tcPr>
            <w:tcW w:w="84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56254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否</w:t>
            </w:r>
          </w:p>
        </w:tc>
        <w:tc>
          <w:tcPr>
            <w:tcW w:w="74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FC5A5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无</w:t>
            </w:r>
          </w:p>
        </w:tc>
        <w:tc>
          <w:tcPr>
            <w:tcW w:w="78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B5ACC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否</w:t>
            </w:r>
          </w:p>
        </w:tc>
        <w:tc>
          <w:tcPr>
            <w:tcW w:w="60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78EAF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否</w:t>
            </w:r>
          </w:p>
        </w:tc>
        <w:tc>
          <w:tcPr>
            <w:tcW w:w="96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8D224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552CB2C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0" w:hRule="atLeast"/>
        </w:trPr>
        <w:tc>
          <w:tcPr>
            <w:tcW w:w="375" w:type="dxa"/>
            <w:tcBorders>
              <w:top w:val="outset" w:color="auto" w:sz="6" w:space="0"/>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14:paraId="657F6864">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510" w:type="dxa"/>
            <w:tcBorders>
              <w:top w:val="outset" w:color="auto" w:sz="6" w:space="0"/>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14:paraId="7152290F">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4170" w:type="dxa"/>
            <w:tcBorders>
              <w:top w:val="outset" w:color="auto" w:sz="6" w:space="0"/>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14:paraId="2547BF7D">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405" w:type="dxa"/>
            <w:tcBorders>
              <w:top w:val="outset" w:color="auto" w:sz="6" w:space="0"/>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14:paraId="7CF00E96">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390" w:type="dxa"/>
            <w:tcBorders>
              <w:top w:val="outset" w:color="auto" w:sz="6" w:space="0"/>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14:paraId="57F3498E">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570" w:type="dxa"/>
            <w:tcBorders>
              <w:top w:val="outset" w:color="auto" w:sz="6" w:space="0"/>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14:paraId="3D0B406D">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900" w:type="dxa"/>
            <w:tcBorders>
              <w:top w:val="outset" w:color="auto" w:sz="6" w:space="0"/>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14:paraId="1DB2C26E">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30" w:type="dxa"/>
            <w:tcBorders>
              <w:top w:val="outset" w:color="auto" w:sz="6" w:space="0"/>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14:paraId="04C8BBF6">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825" w:type="dxa"/>
            <w:tcBorders>
              <w:top w:val="outset" w:color="auto" w:sz="6" w:space="0"/>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14:paraId="6F487A70">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645" w:type="dxa"/>
            <w:tcBorders>
              <w:top w:val="outset" w:color="auto" w:sz="6" w:space="0"/>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14:paraId="280419DF">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570" w:type="dxa"/>
            <w:tcBorders>
              <w:top w:val="outset" w:color="auto" w:sz="6" w:space="0"/>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14:paraId="593F45D2">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600" w:type="dxa"/>
            <w:tcBorders>
              <w:top w:val="outset" w:color="auto" w:sz="6" w:space="0"/>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14:paraId="593D4004">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465" w:type="dxa"/>
            <w:tcBorders>
              <w:top w:val="outset" w:color="auto" w:sz="6" w:space="0"/>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14:paraId="3B9EF220">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735" w:type="dxa"/>
            <w:tcBorders>
              <w:top w:val="outset" w:color="auto" w:sz="6" w:space="0"/>
              <w:left w:val="outset" w:color="auto" w:sz="6" w:space="0"/>
              <w:bottom w:val="outset" w:color="auto" w:sz="6" w:space="0"/>
              <w:right w:val="outset" w:color="auto" w:sz="6" w:space="0"/>
            </w:tcBorders>
            <w:shd w:val="clear"/>
            <w:tcMar>
              <w:top w:w="75" w:type="dxa"/>
              <w:left w:w="150" w:type="dxa"/>
              <w:bottom w:w="75" w:type="dxa"/>
              <w:right w:w="150" w:type="dxa"/>
            </w:tcMar>
            <w:vAlign w:val="center"/>
          </w:tcPr>
          <w:p w14:paraId="210A20DB">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r>
    </w:tbl>
    <w:p w14:paraId="44453E96">
      <w:pPr>
        <w:pStyle w:val="3"/>
        <w:keepNext w:val="0"/>
        <w:keepLines w:val="0"/>
        <w:widowControl/>
        <w:suppressLineNumbers w:val="0"/>
        <w:spacing w:before="0" w:beforeAutospacing="0" w:after="0" w:afterAutospacing="0" w:line="280" w:lineRule="atLeast"/>
        <w:ind w:left="0" w:right="0" w:firstLine="0"/>
        <w:jc w:val="both"/>
        <w:rPr>
          <w:rFonts w:hint="default" w:ascii="Times New Roman" w:hAnsi="Times New Roman" w:cs="Times New Roman"/>
          <w:i w:val="0"/>
          <w:iCs w:val="0"/>
          <w:caps w:val="0"/>
          <w:color w:val="000000"/>
          <w:spacing w:val="0"/>
          <w:sz w:val="21"/>
          <w:szCs w:val="21"/>
        </w:rPr>
      </w:pPr>
      <w:r>
        <w:rPr>
          <w:rFonts w:hint="eastAsia" w:ascii="宋体" w:hAnsi="宋体" w:eastAsia="宋体" w:cs="宋体"/>
          <w:i w:val="0"/>
          <w:iCs w:val="0"/>
          <w:caps w:val="0"/>
          <w:color w:val="000000"/>
          <w:spacing w:val="0"/>
          <w:sz w:val="21"/>
          <w:szCs w:val="21"/>
        </w:rPr>
        <w:t> </w:t>
      </w:r>
    </w:p>
    <w:p w14:paraId="612BC504">
      <w:pPr>
        <w:pStyle w:val="3"/>
        <w:keepNext w:val="0"/>
        <w:keepLines w:val="0"/>
        <w:widowControl/>
        <w:suppressLineNumbers w:val="0"/>
        <w:spacing w:before="0" w:beforeAutospacing="0" w:after="0" w:afterAutospacing="0" w:line="450" w:lineRule="atLeast"/>
        <w:ind w:left="0" w:right="0" w:firstLine="281"/>
        <w:jc w:val="left"/>
        <w:textAlignment w:val="baseline"/>
        <w:rPr>
          <w:rFonts w:hint="default" w:ascii="Times New Roman" w:hAnsi="Times New Roman" w:cs="Times New Roman"/>
          <w:i w:val="0"/>
          <w:iCs w:val="0"/>
          <w:caps w:val="0"/>
          <w:color w:val="000000"/>
          <w:spacing w:val="0"/>
          <w:sz w:val="21"/>
          <w:szCs w:val="21"/>
        </w:rPr>
      </w:pPr>
      <w:r>
        <w:rPr>
          <w:rStyle w:val="6"/>
          <w:rFonts w:hint="eastAsia" w:ascii="楷体" w:hAnsi="楷体" w:eastAsia="楷体" w:cs="楷体"/>
          <w:i w:val="0"/>
          <w:iCs w:val="0"/>
          <w:caps w:val="0"/>
          <w:color w:val="000000"/>
          <w:spacing w:val="0"/>
          <w:sz w:val="28"/>
          <w:szCs w:val="28"/>
          <w:vertAlign w:val="baseline"/>
        </w:rPr>
        <w:t>二、行政处罚类（160项）</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398"/>
        <w:gridCol w:w="2336"/>
        <w:gridCol w:w="487"/>
        <w:gridCol w:w="4478"/>
        <w:gridCol w:w="637"/>
      </w:tblGrid>
      <w:tr w14:paraId="6C17736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539" w:type="dxa"/>
            <w:tcBorders>
              <w:top w:val="single" w:color="auto" w:sz="8" w:space="0"/>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761005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序号</w:t>
            </w:r>
          </w:p>
        </w:tc>
        <w:tc>
          <w:tcPr>
            <w:tcW w:w="3940" w:type="dxa"/>
            <w:tcBorders>
              <w:top w:val="single" w:color="auto" w:sz="8" w:space="0"/>
              <w:left w:val="nil"/>
              <w:bottom w:val="single" w:color="auto" w:sz="8" w:space="0"/>
              <w:right w:val="single" w:color="auto" w:sz="8" w:space="0"/>
            </w:tcBorders>
            <w:shd w:val="clear"/>
            <w:tcMar>
              <w:top w:w="15" w:type="dxa"/>
              <w:left w:w="15" w:type="dxa"/>
              <w:bottom w:w="15" w:type="dxa"/>
              <w:right w:w="15" w:type="dxa"/>
            </w:tcMar>
            <w:vAlign w:val="center"/>
          </w:tcPr>
          <w:p w14:paraId="34D092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 </w:t>
            </w:r>
          </w:p>
          <w:p w14:paraId="5A8C53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项目名称</w:t>
            </w:r>
          </w:p>
        </w:tc>
        <w:tc>
          <w:tcPr>
            <w:tcW w:w="703" w:type="dxa"/>
            <w:tcBorders>
              <w:top w:val="single" w:color="auto" w:sz="8" w:space="0"/>
              <w:left w:val="nil"/>
              <w:bottom w:val="single" w:color="auto" w:sz="8" w:space="0"/>
              <w:right w:val="single" w:color="auto" w:sz="8" w:space="0"/>
            </w:tcBorders>
            <w:shd w:val="clear"/>
            <w:tcMar>
              <w:top w:w="15" w:type="dxa"/>
              <w:left w:w="15" w:type="dxa"/>
              <w:bottom w:w="15" w:type="dxa"/>
              <w:right w:w="15" w:type="dxa"/>
            </w:tcMar>
            <w:vAlign w:val="center"/>
          </w:tcPr>
          <w:p w14:paraId="5BA042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责任科室</w:t>
            </w:r>
          </w:p>
        </w:tc>
        <w:tc>
          <w:tcPr>
            <w:tcW w:w="7380" w:type="dxa"/>
            <w:tcBorders>
              <w:top w:val="single" w:color="auto" w:sz="8" w:space="0"/>
              <w:left w:val="nil"/>
              <w:bottom w:val="single" w:color="auto" w:sz="8" w:space="0"/>
              <w:right w:val="single" w:color="auto" w:sz="8" w:space="0"/>
            </w:tcBorders>
            <w:shd w:val="clear"/>
            <w:tcMar>
              <w:top w:w="15" w:type="dxa"/>
              <w:left w:w="15" w:type="dxa"/>
              <w:bottom w:w="15" w:type="dxa"/>
              <w:right w:w="15" w:type="dxa"/>
            </w:tcMar>
            <w:vAlign w:val="center"/>
          </w:tcPr>
          <w:p w14:paraId="1EE957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实施依据</w:t>
            </w:r>
          </w:p>
        </w:tc>
        <w:tc>
          <w:tcPr>
            <w:tcW w:w="979" w:type="dxa"/>
            <w:tcBorders>
              <w:top w:val="single" w:color="auto" w:sz="8" w:space="0"/>
              <w:left w:val="nil"/>
              <w:bottom w:val="single" w:color="auto" w:sz="8" w:space="0"/>
              <w:right w:val="single" w:color="auto" w:sz="8" w:space="0"/>
            </w:tcBorders>
            <w:shd w:val="clear"/>
            <w:tcMar>
              <w:top w:w="15" w:type="dxa"/>
              <w:left w:w="15" w:type="dxa"/>
              <w:bottom w:w="15" w:type="dxa"/>
              <w:right w:w="15" w:type="dxa"/>
            </w:tcMar>
            <w:vAlign w:val="center"/>
          </w:tcPr>
          <w:p w14:paraId="48AC62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调整意见及理由</w:t>
            </w:r>
          </w:p>
        </w:tc>
      </w:tr>
      <w:tr w14:paraId="11148B1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100" w:hRule="atLeast"/>
        </w:trPr>
        <w:tc>
          <w:tcPr>
            <w:tcW w:w="539"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1F3146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1</w:t>
            </w:r>
          </w:p>
        </w:tc>
        <w:tc>
          <w:tcPr>
            <w:tcW w:w="394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D1848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生产销售未取得肥料登记证的肥料产品的；假冒、伪造肥料登记证、登记证号的；生产、销售的肥料产品有效成分或含量与登记批准内容不符的处罚</w:t>
            </w:r>
          </w:p>
        </w:tc>
        <w:tc>
          <w:tcPr>
            <w:tcW w:w="70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F7433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18418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《肥料登记管理办法》(</w:t>
            </w:r>
            <w:r>
              <w:rPr>
                <w:rFonts w:hint="eastAsia" w:ascii="仿宋" w:hAnsi="仿宋" w:eastAsia="仿宋" w:cs="仿宋"/>
                <w:i w:val="0"/>
                <w:iCs w:val="0"/>
                <w:caps w:val="0"/>
                <w:color w:val="000000"/>
                <w:spacing w:val="0"/>
                <w:sz w:val="20"/>
                <w:szCs w:val="20"/>
                <w:bdr w:val="none" w:color="auto" w:sz="0" w:space="0"/>
                <w:shd w:val="clear" w:fill="FFFFFF"/>
              </w:rPr>
              <w:t>农业部令第32号</w:t>
            </w:r>
            <w:r>
              <w:rPr>
                <w:rFonts w:hint="eastAsia" w:ascii="仿宋" w:hAnsi="仿宋" w:eastAsia="仿宋" w:cs="仿宋"/>
                <w:i w:val="0"/>
                <w:iCs w:val="0"/>
                <w:caps w:val="0"/>
                <w:color w:val="000000"/>
                <w:spacing w:val="0"/>
                <w:sz w:val="20"/>
                <w:szCs w:val="20"/>
                <w:bdr w:val="none" w:color="auto" w:sz="0" w:space="0"/>
              </w:rPr>
              <w:t>)第二十七条:“有下列情形之一的,由县级以上农业行政主管部门给予警告,并处违法所得3倍以下罚款,但最高不得超过30000元;没有违法所得的,处10000元以下罚款:(一)生产、销售未取得登记证的肥料产品;(二)假冒、伪造肥料登记证、登记证号的;(三)生产、销售的肥料产品有效成分或含量与登记批准的内容不符的。</w:t>
            </w:r>
          </w:p>
        </w:tc>
        <w:tc>
          <w:tcPr>
            <w:tcW w:w="97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BE62C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6DE73A5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293" w:hRule="atLeast"/>
        </w:trPr>
        <w:tc>
          <w:tcPr>
            <w:tcW w:w="539"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1D1361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2</w:t>
            </w:r>
          </w:p>
        </w:tc>
        <w:tc>
          <w:tcPr>
            <w:tcW w:w="394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99189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生产、经营假种子的处罚</w:t>
            </w:r>
          </w:p>
        </w:tc>
        <w:tc>
          <w:tcPr>
            <w:tcW w:w="70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A3CC9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DF5D3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《农药管理条例》第七十五条 违反本法第四十九条规定，生产经营假种子的，由县级以上人民政府农业、林业主管部门责令停止生产经营，没收违法所得和种子，吊销种子生产经营许可证；违法生产经营的货值金额不足一万元的，并处一万元以上十万元以下罚款；货值金额一万元以上的，并处货值金额十倍以上二十倍以下罚款。</w:t>
            </w:r>
          </w:p>
          <w:p w14:paraId="2A3655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    因生产经营假种子犯罪被判处有期徒刑以上刑罚的，种子企业或者其他单位的法定代表人、直接负责的主管人员自刑罚执行完毕之日起五年内不得担任种子企业的法定代表人、高级管理人员。</w:t>
            </w:r>
          </w:p>
          <w:p w14:paraId="7EF7A9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 </w:t>
            </w:r>
          </w:p>
        </w:tc>
        <w:tc>
          <w:tcPr>
            <w:tcW w:w="97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E3799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365DB58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293" w:hRule="atLeast"/>
        </w:trPr>
        <w:tc>
          <w:tcPr>
            <w:tcW w:w="539"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04E0D0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3</w:t>
            </w:r>
          </w:p>
        </w:tc>
        <w:tc>
          <w:tcPr>
            <w:tcW w:w="394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A709D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生产、经营劣质农药的处罚</w:t>
            </w:r>
          </w:p>
        </w:tc>
        <w:tc>
          <w:tcPr>
            <w:tcW w:w="70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B5010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16529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农药管理条例》第五十六条“农药经营者经营劣质农药的，由县级以上地方人民政府农业主管部门责令停止经营，没收违法所得、违法经营的农药和用于违法经营的工具、设备等，违法经营的农药货值金额不足1万元的，并处2000元以上2万元以下罚款，货值金额1万元以上的，并处货值金额2倍以上5倍以下罚款;情节严重的，由发证机关吊销农药经营许可证;构成犯罪的，依法追究刑事责任</w:t>
            </w:r>
          </w:p>
        </w:tc>
        <w:tc>
          <w:tcPr>
            <w:tcW w:w="97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E9F3A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2C6826B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305" w:hRule="atLeast"/>
        </w:trPr>
        <w:tc>
          <w:tcPr>
            <w:tcW w:w="539"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37AF37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4</w:t>
            </w:r>
          </w:p>
        </w:tc>
        <w:tc>
          <w:tcPr>
            <w:tcW w:w="394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244E5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未取得种子生产、经营许可证或者伪造、变造、买卖、租借种子生产、经营许可证,或者未按照种子生产、经营许可证的规定生产、经营种子的处罚</w:t>
            </w:r>
          </w:p>
        </w:tc>
        <w:tc>
          <w:tcPr>
            <w:tcW w:w="70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18E1C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1EBF4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《农药管理条例》 第七十七条 违反本法第三十二条、第三十三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可以吊销种子生产经营许可证： (一)未取得种子生产经营许可证生产经营种子的; (二)以欺骗、贿赂等不正当手段取得种子生产经营许可证的； (三)未按照种子生产经营许可证的规定生产经营种子的； (四)伪造、变造、买卖、租借种子生产经营许可证的。 被吊销种子生产经营许可证的单位，其法定代表人、直接负责的主管人员自处罚决定作出之日起五年内不得担任种子企业的法定代表人、高级管理人员。</w:t>
            </w:r>
          </w:p>
          <w:p w14:paraId="564089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 </w:t>
            </w:r>
          </w:p>
        </w:tc>
        <w:tc>
          <w:tcPr>
            <w:tcW w:w="97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8496C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18"/>
                <w:szCs w:val="18"/>
                <w:bdr w:val="none" w:color="auto" w:sz="0" w:space="0"/>
              </w:rPr>
              <w:t>保留</w:t>
            </w:r>
          </w:p>
        </w:tc>
      </w:tr>
      <w:tr w14:paraId="5AF388F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270" w:hRule="atLeast"/>
        </w:trPr>
        <w:tc>
          <w:tcPr>
            <w:tcW w:w="539"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7E7501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5</w:t>
            </w:r>
          </w:p>
        </w:tc>
        <w:tc>
          <w:tcPr>
            <w:tcW w:w="394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B1236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为境外制种的种子在国内销售的;从境外引进农作物种子进行引种试验的收获物在国内作商品种子销售未经批准私自采集或者采伐国家重点保护的天然种质资源的处罚</w:t>
            </w:r>
          </w:p>
        </w:tc>
        <w:tc>
          <w:tcPr>
            <w:tcW w:w="70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B55EB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DD455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《农药管理条例》 第七十九条 违反本法第五十八条、第六十条、第六十一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情节严重的，吊销种子生产经营许可证： (一)未经许可进出口种子的； (二)为境外制种的种子在境内销售的； (三)从境外引进农作物或者林木种子进行引种试验的收获物作为种子在境内销售的； (四)进出口假、劣种子或者属于国家规定不得进出口的种子的。违反本法第八条规定，侵占、破坏种质资源，私自采集或者采伐国家重点保护的天然种质资源的，由县级以上人民政府农业、林业主管部门责令停止违法行为，没收种质资源和违法所得，并处五千元以上五万元以下罚款；造成损失的，依法承担赔偿责任。</w:t>
            </w:r>
          </w:p>
          <w:p w14:paraId="5F0B11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 </w:t>
            </w:r>
          </w:p>
        </w:tc>
        <w:tc>
          <w:tcPr>
            <w:tcW w:w="97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78E2D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6D62DAE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85" w:hRule="atLeast"/>
        </w:trPr>
        <w:tc>
          <w:tcPr>
            <w:tcW w:w="539"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3F65D2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6</w:t>
            </w:r>
          </w:p>
        </w:tc>
        <w:tc>
          <w:tcPr>
            <w:tcW w:w="394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6A79E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销售的种子应当包装而没有包装;销售的种子没有使用说明或者标签内容不符合规定;涂改标签;未按规定建立、保存种子生产经营档案;种子生产经营者在异地设立分支机构、专门经营不再分装的包装种子或者受委托生产、代销种子,未按规定备案的处罚</w:t>
            </w:r>
          </w:p>
          <w:p w14:paraId="39099D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 </w:t>
            </w:r>
          </w:p>
        </w:tc>
        <w:tc>
          <w:tcPr>
            <w:tcW w:w="70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0543A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4D721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《中华人民共和国种子法》第八十条  违反本法第三十六条、第三十八条、第四十条、第四十一条规定，有下列行为之一的，由县级以上人民政府农业、林业主管部门责令改正，处二千元以上二万元以下罚款：（一）销售的种子应当包装而没有包装的；（二）销售的种子没有使用说明或者标签内容不符合规定的；（三）涂改标签的；（四）未按规定建立、保存种子生产经营档案的；（五）种子生产经营者在异地设立分支机构、专门经营不再分装的包装种子或者受委托生产、代销种子，未按规定备案的。</w:t>
            </w:r>
          </w:p>
        </w:tc>
        <w:tc>
          <w:tcPr>
            <w:tcW w:w="97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CECA6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0D2AB1C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955" w:hRule="atLeast"/>
        </w:trPr>
        <w:tc>
          <w:tcPr>
            <w:tcW w:w="539"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081981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7</w:t>
            </w:r>
          </w:p>
        </w:tc>
        <w:tc>
          <w:tcPr>
            <w:tcW w:w="394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A0CA5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推广、销售应当审定未经审定的农作物品种;推广、销售应当停止推广、销售的农作物品种;推广应当登记未经登记的农作物品种,或者以登记品种的名义进行销售;推广已撤销登记的农作物品种,或者以登记品种的名义进行销售的处罚</w:t>
            </w:r>
          </w:p>
          <w:p w14:paraId="1F6BF8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 </w:t>
            </w:r>
          </w:p>
        </w:tc>
        <w:tc>
          <w:tcPr>
            <w:tcW w:w="70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08208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A3F1E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《中华人民共和国种子法》 </w:t>
            </w:r>
            <w:r>
              <w:rPr>
                <w:rFonts w:hint="eastAsia" w:ascii="仿宋" w:hAnsi="仿宋" w:eastAsia="仿宋" w:cs="仿宋"/>
                <w:i w:val="0"/>
                <w:iCs w:val="0"/>
                <w:caps w:val="0"/>
                <w:color w:val="000000"/>
                <w:spacing w:val="0"/>
                <w:sz w:val="20"/>
                <w:szCs w:val="20"/>
                <w:bdr w:val="none" w:color="auto" w:sz="0" w:space="0"/>
              </w:rPr>
              <w:br w:type="textWrapping"/>
            </w:r>
            <w:r>
              <w:rPr>
                <w:rFonts w:hint="eastAsia" w:ascii="仿宋" w:hAnsi="仿宋" w:eastAsia="仿宋" w:cs="仿宋"/>
                <w:i w:val="0"/>
                <w:iCs w:val="0"/>
                <w:caps w:val="0"/>
                <w:color w:val="000000"/>
                <w:spacing w:val="0"/>
                <w:sz w:val="20"/>
                <w:szCs w:val="20"/>
                <w:bdr w:val="none" w:color="auto" w:sz="0" w:space="0"/>
              </w:rPr>
              <w:t> 第二十一条：审定通过的农作物品种和林木良种出现不可克服的严重缺陷等情形不宜继续推广、销售的，经原审定委员会审核确认后，撤销审定，由原公告部门发布公告，停止推广、销售。</w:t>
            </w:r>
            <w:r>
              <w:rPr>
                <w:rFonts w:hint="eastAsia" w:ascii="仿宋" w:hAnsi="仿宋" w:eastAsia="仿宋" w:cs="仿宋"/>
                <w:i w:val="0"/>
                <w:iCs w:val="0"/>
                <w:caps w:val="0"/>
                <w:color w:val="000000"/>
                <w:spacing w:val="0"/>
                <w:sz w:val="20"/>
                <w:szCs w:val="20"/>
                <w:bdr w:val="none" w:color="auto" w:sz="0" w:space="0"/>
              </w:rPr>
              <w:br w:type="textWrapping"/>
            </w:r>
            <w:r>
              <w:rPr>
                <w:rFonts w:hint="eastAsia" w:ascii="仿宋" w:hAnsi="仿宋" w:eastAsia="仿宋" w:cs="仿宋"/>
                <w:i w:val="0"/>
                <w:iCs w:val="0"/>
                <w:caps w:val="0"/>
                <w:color w:val="000000"/>
                <w:spacing w:val="0"/>
                <w:sz w:val="20"/>
                <w:szCs w:val="20"/>
                <w:bdr w:val="none" w:color="auto" w:sz="0" w:space="0"/>
              </w:rPr>
              <w:t> 第二十二条：国家对部分非主要农作物实行品种登记制度。列入非主要农作物登记目录的品种在推广前应当登记。实行品种登记的农作物范围应当严格控制，并根据保护生物多样性、保证消费安全和用种安全的原则确定。登记目录由国务院农业主管部门制定和调整。申请者申请品种登记应当向省、自治区、直辖市人民政府农业主管部门提交申请文件和种子样品，并对其真实性负责，保证可追溯，接受监督检查。申请文件包括品种的种类、名称、来源、特性、育种过程以及特异性、一致性、稳定性测试报告等。省、自治区、直辖市人民政府农业主管部门自受理品种登记申请之日起二十个工作日内，对申请者提交的申请文件进行书面审查，符合要求的，报国务院农业主管部门予以登记公告。对已登记品种存在申请文件、种子样品不实的，由国务院农业主管部门撤销该品种登记，并将该申请者的违法信息记入社会诚信档案，向社会公布；给种子使用者和其他种子生产经营者造成损失的，依法承担赔偿责任。对已登记品种出现不可克服的严重缺陷等情形的，由国务院农业主管部门撤销登记，并发布公告，停止推广。非主要农作物品种登记办法由国务院农业主管部门规定。</w:t>
            </w:r>
            <w:r>
              <w:rPr>
                <w:rFonts w:hint="eastAsia" w:ascii="仿宋" w:hAnsi="仿宋" w:eastAsia="仿宋" w:cs="仿宋"/>
                <w:i w:val="0"/>
                <w:iCs w:val="0"/>
                <w:caps w:val="0"/>
                <w:color w:val="000000"/>
                <w:spacing w:val="0"/>
                <w:sz w:val="20"/>
                <w:szCs w:val="20"/>
                <w:bdr w:val="none" w:color="auto" w:sz="0" w:space="0"/>
              </w:rPr>
              <w:br w:type="textWrapping"/>
            </w:r>
            <w:r>
              <w:rPr>
                <w:rFonts w:hint="eastAsia" w:ascii="仿宋" w:hAnsi="仿宋" w:eastAsia="仿宋" w:cs="仿宋"/>
                <w:i w:val="0"/>
                <w:iCs w:val="0"/>
                <w:caps w:val="0"/>
                <w:color w:val="000000"/>
                <w:spacing w:val="0"/>
                <w:sz w:val="20"/>
                <w:szCs w:val="20"/>
                <w:bdr w:val="none" w:color="auto" w:sz="0" w:space="0"/>
              </w:rPr>
              <w:t> 第二十三条：应当审定的农作物品种未经审定的，不得发布广告、推广、销售。应当审定的林木品种未经审定通过的，不得作为良种推广、销售，但生产确需使用的，应当经林木品种审定委员会认定。应当登记的农作物品种未经登记的，不得发布广告、推广，不得以登记品种的名义销售。</w:t>
            </w:r>
            <w:r>
              <w:rPr>
                <w:rFonts w:hint="eastAsia" w:ascii="仿宋" w:hAnsi="仿宋" w:eastAsia="仿宋" w:cs="仿宋"/>
                <w:i w:val="0"/>
                <w:iCs w:val="0"/>
                <w:caps w:val="0"/>
                <w:color w:val="000000"/>
                <w:spacing w:val="0"/>
                <w:sz w:val="20"/>
                <w:szCs w:val="20"/>
                <w:bdr w:val="none" w:color="auto" w:sz="0" w:space="0"/>
              </w:rPr>
              <w:br w:type="textWrapping"/>
            </w:r>
            <w:r>
              <w:rPr>
                <w:rFonts w:hint="eastAsia" w:ascii="仿宋" w:hAnsi="仿宋" w:eastAsia="仿宋" w:cs="仿宋"/>
                <w:i w:val="0"/>
                <w:iCs w:val="0"/>
                <w:caps w:val="0"/>
                <w:color w:val="000000"/>
                <w:spacing w:val="0"/>
                <w:sz w:val="20"/>
                <w:szCs w:val="20"/>
                <w:bdr w:val="none" w:color="auto" w:sz="0" w:space="0"/>
              </w:rPr>
              <w:t> 第七十八条：违反本法第二十一条、第二十二条、第二十三条规定，有下列行为之一的，由县级以上人民政府农业、林业主管部门责令停止违法行为，没收违法所得和种子，并处二万元以上二十万元以下罚款：（一）对应当审定未经审定的农作物品种进行推广、销售的；（二）作为良种推广、销售应当审定未经审定的林木品种的；（三）推广、销售应当停止推广、销售的农作物品种或者林木良种的；（四）对应当登记未经登记的农作物品种进行推广，或者以登记品种的名义进行销售的；（五）对已撤销登记的农作物品种进行推广，或者以登记品种的名义进行销售的。</w:t>
            </w:r>
          </w:p>
        </w:tc>
        <w:tc>
          <w:tcPr>
            <w:tcW w:w="97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E5FB8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1C867F9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660" w:hRule="atLeast"/>
        </w:trPr>
        <w:tc>
          <w:tcPr>
            <w:tcW w:w="539"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7D5AA9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8</w:t>
            </w:r>
          </w:p>
        </w:tc>
        <w:tc>
          <w:tcPr>
            <w:tcW w:w="394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436FF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在种子生产基地进行检疫性有害生物接种试验的处罚</w:t>
            </w:r>
          </w:p>
          <w:p w14:paraId="42592D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 </w:t>
            </w:r>
          </w:p>
        </w:tc>
        <w:tc>
          <w:tcPr>
            <w:tcW w:w="70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78B64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11AFA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《中华人民共和国种子法》第五十条 农业、林业主管部门是种子行政执法机关。种子执法人员依法执行公务时应当出示行政执法证件。农业、林业主管部门依法履行种子监督检查职责时，有权采取下列措施：</w:t>
            </w:r>
          </w:p>
          <w:p w14:paraId="56A282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一）进入生产经营场所进行现场检查；（二）对种子进行取样测试、试验或者检验；（三）查阅、复制有关合同、票据、账簿、生产经营档案及其他有关资料；（四）查封、扣押有证据证明违法生产经营的种子，以及用于违法生产经营的工具、设备及运输工具等；（五）查封违法从事种子生产经营活动的场所。</w:t>
            </w:r>
          </w:p>
          <w:p w14:paraId="19CD05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农业、林业主管部门依照本法规定行使职权，当事人应当协助、配合，不得拒绝、阻挠。  农业、林业主管部门所属的综合执法机构或者受其委托的种子管理机构，可以开展种子执法相关工作。</w:t>
            </w:r>
          </w:p>
          <w:p w14:paraId="151E3D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第八十八条 违反本法第五十条规定，拒绝、阻挠农业、林业主管部门依法实施监督检查的，处二千元以上五万元以下罚款，可以责令停产停业整顿；构成违反治安管理行为的，由公安机关依法给予治安管理处罚。</w:t>
            </w:r>
          </w:p>
          <w:p w14:paraId="653BEE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 </w:t>
            </w:r>
          </w:p>
        </w:tc>
        <w:tc>
          <w:tcPr>
            <w:tcW w:w="97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BF89F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07817A1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360" w:hRule="atLeast"/>
        </w:trPr>
        <w:tc>
          <w:tcPr>
            <w:tcW w:w="539"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5B5D46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9</w:t>
            </w:r>
          </w:p>
        </w:tc>
        <w:tc>
          <w:tcPr>
            <w:tcW w:w="394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DFD82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品种测试、试验和种子质量检验机构伪造测试、试验、检验数据或者出具虚假证明的处罚</w:t>
            </w:r>
          </w:p>
          <w:p w14:paraId="3AC0CA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 </w:t>
            </w:r>
          </w:p>
        </w:tc>
        <w:tc>
          <w:tcPr>
            <w:tcW w:w="70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FA18D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1C32A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8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4"/>
                <w:szCs w:val="24"/>
                <w:bdr w:val="none" w:color="auto" w:sz="0" w:space="0"/>
              </w:rPr>
              <w:t>《</w:t>
            </w:r>
            <w:r>
              <w:rPr>
                <w:rFonts w:hint="eastAsia" w:ascii="仿宋" w:hAnsi="仿宋" w:eastAsia="仿宋" w:cs="仿宋"/>
                <w:i w:val="0"/>
                <w:iCs w:val="0"/>
                <w:caps w:val="0"/>
                <w:color w:val="000000"/>
                <w:spacing w:val="0"/>
                <w:sz w:val="20"/>
                <w:szCs w:val="20"/>
                <w:bdr w:val="none" w:color="auto" w:sz="0" w:space="0"/>
              </w:rPr>
              <w:t>中华人民共和国种子法》第七十二条 品种测试、试验和种子质量检验机构伪造测试、试验、检验数据或者出具虚假证明的，由县级以上人民政府农业、林业主管部门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由省级以上人民政府有关主管部门取消种子质量检验资格。</w:t>
            </w:r>
          </w:p>
        </w:tc>
        <w:tc>
          <w:tcPr>
            <w:tcW w:w="97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6D392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2794344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126" w:hRule="atLeast"/>
        </w:trPr>
        <w:tc>
          <w:tcPr>
            <w:tcW w:w="539"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60CFAB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10</w:t>
            </w:r>
          </w:p>
        </w:tc>
        <w:tc>
          <w:tcPr>
            <w:tcW w:w="394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C43C3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强迫种子使用者违背自己的意愿购买、使用种子给使用者造成损失的处罚</w:t>
            </w:r>
          </w:p>
        </w:tc>
        <w:tc>
          <w:tcPr>
            <w:tcW w:w="70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05AAB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8748B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18"/>
                <w:szCs w:val="18"/>
                <w:bdr w:val="none" w:color="auto" w:sz="0" w:space="0"/>
              </w:rPr>
              <w:t>《中华人民共和国种子法》第九十条  违反本法第四十四条规定，强迫种子使用者违背自己的意愿购买、使用种子，给使用者造成损失的，应当承担赔偿责任。</w:t>
            </w:r>
          </w:p>
          <w:p w14:paraId="2B4B30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 </w:t>
            </w:r>
          </w:p>
        </w:tc>
        <w:tc>
          <w:tcPr>
            <w:tcW w:w="97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14FC3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1F64051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163" w:hRule="atLeast"/>
        </w:trPr>
        <w:tc>
          <w:tcPr>
            <w:tcW w:w="539"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1CB6E9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11</w:t>
            </w:r>
          </w:p>
        </w:tc>
        <w:tc>
          <w:tcPr>
            <w:tcW w:w="394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98976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假冒授权品种的处罚</w:t>
            </w:r>
          </w:p>
        </w:tc>
        <w:tc>
          <w:tcPr>
            <w:tcW w:w="70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41D68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50FD3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植物新品种保护条例》(国务院令第213号)第四十条:“假冒授权品种的,由县级以上人民政府农业、林业行政部门依据各自的职权责令停止假冒行为,没收违法所得和植物品种繁殖材料,并处违法所得1倍以上5倍以下的罚款;情节严重,构成犯罪的,依法追究刑事责任。</w:t>
            </w:r>
          </w:p>
        </w:tc>
        <w:tc>
          <w:tcPr>
            <w:tcW w:w="97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9B14B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64C566C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255" w:hRule="atLeast"/>
        </w:trPr>
        <w:tc>
          <w:tcPr>
            <w:tcW w:w="539"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4C36A8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12</w:t>
            </w:r>
          </w:p>
        </w:tc>
        <w:tc>
          <w:tcPr>
            <w:tcW w:w="394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888AD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对未按照植检法规规定办理检疫事项或者在报检过程中弄虚作假的;伪造、涂改、买卖、转让植物检疫单证、印章、标志、编号、封识的;调运、隔离试种或者生产应施检疫的植物、植物产品的;擅自开拆植物、植物产品包装,调换植物、植物产品,或者擅自改变植物、植物产品的规定用途的;引起疫情扩散的;加工、经营、试种未经检疫的种子、苗木等繁殖材料或者擅自种植未经审批的国外引进或从省外转口引进的种子、苗木等繁殖材料的;承运、收寄无检疫证书的种子、苗木等繁殖材料和其他应施检疫的植物、植物产品的处罚</w:t>
            </w:r>
          </w:p>
        </w:tc>
        <w:tc>
          <w:tcPr>
            <w:tcW w:w="70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89E38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B0ADC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    《河南省植物检疫条例》（2001河南省人大第二十四次会议通过）</w:t>
            </w:r>
          </w:p>
          <w:p w14:paraId="242748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第二十五条　有下列行为之一的，由农业植物检疫机构、森林植物检疫机构按照职责分工，责令改正，并可处以一千元以上一万元以下罚款；造成损失的，应当依法赔偿；构成犯罪的，依法追究刑事责任：</w:t>
            </w:r>
          </w:p>
          <w:p w14:paraId="164D4B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　　 （一）未按照本条例规定办理检疫事项或者在报检过程中弄虚作假的；</w:t>
            </w:r>
          </w:p>
          <w:p w14:paraId="659EFC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　　（二）伪造、涂改、买卖、转让植物检疫单证、印章、标志、编号、封识的；</w:t>
            </w:r>
          </w:p>
          <w:p w14:paraId="0ACE3D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　　（三）未按照本条例规定调运、隔离试种或者生产应施检疫的植物、植物产品的；</w:t>
            </w:r>
          </w:p>
          <w:p w14:paraId="72CB5D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　　（四）违反规定，擅自开拆植物、植物产品包装，调换植物、植物产品的；</w:t>
            </w:r>
          </w:p>
          <w:p w14:paraId="5847A5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　　（五）违反规定，加工、经营、试种未经检疫的种子、苗木等繁殖材料或者擅自种植未经审批的国外引进或从省外转口引进的种子、苗木等繁殖材料的；</w:t>
            </w:r>
          </w:p>
          <w:p w14:paraId="213317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　　（六）违反规定，承运、收寄无检疫证书的种子、苗木等繁殖材料和其他应施检疫的植物、植物产品的。</w:t>
            </w:r>
          </w:p>
          <w:p w14:paraId="79A87B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　　有前款第（一）、（二）、（三）、（四）项所列情形之一，尚不构成犯罪的，植物检疫机构可以没收非法所得。</w:t>
            </w:r>
          </w:p>
          <w:p w14:paraId="080261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　　对违反本条例规定调运的植物和植物产品，植物检疫机构有权予以扣留、封存、没收、销毁或者责令改变用途。销毁所需费用由责任人承担。</w:t>
            </w:r>
          </w:p>
          <w:p w14:paraId="13D990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 </w:t>
            </w:r>
          </w:p>
        </w:tc>
        <w:tc>
          <w:tcPr>
            <w:tcW w:w="97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AFB0F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473AF02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110" w:hRule="atLeast"/>
        </w:trPr>
        <w:tc>
          <w:tcPr>
            <w:tcW w:w="539"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1BE326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13</w:t>
            </w:r>
          </w:p>
        </w:tc>
        <w:tc>
          <w:tcPr>
            <w:tcW w:w="394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1EB75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对在报检过程中故意谎报受检物品种类、品种,隐瞒受检物品数量、受检作物面积,提供虚假证明材料的;在调运过程中擅自开拆检讫的植物、植物产品,调换或者夹带其他未经检疫的植物、植物产品,或者擅自将非种用植物、植物产品作种用的;试验、生产、推广带有植物检疫对象的种子、苗木和其他繁殖材料,未经批准在非疫区进行检疫对象活体试验研究的;</w:t>
            </w:r>
            <w:r>
              <w:rPr>
                <w:rFonts w:hint="eastAsia" w:ascii="仿宋" w:hAnsi="仿宋" w:eastAsia="仿宋" w:cs="仿宋"/>
                <w:i w:val="0"/>
                <w:iCs w:val="0"/>
                <w:caps w:val="0"/>
                <w:color w:val="000000"/>
                <w:spacing w:val="-8"/>
                <w:sz w:val="20"/>
                <w:szCs w:val="20"/>
                <w:bdr w:val="none" w:color="auto" w:sz="0" w:space="0"/>
              </w:rPr>
              <w:t>不在指定地点种植或者不按要求隔离试种,或者隔离试种期间擅自分散种子、苗木和其他繁殖材料的处罚</w:t>
            </w:r>
          </w:p>
        </w:tc>
        <w:tc>
          <w:tcPr>
            <w:tcW w:w="70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16BC8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A6742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植物检疫条例实施细则(农业部分)》(农业部令第6号)第二十五条:“有下列违法行为之一,尚未构成犯罪的,由植物检疫机构处以罚款:(一)在报检过程中故意谎报受检物品种类、品种,隐瞒受检物品数量、受检作物面积,提供虚假证明材料的;(二)在调运过程中擅自开拆检讫的植物、植物产品,调换或者夹带其他未经检疫的植物、植物产品,或者擅自将非种用植物、植物产品作种用的;(三)伪造、涂改、买卖、转让植物检疫单证、印章、标志、封识的;(四)违反《植物检疫条例》第七条、第八条第一款、第十条规定之一,擅自调运植物、植物产品的;(五)违反《植物检疫条例》第十一条规定,试验、生产、推广带有植物检疫对象的种子、苗木和其他繁殖材料,或者违反《植物检疫条例》第十三条规定,未经批准在非疫区进行检疫对象活体试验研究的;(六)违反《植物检疫条例》第十二条第二款规定,不在指定地点种植或者不按要求隔离试种,或者隔离试种期间擅自分散种子、苗木和其他繁殖材料的。”</w:t>
            </w:r>
          </w:p>
        </w:tc>
        <w:tc>
          <w:tcPr>
            <w:tcW w:w="97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4A961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378C441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130" w:hRule="atLeast"/>
        </w:trPr>
        <w:tc>
          <w:tcPr>
            <w:tcW w:w="539"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75F825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14</w:t>
            </w:r>
          </w:p>
        </w:tc>
        <w:tc>
          <w:tcPr>
            <w:tcW w:w="394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E3F21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8"/>
                <w:sz w:val="20"/>
                <w:szCs w:val="20"/>
                <w:bdr w:val="none" w:color="auto" w:sz="0" w:space="0"/>
              </w:rPr>
              <w:t>销售、推广未经审定蚕种的处罚</w:t>
            </w:r>
          </w:p>
        </w:tc>
        <w:tc>
          <w:tcPr>
            <w:tcW w:w="70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EE384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55D92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蚕种管理办法》(农业部令第68号)第三十一条:“销售、推广未经审定蚕种的,由县级以上人民政府农业(蚕业)行政主管部门责令停止违法行为,没收蚕种和违法所得;违法所得在五万元以上的,并处违法所得一倍以上三倍以下罚款;没有违法所得或者违法所得不足五万元的,并处五千元以上五万元以下罚款。未按照本办法规定发布蚕种广告宣传的,依照《中华人民共和国广告法》的有关规定追究法律责任。”</w:t>
            </w:r>
          </w:p>
        </w:tc>
        <w:tc>
          <w:tcPr>
            <w:tcW w:w="97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6AFDF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2A8D739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535" w:hRule="atLeast"/>
        </w:trPr>
        <w:tc>
          <w:tcPr>
            <w:tcW w:w="539"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2A3687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15</w:t>
            </w:r>
          </w:p>
        </w:tc>
        <w:tc>
          <w:tcPr>
            <w:tcW w:w="394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FBDCD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无蚕种生产、经营许可证或者违反蚕种生产、经营许可证的规定生产经营蚕种,或者转让、租借蚕种生产、经营许可证的处罚</w:t>
            </w:r>
          </w:p>
        </w:tc>
        <w:tc>
          <w:tcPr>
            <w:tcW w:w="70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F07A7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3093A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蚕种管理办法》(农业部令第68号)第三十二条:“无蚕种生产、经营许可证或者违反蚕种生产、经营许可证的规定生产经营蚕种,或者转让、租借蚕种生产、经营许可证的,由县级以上人民政府农业(蚕业)行政主管部门责令停止违法行为,没收违法所得;违法所得在三万元以上的,并处违法所得一倍以上三倍以下罚款;没有违法所得或者违法所得不足三万元的,并处三千元以上三万元以下罚款。违反蚕种生产、经营许可证的规定生产经营蚕种或者转让、租借蚕种生产、经营许可证,情节严重的,并处吊销蚕种生产、经营许可证。”</w:t>
            </w:r>
          </w:p>
        </w:tc>
        <w:tc>
          <w:tcPr>
            <w:tcW w:w="97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5A795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167FD12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025" w:hRule="atLeast"/>
        </w:trPr>
        <w:tc>
          <w:tcPr>
            <w:tcW w:w="539"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383754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16</w:t>
            </w:r>
          </w:p>
        </w:tc>
        <w:tc>
          <w:tcPr>
            <w:tcW w:w="394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FB58F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销售的蚕种未附具蚕种检疫证明、质量合格证的处罚</w:t>
            </w:r>
          </w:p>
        </w:tc>
        <w:tc>
          <w:tcPr>
            <w:tcW w:w="70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ECB9D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38709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《蚕种管理办法》(农业部令第68号)第三十三条:“销售的蚕种未附具蚕种检疫证明、质量合格证的,由县级以上地方人民政府农业(蚕业)行政主管部门责令改正,没收违法所得,可以处二千元以下罚款。</w:t>
            </w:r>
          </w:p>
        </w:tc>
        <w:tc>
          <w:tcPr>
            <w:tcW w:w="97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2954D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24EC232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280" w:hRule="atLeast"/>
        </w:trPr>
        <w:tc>
          <w:tcPr>
            <w:tcW w:w="539"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443817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17</w:t>
            </w:r>
          </w:p>
        </w:tc>
        <w:tc>
          <w:tcPr>
            <w:tcW w:w="394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12350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以不合格蚕种冒充合格的蚕种或冒充其他企业(种场)名称或者品种的蚕种的处罚</w:t>
            </w:r>
          </w:p>
        </w:tc>
        <w:tc>
          <w:tcPr>
            <w:tcW w:w="70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645E8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05424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蚕种管理办法》(农业部令第68号)第三十四条:“以不合格蚕种冒充合格的蚕种或冒充其他企业(种场)名称或者品种的蚕种,由县级以上地方人民政府农业(蚕业)行政主管部门责令停止销售,没收违法销售的蚕种和违法所得;违法所得在五万元以上的,并处违法所得一倍以上五倍以下罚款;没有违法所得或者违法所得不足五万元的,并处五千元以上五万元以下罚款;情节严重的,并处吊销蚕种生产、经营许可证。”</w:t>
            </w:r>
          </w:p>
        </w:tc>
        <w:tc>
          <w:tcPr>
            <w:tcW w:w="97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7EBE5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716C90C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429" w:hRule="atLeast"/>
        </w:trPr>
        <w:tc>
          <w:tcPr>
            <w:tcW w:w="539"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158465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18</w:t>
            </w:r>
          </w:p>
        </w:tc>
        <w:tc>
          <w:tcPr>
            <w:tcW w:w="394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254C8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未取得农药登记证或者农药临时登记证,擅自生产、经营农药的,或者生产、经营已撤销登记的农药的;农药登记证或者农药临时登记证有效期限届满未办理续展登记,擅自继续生产该农药的;生产、经营产品包装上未附标签、标签残缺不清或者擅自修改标签内容的农药产品;不按照国家有关农药安全使用的规定使用农药的处罚</w:t>
            </w:r>
          </w:p>
        </w:tc>
        <w:tc>
          <w:tcPr>
            <w:tcW w:w="70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4FD28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7524E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中华人民共和国农药管理条例》(国务院令第216号)第四十条:“有下列行为之一的,依照刑法关于非法经营罪或者危险物品肇事罪的规定,依法追究刑事责任;尚不够刑事处罚的,由农业行政主管部门按照以下规定给予处罚:(一)未取得农药登记证或者农药临时登记证,擅自生产、经营农药的,或者生产、经营已撤销登记的农药的,责令停止生产、经营,没收违法所得,并处违法所得1倍以上10倍以下的罚款;没有违法所得的,并处10万元以下的罚款;(二)农药登记证或者农药临时登记证有效期限届满未办理续展登记,擅自继续生产该农药的,责令限期补办续展手续,没收违法所得,可以并处违法所得5倍以下的罚款;没有违法所得的,可以并处5万元以下的罚款;逾期不补办的,由原发证机关责令停止生产、经营,吊销农药登记证或者农药临时登记证;(三)生产、经营产品包装上未附标签、标签残缺不清或者擅自修改标签内容的农药产品的,给予警告,没收违法所得,可以并处违法所得3倍以下的罚款;没有违法所得的,可以并处3万元以下的罚款;(四)不按照国家有关农药安全使用的规定使用农药的,根据所造成的危害后果,给予警告,可以并处3万元以下的罚款。未取得农药登记证或者农药临时登记证,擅自生产、经营农药的或者生产、经营已撤销登记的农药的,责令停止生产、经营,没收违法所得,并处违法所得1倍以上10倍以下的罚款;</w:t>
            </w:r>
            <w:r>
              <w:rPr>
                <w:rFonts w:hint="eastAsia" w:ascii="仿宋" w:hAnsi="仿宋" w:eastAsia="仿宋" w:cs="仿宋"/>
                <w:i w:val="0"/>
                <w:iCs w:val="0"/>
                <w:caps w:val="0"/>
                <w:color w:val="000000"/>
                <w:spacing w:val="-8"/>
                <w:sz w:val="20"/>
                <w:szCs w:val="20"/>
                <w:bdr w:val="none" w:color="auto" w:sz="0" w:space="0"/>
              </w:rPr>
              <w:t>没有违法所得的,并处10万元以下的罚款。”</w:t>
            </w:r>
          </w:p>
        </w:tc>
        <w:tc>
          <w:tcPr>
            <w:tcW w:w="97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B0474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51CBB53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321" w:hRule="atLeast"/>
        </w:trPr>
        <w:tc>
          <w:tcPr>
            <w:tcW w:w="539"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58194B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19</w:t>
            </w:r>
          </w:p>
        </w:tc>
        <w:tc>
          <w:tcPr>
            <w:tcW w:w="394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6C6C4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未取得农药生产许可证生产农药或者生产假农药;取得农药生产许可证的农药生产企业不再符合规定条件继续生产农药;农药生产企业生产劣质农药; 委托未取得农药生产许可证的受托人加工、分装农药,或者委托加工、分装假农药、劣质农药的处罚</w:t>
            </w:r>
          </w:p>
          <w:p w14:paraId="766BE8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 </w:t>
            </w:r>
          </w:p>
        </w:tc>
        <w:tc>
          <w:tcPr>
            <w:tcW w:w="70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0D922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4B3B4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《农药管理条例》（1997年5月8日中华人民共和国国务院令第216号发布  根据2001年11月29日《国务院关于修改〈农药管理条例〉的决定》修订 2017年2月8日国务院第164次常务会议修订通过）第五十二条 未取得农药生产许可证生产农药或者生产假农药的，由县级以上地方人民政府农业主管部门责令停止生产，没收违法所得、违法生产的产品和用于违法生产的工具、设备、原材料等，违法生产的产品货值金额不足1万元的，并处5万元以上10万元以下罚款，货值金额1万元以上的，并处货值金额10倍以上20倍以下罚款，由发证机关吊销农药生产许可证和相应的农药登记证；构成犯罪的，依法追究刑事责任。取得农药生产许可证的农药生产企业不再符合规定条件继续生产农药的，由县级以上地方人民政府农业主管部门责令限期整改；逾期拒不整改或者整改后仍不符合规定条件的，由发证机关吊销农药生产许可证。农药生产企业生产劣质农药的，由县级以上地方人民政府农业主管部门责令停止生产，没收违法所得、违法生产的产品和用于违法生产的工具、设备、原材料等，违法生产的产品货值金额不足1万元的，并处1万元以上5万元以下罚款，货值金额1万元以上的，并处货值金额5倍以上10倍以下罚款；情节严重的，由发证机关吊销农药生产许可证和相应的农药登记证；构成犯罪的，依法追究刑事责任。委托未取得农药生产许可证的受托人加工、分装农药，或者委托加工、分装假农药、劣质农药的，对委托人和受托人均依照本条第一款、第三款的规定处罚。</w:t>
            </w:r>
          </w:p>
        </w:tc>
        <w:tc>
          <w:tcPr>
            <w:tcW w:w="97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B1997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33EA65E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177" w:hRule="atLeast"/>
        </w:trPr>
        <w:tc>
          <w:tcPr>
            <w:tcW w:w="539"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527D0D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20</w:t>
            </w:r>
          </w:p>
        </w:tc>
        <w:tc>
          <w:tcPr>
            <w:tcW w:w="394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0BF99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生产、销售、使用的肥料等农业投入品不符合国家或是行业标准行为的处罚</w:t>
            </w:r>
          </w:p>
        </w:tc>
        <w:tc>
          <w:tcPr>
            <w:tcW w:w="70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38FE6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0"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14:paraId="48D403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    《河南省耕地质量管理办法》第十六条生产、销售、使用的肥料等农业投入品应当达到国家或者行业标准，用作肥料或者肥料原料使用的生活垃圾、污泥应当符合国家或者地方标准。第二十八条违反本办法第十六条规定，生产、销售未经登记的肥料的，由县级以上农业行政主管部门给予警告，并处以2000元以上3万元以下罚款。</w:t>
            </w:r>
          </w:p>
        </w:tc>
        <w:tc>
          <w:tcPr>
            <w:tcW w:w="97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DB4CF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216393E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545" w:hRule="atLeast"/>
        </w:trPr>
        <w:tc>
          <w:tcPr>
            <w:tcW w:w="539"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1439A0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21</w:t>
            </w:r>
          </w:p>
        </w:tc>
        <w:tc>
          <w:tcPr>
            <w:tcW w:w="394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742CD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拒绝接受依法监督抽查,拒不改正的处罚</w:t>
            </w:r>
          </w:p>
        </w:tc>
        <w:tc>
          <w:tcPr>
            <w:tcW w:w="70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E89F2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69CA0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00"/>
              <w:jc w:val="both"/>
              <w:textAlignment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《农作物种子质量监督抽查管理办法》第三十七条拒绝接受依法监督抽查的，给予警告，责令改正；拒不改正的，被监督抽查的种子按不合格种子处理，下达任务的农业行政主管部门予以通报。</w:t>
            </w:r>
          </w:p>
        </w:tc>
        <w:tc>
          <w:tcPr>
            <w:tcW w:w="97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A0050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237BDA8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785" w:hRule="atLeast"/>
        </w:trPr>
        <w:tc>
          <w:tcPr>
            <w:tcW w:w="539"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41BD41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22</w:t>
            </w:r>
          </w:p>
        </w:tc>
        <w:tc>
          <w:tcPr>
            <w:tcW w:w="394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FB39F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对在推广国家和省确定的主要农作物品种以外的其他重要品种之前，未到当地市、县农业局进行登记的违法行为的处罚</w:t>
            </w:r>
          </w:p>
        </w:tc>
        <w:tc>
          <w:tcPr>
            <w:tcW w:w="70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048BF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7CC46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00"/>
              <w:jc w:val="both"/>
              <w:textAlignment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《河南省实施〈种子法〉办法》第25条“违反本办法第十条规定，由县级以上农业、林业行政主管部门责令停止推广应用，没收种子和违法所得，可以并处1000元以上1万元以下罚款”</w:t>
            </w:r>
          </w:p>
        </w:tc>
        <w:tc>
          <w:tcPr>
            <w:tcW w:w="97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64D68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3FE8C2B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170" w:hRule="atLeast"/>
        </w:trPr>
        <w:tc>
          <w:tcPr>
            <w:tcW w:w="539"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411F23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23</w:t>
            </w:r>
          </w:p>
        </w:tc>
        <w:tc>
          <w:tcPr>
            <w:tcW w:w="394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84B27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对销售授权品种未使用其注册登记的名称的违法行为的行政处罚</w:t>
            </w:r>
          </w:p>
        </w:tc>
        <w:tc>
          <w:tcPr>
            <w:tcW w:w="70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F9EFC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FDF54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00"/>
              <w:jc w:val="both"/>
              <w:textAlignment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《植物新品种保护条例》（2013年国务院第635号令修订）</w:t>
            </w:r>
            <w:r>
              <w:rPr>
                <w:rFonts w:hint="eastAsia" w:ascii="仿宋" w:hAnsi="仿宋" w:eastAsia="仿宋" w:cs="仿宋"/>
                <w:i w:val="0"/>
                <w:iCs w:val="0"/>
                <w:caps w:val="0"/>
                <w:color w:val="000000"/>
                <w:spacing w:val="0"/>
                <w:sz w:val="20"/>
                <w:szCs w:val="20"/>
                <w:bdr w:val="none" w:color="auto" w:sz="0" w:space="0"/>
              </w:rPr>
              <w:br w:type="textWrapping"/>
            </w:r>
            <w:r>
              <w:rPr>
                <w:rFonts w:hint="eastAsia" w:ascii="仿宋" w:hAnsi="仿宋" w:eastAsia="仿宋" w:cs="仿宋"/>
                <w:i w:val="0"/>
                <w:iCs w:val="0"/>
                <w:caps w:val="0"/>
                <w:color w:val="000000"/>
                <w:spacing w:val="0"/>
                <w:sz w:val="20"/>
                <w:szCs w:val="20"/>
                <w:bdr w:val="none" w:color="auto" w:sz="0" w:space="0"/>
              </w:rPr>
              <w:t> 第四十二条：销售授权品种未使用其注册登记的名称的，由县级以上人民政府农业、林业行政部门依据各自的职权责令限期改正，可以处1000元以下的罚款。</w:t>
            </w:r>
          </w:p>
        </w:tc>
        <w:tc>
          <w:tcPr>
            <w:tcW w:w="97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78B49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0C02D81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150" w:hRule="atLeast"/>
        </w:trPr>
        <w:tc>
          <w:tcPr>
            <w:tcW w:w="539"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1C0645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24</w:t>
            </w:r>
          </w:p>
        </w:tc>
        <w:tc>
          <w:tcPr>
            <w:tcW w:w="394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F9067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农产品生产企业、农民专业合作经济组织销售含有国家禁止使用的农药、兽药或者其它化学物质的，农药、兽药等化学物质残留或者含有重金属等有毒有害物质不符合农产品质量安全标准的，含有的致命性寄生虫、微生物或者生物毒素不符合农产品质量安全标准的，农产品使用的保鲜剂、防腐剂、</w:t>
            </w:r>
            <w:r>
              <w:rPr>
                <w:rFonts w:hint="eastAsia" w:ascii="仿宋" w:hAnsi="仿宋" w:eastAsia="仿宋" w:cs="仿宋"/>
                <w:i w:val="0"/>
                <w:iCs w:val="0"/>
                <w:caps w:val="0"/>
                <w:color w:val="000000"/>
                <w:spacing w:val="-6"/>
                <w:sz w:val="20"/>
                <w:szCs w:val="20"/>
                <w:bdr w:val="none" w:color="auto" w:sz="0" w:space="0"/>
              </w:rPr>
              <w:t>添加剂等材料不符合国家有关强制性的技术规范的，</w:t>
            </w:r>
            <w:r>
              <w:rPr>
                <w:rFonts w:hint="eastAsia" w:ascii="仿宋" w:hAnsi="仿宋" w:eastAsia="仿宋" w:cs="仿宋"/>
                <w:i w:val="0"/>
                <w:iCs w:val="0"/>
                <w:caps w:val="0"/>
                <w:color w:val="000000"/>
                <w:spacing w:val="0"/>
                <w:sz w:val="20"/>
                <w:szCs w:val="20"/>
                <w:bdr w:val="none" w:color="auto" w:sz="0" w:space="0"/>
              </w:rPr>
              <w:t>其他不符合农产品质量安全标准的农产品的处罚</w:t>
            </w:r>
          </w:p>
        </w:tc>
        <w:tc>
          <w:tcPr>
            <w:tcW w:w="70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23A9F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B2C5F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00"/>
              <w:jc w:val="both"/>
              <w:textAlignment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中华人民共和国农产品质量安全法》（2006年）第三十三条：有下列情形之一的农产品，不得销售：（一）含有国家禁止使用的农药、兽药或者其他化学物质的。（二）农药、兽药等化学物质残留或者含有的重金属等有毒有害物质不符合农产品质量安全标准的。（三）含有的致病性寄生虫、微生物或者生物毒素不符合农产品质量安全标准的。（四）使用的保鲜剂、防腐剂、添加剂等材料不符合国家有关强制性的技术规范的。（五）其他不符合农产品质量安全标准的。</w:t>
            </w:r>
          </w:p>
          <w:p w14:paraId="60E289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00"/>
              <w:jc w:val="both"/>
              <w:textAlignment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第四十九条：有本法第三十三条第四项规定情形，使用的保鲜剂、防腐剂、添加剂等材料不符合国家有关强制性的技术规范的，责令停止销售，对被污染的农产品进行无害化处理，对不能进行无害化处理的予以监督销毁；没收违法所得，并处二千元以上二万元以下罚款。</w:t>
            </w:r>
          </w:p>
        </w:tc>
        <w:tc>
          <w:tcPr>
            <w:tcW w:w="97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7CC96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4A9C540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740" w:hRule="atLeast"/>
        </w:trPr>
        <w:tc>
          <w:tcPr>
            <w:tcW w:w="539"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6A89F0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25</w:t>
            </w:r>
          </w:p>
        </w:tc>
        <w:tc>
          <w:tcPr>
            <w:tcW w:w="394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0ADE8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冒用农产品质量标志的处罚</w:t>
            </w:r>
          </w:p>
        </w:tc>
        <w:tc>
          <w:tcPr>
            <w:tcW w:w="70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C887B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DC980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00"/>
              <w:jc w:val="both"/>
              <w:textAlignment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中华人民共和国农产品质量安全法》（2006年）第三十二条：销售的农产品必须符合农产品质量安全标准，生产者可以申请使用无公害农产品标志。农产品质量符合国家规定的有关优质农产品标准的，生产者可以申请使用相应的农产品质量标志。禁止冒用前款规定的农产品质量标志。</w:t>
            </w:r>
          </w:p>
          <w:p w14:paraId="13E505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00"/>
              <w:jc w:val="both"/>
              <w:textAlignment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第五十一条：违反本法第三十二条规定，冒用农产品质量标志的，责令改正，没收违法所得，并处二千元以上二万元以下罚款。</w:t>
            </w:r>
          </w:p>
        </w:tc>
        <w:tc>
          <w:tcPr>
            <w:tcW w:w="97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6CCE8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707F0DE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924" w:hRule="atLeast"/>
        </w:trPr>
        <w:tc>
          <w:tcPr>
            <w:tcW w:w="539"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496A38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26</w:t>
            </w:r>
          </w:p>
        </w:tc>
        <w:tc>
          <w:tcPr>
            <w:tcW w:w="394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F35F8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销售的农产品未按规定进行包装、标示的处罚</w:t>
            </w:r>
          </w:p>
        </w:tc>
        <w:tc>
          <w:tcPr>
            <w:tcW w:w="70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8BF6F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FF41B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00"/>
              <w:jc w:val="both"/>
              <w:textAlignment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中华人民共和国农产品质量安全法》（2006年）第二十八条：农产品生产企业、农民专业合作经济组织以及从事农产品收购的单位或者个人销售的农产品，按照规定应当包装或者附加标识的，须经包装或者附加标识后方可销售。包装物或者标识上应当按照规定标明产品的品名、产地、生产者、生产日期、保质期、产品质量等级等内容；使用添加剂的，还应当按照规定标明添加剂的名称。</w:t>
            </w:r>
          </w:p>
          <w:p w14:paraId="360CE1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00"/>
              <w:jc w:val="both"/>
              <w:textAlignment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第四十八条：违反本法第二十八条规定，销售的农产品未按规定进行包装、标示的，责令限期改正；逾期不改正的，可以处二千元以下罚款。</w:t>
            </w:r>
          </w:p>
        </w:tc>
        <w:tc>
          <w:tcPr>
            <w:tcW w:w="97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0634E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00E1E8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785" w:hRule="atLeast"/>
        </w:trPr>
        <w:tc>
          <w:tcPr>
            <w:tcW w:w="539"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4E6EDD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27</w:t>
            </w:r>
          </w:p>
        </w:tc>
        <w:tc>
          <w:tcPr>
            <w:tcW w:w="394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F4D0E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农产品生产企业、农民专业合作经济组织未按照规定保存农产品生产记录，或者伪造农产品生产记录的处罚</w:t>
            </w:r>
          </w:p>
        </w:tc>
        <w:tc>
          <w:tcPr>
            <w:tcW w:w="70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2A0CB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DBD1B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00"/>
              <w:jc w:val="both"/>
              <w:textAlignment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中华人民共和国农产品质量安全法》（2006年）第四十七条：农产品生产企业、农民专业合作经济组织未按照规定保存农产品生产记录，或者伪造农产品生产纪录，责令限期改正；逾期不改正的，可以处二千元以下罚款。</w:t>
            </w:r>
          </w:p>
        </w:tc>
        <w:tc>
          <w:tcPr>
            <w:tcW w:w="97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9F34C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66591DE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179" w:hRule="atLeast"/>
        </w:trPr>
        <w:tc>
          <w:tcPr>
            <w:tcW w:w="539"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3E2D0E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28</w:t>
            </w:r>
          </w:p>
        </w:tc>
        <w:tc>
          <w:tcPr>
            <w:tcW w:w="394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915A2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农产品质量安全检测机构伪造检测结果或出具检测结果不实的处罚</w:t>
            </w:r>
          </w:p>
        </w:tc>
        <w:tc>
          <w:tcPr>
            <w:tcW w:w="70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0F7CB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DE990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00"/>
              <w:jc w:val="both"/>
              <w:textAlignment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中华人民共和国农产品质量安全法》（2006年）第四十四条：农产品质量安全检测机构伪造检测结果的，责令改正，没收违法所得，并处五万元以上十万元以下罚款，对直接负责的主管人员和其他直接责任人员处一万元以上五万元以下罚款；情节严重的，撤销其检测资格；造成损害的，依法承担赔偿责任。</w:t>
            </w:r>
          </w:p>
          <w:p w14:paraId="36DCAB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00"/>
              <w:jc w:val="both"/>
              <w:textAlignment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农产品质量安全检测机构出具检测结果不实，造成损害的，依法承担赔偿责任；造成重大损害的，并撤销其检测资格。</w:t>
            </w:r>
          </w:p>
        </w:tc>
        <w:tc>
          <w:tcPr>
            <w:tcW w:w="97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B291C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27CBE3D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745" w:hRule="atLeast"/>
        </w:trPr>
        <w:tc>
          <w:tcPr>
            <w:tcW w:w="539"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3E1B2A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29</w:t>
            </w:r>
          </w:p>
        </w:tc>
        <w:tc>
          <w:tcPr>
            <w:tcW w:w="394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DB7B8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擅自变更无公害农产品、绿色食品、有机农产品标志证书，或者伪造、冒用、转让、超范围使用无公害农产品、绿色食品、有机农产品标志和农产品地理标志的处罚</w:t>
            </w:r>
          </w:p>
        </w:tc>
        <w:tc>
          <w:tcPr>
            <w:tcW w:w="70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93B78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C9964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00"/>
              <w:jc w:val="both"/>
              <w:textAlignment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河南省实施《中华人民共和国农产品质量安全法》办法（2013年）第十四条：鼓励、支持农产品生产者按照国家规定的条件和程序，申请使用无公害农产品、绿色食品、有机农产品和农产品地理标志。取得无公害农产品、绿色产品、有机农产品标志证书的，不得擅自变更其名称、范围、面积、生产种类。禁止伪造、冒用、转让、超范围使用无公害农产品、绿色食品、有机农产品标志和农产品地理标志。</w:t>
            </w:r>
          </w:p>
          <w:p w14:paraId="2C6D1E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00"/>
              <w:jc w:val="both"/>
              <w:textAlignment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第四十条：违反本办法第十四条规定，擅自变更无公害农产品、绿色食品、有机农产品标志证书，或者伪造、冒用、转让、超范围使用无公害农产品、绿色食品、有机农产品标志和农产品地理标志的，由县级以上人民政府农产品质量安全监督管理部门责令改正，没收违法所得，并处二千元以上二万元以下的罚款。</w:t>
            </w:r>
          </w:p>
        </w:tc>
        <w:tc>
          <w:tcPr>
            <w:tcW w:w="97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524C9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15F5ACB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040" w:hRule="atLeast"/>
        </w:trPr>
        <w:tc>
          <w:tcPr>
            <w:tcW w:w="539"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2F1EAF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30</w:t>
            </w:r>
          </w:p>
        </w:tc>
        <w:tc>
          <w:tcPr>
            <w:tcW w:w="394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A197C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shd w:val="clear" w:fill="FFFFFF"/>
              </w:rPr>
              <w:t>转基因植物种子、种畜禽、水产苗种的生产、经营单位和个人，未按照规定制作、保存生产、经营档案的处罚</w:t>
            </w:r>
          </w:p>
        </w:tc>
        <w:tc>
          <w:tcPr>
            <w:tcW w:w="70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9D602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568A9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    《农业转基因安全管理条例》（</w:t>
            </w:r>
            <w:r>
              <w:rPr>
                <w:rFonts w:hint="eastAsia" w:ascii="仿宋" w:hAnsi="仿宋" w:eastAsia="仿宋" w:cs="仿宋"/>
                <w:i w:val="0"/>
                <w:iCs w:val="0"/>
                <w:caps w:val="0"/>
                <w:color w:val="000000"/>
                <w:spacing w:val="0"/>
                <w:sz w:val="20"/>
                <w:szCs w:val="20"/>
                <w:bdr w:val="none" w:color="auto" w:sz="0" w:space="0"/>
                <w:shd w:val="clear" w:fill="FFFFFF"/>
              </w:rPr>
              <w:t> </w:t>
            </w:r>
            <w:r>
              <w:rPr>
                <w:rFonts w:hint="eastAsia" w:ascii="仿宋" w:hAnsi="仿宋" w:eastAsia="仿宋" w:cs="仿宋"/>
                <w:i w:val="0"/>
                <w:iCs w:val="0"/>
                <w:caps w:val="0"/>
                <w:color w:val="0000FF"/>
                <w:spacing w:val="0"/>
                <w:sz w:val="20"/>
                <w:szCs w:val="20"/>
                <w:bdr w:val="none" w:color="auto" w:sz="0" w:space="0"/>
                <w:shd w:val="clear" w:fill="FFFFFF"/>
              </w:rPr>
              <w:fldChar w:fldCharType="begin"/>
            </w:r>
            <w:r>
              <w:rPr>
                <w:rFonts w:hint="eastAsia" w:ascii="仿宋" w:hAnsi="仿宋" w:eastAsia="仿宋" w:cs="仿宋"/>
                <w:i w:val="0"/>
                <w:iCs w:val="0"/>
                <w:caps w:val="0"/>
                <w:color w:val="0000FF"/>
                <w:spacing w:val="0"/>
                <w:sz w:val="20"/>
                <w:szCs w:val="20"/>
                <w:bdr w:val="none" w:color="auto" w:sz="0" w:space="0"/>
                <w:shd w:val="clear" w:fill="FFFFFF"/>
              </w:rPr>
              <w:instrText xml:space="preserve"> HYPERLINK "http://baike.baidu.com/view/2204753.htm" \t "http://baike.baidu.com/_blank" </w:instrText>
            </w:r>
            <w:r>
              <w:rPr>
                <w:rFonts w:hint="eastAsia" w:ascii="仿宋" w:hAnsi="仿宋" w:eastAsia="仿宋" w:cs="仿宋"/>
                <w:i w:val="0"/>
                <w:iCs w:val="0"/>
                <w:caps w:val="0"/>
                <w:color w:val="0000FF"/>
                <w:spacing w:val="0"/>
                <w:sz w:val="20"/>
                <w:szCs w:val="20"/>
                <w:bdr w:val="none" w:color="auto" w:sz="0" w:space="0"/>
                <w:shd w:val="clear" w:fill="FFFFFF"/>
              </w:rPr>
              <w:fldChar w:fldCharType="separate"/>
            </w:r>
            <w:r>
              <w:rPr>
                <w:rStyle w:val="7"/>
                <w:rFonts w:hint="eastAsia" w:ascii="仿宋" w:hAnsi="仿宋" w:eastAsia="仿宋" w:cs="仿宋"/>
                <w:i w:val="0"/>
                <w:iCs w:val="0"/>
                <w:caps w:val="0"/>
                <w:color w:val="auto"/>
                <w:spacing w:val="0"/>
                <w:sz w:val="20"/>
                <w:szCs w:val="20"/>
                <w:bdr w:val="none" w:color="auto" w:sz="0" w:space="0"/>
                <w:shd w:val="clear" w:fill="FFFFFF"/>
              </w:rPr>
              <w:t>中华人民共和国国务院令</w:t>
            </w:r>
            <w:r>
              <w:rPr>
                <w:rFonts w:hint="eastAsia" w:ascii="仿宋" w:hAnsi="仿宋" w:eastAsia="仿宋" w:cs="仿宋"/>
                <w:i w:val="0"/>
                <w:iCs w:val="0"/>
                <w:caps w:val="0"/>
                <w:color w:val="0000FF"/>
                <w:spacing w:val="0"/>
                <w:sz w:val="20"/>
                <w:szCs w:val="20"/>
                <w:bdr w:val="none" w:color="auto" w:sz="0" w:space="0"/>
                <w:shd w:val="clear" w:fill="FFFFFF"/>
              </w:rPr>
              <w:fldChar w:fldCharType="end"/>
            </w:r>
            <w:r>
              <w:rPr>
                <w:rFonts w:hint="eastAsia" w:ascii="仿宋" w:hAnsi="仿宋" w:eastAsia="仿宋" w:cs="仿宋"/>
                <w:i w:val="0"/>
                <w:iCs w:val="0"/>
                <w:caps w:val="0"/>
                <w:color w:val="000000"/>
                <w:spacing w:val="0"/>
                <w:sz w:val="20"/>
                <w:szCs w:val="20"/>
                <w:bdr w:val="none" w:color="auto" w:sz="0" w:space="0"/>
                <w:shd w:val="clear" w:fill="FFFFFF"/>
              </w:rPr>
              <w:t> 第304号 ）第四十八条违反本条例规定，转基因植物种子、种畜禽、水产苗种的生产、经营单位和个人，未按照规定制作、保存生产、经营档案的，由县级以上人民政府农业行政主管部门依据职权，责令改正，处1000元以上1万元以下的罚款。</w:t>
            </w:r>
          </w:p>
        </w:tc>
        <w:tc>
          <w:tcPr>
            <w:tcW w:w="97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041F0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1DF3FE7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180" w:hRule="atLeast"/>
        </w:trPr>
        <w:tc>
          <w:tcPr>
            <w:tcW w:w="539"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4200B0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31</w:t>
            </w:r>
          </w:p>
        </w:tc>
        <w:tc>
          <w:tcPr>
            <w:tcW w:w="394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D0F95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shd w:val="clear" w:fill="FFFFFF"/>
              </w:rPr>
              <w:t>违反关于农业转基因生物标识管理规定的处罚</w:t>
            </w:r>
          </w:p>
        </w:tc>
        <w:tc>
          <w:tcPr>
            <w:tcW w:w="70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A753D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88888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    《农业转基因安全管理条例》（</w:t>
            </w:r>
            <w:r>
              <w:rPr>
                <w:rFonts w:hint="eastAsia" w:ascii="仿宋" w:hAnsi="仿宋" w:eastAsia="仿宋" w:cs="仿宋"/>
                <w:i w:val="0"/>
                <w:iCs w:val="0"/>
                <w:caps w:val="0"/>
                <w:color w:val="000000"/>
                <w:spacing w:val="0"/>
                <w:sz w:val="20"/>
                <w:szCs w:val="20"/>
                <w:bdr w:val="none" w:color="auto" w:sz="0" w:space="0"/>
                <w:shd w:val="clear" w:fill="FFFFFF"/>
              </w:rPr>
              <w:t> </w:t>
            </w:r>
            <w:r>
              <w:rPr>
                <w:rFonts w:hint="eastAsia" w:ascii="仿宋" w:hAnsi="仿宋" w:eastAsia="仿宋" w:cs="仿宋"/>
                <w:i w:val="0"/>
                <w:iCs w:val="0"/>
                <w:caps w:val="0"/>
                <w:color w:val="0000FF"/>
                <w:spacing w:val="0"/>
                <w:sz w:val="20"/>
                <w:szCs w:val="20"/>
                <w:bdr w:val="none" w:color="auto" w:sz="0" w:space="0"/>
                <w:shd w:val="clear" w:fill="FFFFFF"/>
              </w:rPr>
              <w:fldChar w:fldCharType="begin"/>
            </w:r>
            <w:r>
              <w:rPr>
                <w:rFonts w:hint="eastAsia" w:ascii="仿宋" w:hAnsi="仿宋" w:eastAsia="仿宋" w:cs="仿宋"/>
                <w:i w:val="0"/>
                <w:iCs w:val="0"/>
                <w:caps w:val="0"/>
                <w:color w:val="0000FF"/>
                <w:spacing w:val="0"/>
                <w:sz w:val="20"/>
                <w:szCs w:val="20"/>
                <w:bdr w:val="none" w:color="auto" w:sz="0" w:space="0"/>
                <w:shd w:val="clear" w:fill="FFFFFF"/>
              </w:rPr>
              <w:instrText xml:space="preserve"> HYPERLINK "http://baike.baidu.com/view/2204753.htm" \t "http://baike.baidu.com/_blank" </w:instrText>
            </w:r>
            <w:r>
              <w:rPr>
                <w:rFonts w:hint="eastAsia" w:ascii="仿宋" w:hAnsi="仿宋" w:eastAsia="仿宋" w:cs="仿宋"/>
                <w:i w:val="0"/>
                <w:iCs w:val="0"/>
                <w:caps w:val="0"/>
                <w:color w:val="0000FF"/>
                <w:spacing w:val="0"/>
                <w:sz w:val="20"/>
                <w:szCs w:val="20"/>
                <w:bdr w:val="none" w:color="auto" w:sz="0" w:space="0"/>
                <w:shd w:val="clear" w:fill="FFFFFF"/>
              </w:rPr>
              <w:fldChar w:fldCharType="separate"/>
            </w:r>
            <w:r>
              <w:rPr>
                <w:rStyle w:val="7"/>
                <w:rFonts w:hint="eastAsia" w:ascii="仿宋" w:hAnsi="仿宋" w:eastAsia="仿宋" w:cs="仿宋"/>
                <w:i w:val="0"/>
                <w:iCs w:val="0"/>
                <w:caps w:val="0"/>
                <w:color w:val="auto"/>
                <w:spacing w:val="0"/>
                <w:sz w:val="20"/>
                <w:szCs w:val="20"/>
                <w:bdr w:val="none" w:color="auto" w:sz="0" w:space="0"/>
                <w:shd w:val="clear" w:fill="FFFFFF"/>
              </w:rPr>
              <w:t>中华人民共和国国务院令</w:t>
            </w:r>
            <w:r>
              <w:rPr>
                <w:rFonts w:hint="eastAsia" w:ascii="仿宋" w:hAnsi="仿宋" w:eastAsia="仿宋" w:cs="仿宋"/>
                <w:i w:val="0"/>
                <w:iCs w:val="0"/>
                <w:caps w:val="0"/>
                <w:color w:val="0000FF"/>
                <w:spacing w:val="0"/>
                <w:sz w:val="20"/>
                <w:szCs w:val="20"/>
                <w:bdr w:val="none" w:color="auto" w:sz="0" w:space="0"/>
                <w:shd w:val="clear" w:fill="FFFFFF"/>
              </w:rPr>
              <w:fldChar w:fldCharType="end"/>
            </w:r>
            <w:r>
              <w:rPr>
                <w:rFonts w:hint="eastAsia" w:ascii="仿宋" w:hAnsi="仿宋" w:eastAsia="仿宋" w:cs="仿宋"/>
                <w:i w:val="0"/>
                <w:iCs w:val="0"/>
                <w:caps w:val="0"/>
                <w:color w:val="000000"/>
                <w:spacing w:val="0"/>
                <w:sz w:val="20"/>
                <w:szCs w:val="20"/>
                <w:bdr w:val="none" w:color="auto" w:sz="0" w:space="0"/>
                <w:shd w:val="clear" w:fill="FFFFFF"/>
              </w:rPr>
              <w:t> 第304号 ）第五十二条　违反本条例关于农业转基因生物标识管理规定的，由县级以上人民政府农业行政主管部门依据职权，责令限期改正，可以没收非法销售的产品和违法所得，并可以处1万元以上5万元以下的罚款。</w:t>
            </w:r>
          </w:p>
        </w:tc>
        <w:tc>
          <w:tcPr>
            <w:tcW w:w="97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9AB9E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1ED9413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85" w:hRule="atLeast"/>
        </w:trPr>
        <w:tc>
          <w:tcPr>
            <w:tcW w:w="539"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2D5C17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32</w:t>
            </w:r>
          </w:p>
        </w:tc>
        <w:tc>
          <w:tcPr>
            <w:tcW w:w="394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FD62D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shd w:val="clear" w:fill="FFFFFF"/>
              </w:rPr>
              <w:t>假冒、伪造、转让或者买卖农业转基因生物有关证明文书的处罚</w:t>
            </w:r>
          </w:p>
        </w:tc>
        <w:tc>
          <w:tcPr>
            <w:tcW w:w="70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C5A77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C9DFB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    《农业转基因安全管理条例》（</w:t>
            </w:r>
            <w:r>
              <w:rPr>
                <w:rFonts w:hint="eastAsia" w:ascii="仿宋" w:hAnsi="仿宋" w:eastAsia="仿宋" w:cs="仿宋"/>
                <w:i w:val="0"/>
                <w:iCs w:val="0"/>
                <w:caps w:val="0"/>
                <w:color w:val="000000"/>
                <w:spacing w:val="0"/>
                <w:sz w:val="20"/>
                <w:szCs w:val="20"/>
                <w:bdr w:val="none" w:color="auto" w:sz="0" w:space="0"/>
                <w:shd w:val="clear" w:fill="FFFFFF"/>
              </w:rPr>
              <w:t> </w:t>
            </w:r>
            <w:r>
              <w:rPr>
                <w:rFonts w:hint="eastAsia" w:ascii="仿宋" w:hAnsi="仿宋" w:eastAsia="仿宋" w:cs="仿宋"/>
                <w:i w:val="0"/>
                <w:iCs w:val="0"/>
                <w:caps w:val="0"/>
                <w:color w:val="0000FF"/>
                <w:spacing w:val="0"/>
                <w:sz w:val="20"/>
                <w:szCs w:val="20"/>
                <w:bdr w:val="none" w:color="auto" w:sz="0" w:space="0"/>
                <w:shd w:val="clear" w:fill="FFFFFF"/>
              </w:rPr>
              <w:fldChar w:fldCharType="begin"/>
            </w:r>
            <w:r>
              <w:rPr>
                <w:rFonts w:hint="eastAsia" w:ascii="仿宋" w:hAnsi="仿宋" w:eastAsia="仿宋" w:cs="仿宋"/>
                <w:i w:val="0"/>
                <w:iCs w:val="0"/>
                <w:caps w:val="0"/>
                <w:color w:val="0000FF"/>
                <w:spacing w:val="0"/>
                <w:sz w:val="20"/>
                <w:szCs w:val="20"/>
                <w:bdr w:val="none" w:color="auto" w:sz="0" w:space="0"/>
                <w:shd w:val="clear" w:fill="FFFFFF"/>
              </w:rPr>
              <w:instrText xml:space="preserve"> HYPERLINK "http://baike.baidu.com/view/2204753.htm" \t "http://baike.baidu.com/_blank" </w:instrText>
            </w:r>
            <w:r>
              <w:rPr>
                <w:rFonts w:hint="eastAsia" w:ascii="仿宋" w:hAnsi="仿宋" w:eastAsia="仿宋" w:cs="仿宋"/>
                <w:i w:val="0"/>
                <w:iCs w:val="0"/>
                <w:caps w:val="0"/>
                <w:color w:val="0000FF"/>
                <w:spacing w:val="0"/>
                <w:sz w:val="20"/>
                <w:szCs w:val="20"/>
                <w:bdr w:val="none" w:color="auto" w:sz="0" w:space="0"/>
                <w:shd w:val="clear" w:fill="FFFFFF"/>
              </w:rPr>
              <w:fldChar w:fldCharType="separate"/>
            </w:r>
            <w:r>
              <w:rPr>
                <w:rStyle w:val="7"/>
                <w:rFonts w:hint="eastAsia" w:ascii="仿宋" w:hAnsi="仿宋" w:eastAsia="仿宋" w:cs="仿宋"/>
                <w:i w:val="0"/>
                <w:iCs w:val="0"/>
                <w:caps w:val="0"/>
                <w:color w:val="auto"/>
                <w:spacing w:val="0"/>
                <w:sz w:val="20"/>
                <w:szCs w:val="20"/>
                <w:bdr w:val="none" w:color="auto" w:sz="0" w:space="0"/>
                <w:shd w:val="clear" w:fill="FFFFFF"/>
              </w:rPr>
              <w:t>中华人民共和国国务院令</w:t>
            </w:r>
            <w:r>
              <w:rPr>
                <w:rFonts w:hint="eastAsia" w:ascii="仿宋" w:hAnsi="仿宋" w:eastAsia="仿宋" w:cs="仿宋"/>
                <w:i w:val="0"/>
                <w:iCs w:val="0"/>
                <w:caps w:val="0"/>
                <w:color w:val="0000FF"/>
                <w:spacing w:val="0"/>
                <w:sz w:val="20"/>
                <w:szCs w:val="20"/>
                <w:bdr w:val="none" w:color="auto" w:sz="0" w:space="0"/>
                <w:shd w:val="clear" w:fill="FFFFFF"/>
              </w:rPr>
              <w:fldChar w:fldCharType="end"/>
            </w:r>
            <w:r>
              <w:rPr>
                <w:rFonts w:hint="eastAsia" w:ascii="仿宋" w:hAnsi="仿宋" w:eastAsia="仿宋" w:cs="仿宋"/>
                <w:i w:val="0"/>
                <w:iCs w:val="0"/>
                <w:caps w:val="0"/>
                <w:color w:val="000000"/>
                <w:spacing w:val="0"/>
                <w:sz w:val="20"/>
                <w:szCs w:val="20"/>
                <w:bdr w:val="none" w:color="auto" w:sz="0" w:space="0"/>
                <w:shd w:val="clear" w:fill="FFFFFF"/>
              </w:rPr>
              <w:t> 第304号 ）第五十三条　假冒、伪造、转让或者买卖农业转基因生物有关证明文书的，由县级以上人民政府农业行政主管部门依据职权，收缴相应的证明文书，并处2万元以上10万元以下的罚款；构成犯罪的，依法追究刑事责任。</w:t>
            </w:r>
          </w:p>
        </w:tc>
        <w:tc>
          <w:tcPr>
            <w:tcW w:w="97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AD9B0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22BC2EA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65" w:hRule="atLeast"/>
        </w:trPr>
        <w:tc>
          <w:tcPr>
            <w:tcW w:w="539"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0E1886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33</w:t>
            </w:r>
          </w:p>
        </w:tc>
        <w:tc>
          <w:tcPr>
            <w:tcW w:w="394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5B968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转让肥料登记证或登记证号的;登记证有效期满未经批准续展登记而继续生产该肥料产品的;生产、销售包装上未附标签、标签残缺不清或者擅自修改标签内容的处罚</w:t>
            </w:r>
          </w:p>
        </w:tc>
        <w:tc>
          <w:tcPr>
            <w:tcW w:w="70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96118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C19CBF9">
            <w:pPr>
              <w:pStyle w:val="2"/>
              <w:keepNext w:val="0"/>
              <w:keepLines w:val="0"/>
              <w:widowControl/>
              <w:suppressLineNumbers w:val="0"/>
              <w:shd w:val="clear" w:fill="FFFFFF"/>
              <w:spacing w:before="0" w:beforeAutospacing="0" w:after="0" w:afterAutospacing="0" w:line="240" w:lineRule="atLeast"/>
              <w:ind w:left="0" w:right="0"/>
              <w:jc w:val="both"/>
            </w:pPr>
            <w:r>
              <w:rPr>
                <w:rFonts w:hint="eastAsia" w:ascii="仿宋" w:hAnsi="仿宋" w:eastAsia="仿宋" w:cs="仿宋"/>
                <w:b w:val="0"/>
                <w:bCs w:val="0"/>
                <w:i w:val="0"/>
                <w:iCs w:val="0"/>
                <w:caps w:val="0"/>
                <w:color w:val="000000"/>
                <w:spacing w:val="0"/>
                <w:sz w:val="20"/>
                <w:szCs w:val="20"/>
                <w:shd w:val="clear" w:fill="FFFFFF"/>
              </w:rPr>
              <w:t>     《肥料登记管理办法》(中华人民共和国农业部第32号令)</w:t>
            </w:r>
          </w:p>
          <w:p w14:paraId="7FF11A9C">
            <w:pPr>
              <w:pStyle w:val="2"/>
              <w:keepNext w:val="0"/>
              <w:keepLines w:val="0"/>
              <w:widowControl/>
              <w:suppressLineNumbers w:val="0"/>
              <w:shd w:val="clear" w:fill="FFFFFF"/>
              <w:spacing w:before="0" w:beforeAutospacing="0" w:after="0" w:afterAutospacing="0" w:line="240" w:lineRule="atLeast"/>
              <w:ind w:left="0" w:right="0"/>
              <w:jc w:val="both"/>
            </w:pPr>
            <w:r>
              <w:rPr>
                <w:rFonts w:hint="eastAsia" w:ascii="仿宋" w:hAnsi="仿宋" w:eastAsia="仿宋" w:cs="仿宋"/>
                <w:b w:val="0"/>
                <w:bCs w:val="0"/>
                <w:i w:val="0"/>
                <w:iCs w:val="0"/>
                <w:caps w:val="0"/>
                <w:color w:val="000000"/>
                <w:spacing w:val="0"/>
                <w:sz w:val="20"/>
                <w:szCs w:val="20"/>
                <w:shd w:val="clear" w:fill="FFFFFF"/>
              </w:rPr>
              <w:t>第二十八条有下列情形之一的，报请县级以上农业行政主管部门给予警告，同时处违法所得3倍以下罚款，但最高不得超过20000元;没有违法所得的，处10000元以下罚款:(一)转让肥料登记证或登记证号的;(二)登记证有效期满未经批准续展登记而继续生产该肥料产品的;(三)生产、销售包装上未附标签、标签残缺不清或者擅自修改标签内容的。</w:t>
            </w:r>
          </w:p>
        </w:tc>
        <w:tc>
          <w:tcPr>
            <w:tcW w:w="97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6A83A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57B8722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635" w:hRule="atLeast"/>
        </w:trPr>
        <w:tc>
          <w:tcPr>
            <w:tcW w:w="539"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787B12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34</w:t>
            </w:r>
          </w:p>
        </w:tc>
        <w:tc>
          <w:tcPr>
            <w:tcW w:w="394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D3E87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设立分支机构未依法变更农药经营许可证，或者未向分支机构所在地县级以上地方人民政府农业主管部门备案；向未取得农药生产许可证的农药生产企业或者未取得农药经营许可证的其他农药经营者采购农药；采购、销售未附具产品质量检验合格证或者包装、标签不符合规定的农药；不停止销售依法应当召回的农药的处罚。</w:t>
            </w:r>
          </w:p>
          <w:p w14:paraId="4CBCDE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 </w:t>
            </w:r>
          </w:p>
        </w:tc>
        <w:tc>
          <w:tcPr>
            <w:tcW w:w="70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51CCE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1734DAA">
            <w:pPr>
              <w:pStyle w:val="2"/>
              <w:keepNext w:val="0"/>
              <w:keepLines w:val="0"/>
              <w:widowControl/>
              <w:suppressLineNumbers w:val="0"/>
              <w:shd w:val="clear" w:fill="FFFFFF"/>
              <w:spacing w:before="0" w:beforeAutospacing="0" w:after="0" w:afterAutospacing="0" w:line="240" w:lineRule="atLeast"/>
              <w:ind w:left="0" w:right="0"/>
              <w:jc w:val="both"/>
            </w:pPr>
            <w:r>
              <w:rPr>
                <w:rFonts w:hint="eastAsia" w:ascii="仿宋" w:hAnsi="仿宋" w:eastAsia="仿宋" w:cs="仿宋"/>
                <w:b w:val="0"/>
                <w:bCs w:val="0"/>
                <w:i w:val="0"/>
                <w:iCs w:val="0"/>
                <w:caps w:val="0"/>
                <w:color w:val="000000"/>
                <w:spacing w:val="0"/>
                <w:sz w:val="20"/>
                <w:szCs w:val="20"/>
                <w:shd w:val="clear" w:fill="FFFFFF"/>
              </w:rPr>
              <w:t>《农药管理条例》第五十七条“农药经营者有下列行为之一的，由县级以上地方人民政府农业主管部门责令改正，没收违法所得和违法经营的农药，并处5000元以上5万元以下罚款;拒不改正或者情节严重的，由发证机关吊销农药经营许可证：(一)设立分支机构未依法变更农药经营许可证，或者未向分支机构所在地县级以上地方人民政府农业主管部门备案；(二)向未取得农药生产许可证的农药生产企业或者未取得农药经营许可证的其他农药经营者采购农药；(三)采购、销售未附具产品质量检验合格证或者包装、标签不符合规定的农药；(四)不停止销售依法应当召回的农药。”</w:t>
            </w:r>
          </w:p>
        </w:tc>
        <w:tc>
          <w:tcPr>
            <w:tcW w:w="97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C0586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7FB527A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20" w:hRule="atLeast"/>
        </w:trPr>
        <w:tc>
          <w:tcPr>
            <w:tcW w:w="539"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6CC453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35</w:t>
            </w:r>
          </w:p>
        </w:tc>
        <w:tc>
          <w:tcPr>
            <w:tcW w:w="394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CAE44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不执行农药采购台账、销售台账制度;在卫生用农药以外的农药经营场所内经营食品、食用农产品、饲料等;未将卫生用农药与其他商品分柜销售;不履行农药废弃物回收义务的处罚。</w:t>
            </w:r>
          </w:p>
        </w:tc>
        <w:tc>
          <w:tcPr>
            <w:tcW w:w="70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6A07F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FF038C6">
            <w:pPr>
              <w:pStyle w:val="2"/>
              <w:keepNext w:val="0"/>
              <w:keepLines w:val="0"/>
              <w:widowControl/>
              <w:suppressLineNumbers w:val="0"/>
              <w:shd w:val="clear" w:fill="FFFFFF"/>
              <w:spacing w:before="0" w:beforeAutospacing="0" w:after="0" w:afterAutospacing="0" w:line="240" w:lineRule="atLeast"/>
              <w:ind w:left="0" w:right="0"/>
              <w:jc w:val="both"/>
            </w:pPr>
            <w:r>
              <w:rPr>
                <w:rFonts w:hint="eastAsia" w:ascii="仿宋" w:hAnsi="仿宋" w:eastAsia="仿宋" w:cs="仿宋"/>
                <w:b w:val="0"/>
                <w:bCs w:val="0"/>
                <w:i w:val="0"/>
                <w:iCs w:val="0"/>
                <w:caps w:val="0"/>
                <w:color w:val="000000"/>
                <w:spacing w:val="0"/>
                <w:sz w:val="20"/>
                <w:szCs w:val="20"/>
                <w:shd w:val="clear" w:fill="FFFFFF"/>
              </w:rPr>
              <w:t>《农药管理条例》第五十八条：“农药经营者有下列行为之一的，由县级以上地方人民政府农业主管部门责令改正;拒不改正或者情节严重的，处2000元以上2万元以下罚款，并由发证机关吊销农药经营许可证：(一)不执行农药采购台账、销售台账制度；(二)在卫生用农药以外的农药经营场所内经营食品、食用农产品、饲料等；(三)未将卫生用农药与其他商品分柜销售；(四)不履行农药废弃物回收义务”。</w:t>
            </w:r>
          </w:p>
        </w:tc>
        <w:tc>
          <w:tcPr>
            <w:tcW w:w="97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57BDF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0D4D86B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265" w:hRule="atLeast"/>
        </w:trPr>
        <w:tc>
          <w:tcPr>
            <w:tcW w:w="539"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1457C2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36</w:t>
            </w:r>
          </w:p>
        </w:tc>
        <w:tc>
          <w:tcPr>
            <w:tcW w:w="394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29D3B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不按照农药的标签标注的使用范围、使用方法和剂量、使用技术要求和注意事项、安全间隔期使用农药；使用禁用的农药；将剧毒、高毒农药用于防治卫生害虫，用于蔬菜、瓜果、茶叶、菌类、中草药材生产或者用于水生植物的病虫害防治；在饮用水水源保护区内使用农药；使用农药毒鱼、虾、鸟、兽等；在饮用水水源保护区、河道内丢弃农药、农药包装物或者清洗施药器械的处罚。</w:t>
            </w:r>
          </w:p>
        </w:tc>
        <w:tc>
          <w:tcPr>
            <w:tcW w:w="70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43C66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FAAF063">
            <w:pPr>
              <w:pStyle w:val="2"/>
              <w:keepNext w:val="0"/>
              <w:keepLines w:val="0"/>
              <w:widowControl/>
              <w:suppressLineNumbers w:val="0"/>
              <w:shd w:val="clear" w:fill="FFFFFF"/>
              <w:spacing w:before="0" w:beforeAutospacing="0" w:after="0" w:afterAutospacing="0" w:line="240" w:lineRule="atLeast"/>
              <w:ind w:left="0" w:right="0"/>
              <w:jc w:val="both"/>
            </w:pPr>
            <w:r>
              <w:rPr>
                <w:rFonts w:hint="eastAsia" w:ascii="仿宋" w:hAnsi="仿宋" w:eastAsia="仿宋" w:cs="仿宋"/>
                <w:b w:val="0"/>
                <w:bCs w:val="0"/>
                <w:i w:val="0"/>
                <w:iCs w:val="0"/>
                <w:caps w:val="0"/>
                <w:color w:val="000000"/>
                <w:spacing w:val="0"/>
                <w:sz w:val="20"/>
                <w:szCs w:val="20"/>
                <w:shd w:val="clear" w:fill="FFFFFF"/>
              </w:rPr>
              <w:t>《农药管理条例》第六十条：“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一)不按照农药的标签标注的使用范围、使用方法和剂量、使用技术要求和注意事项、安全间隔期使用农药；(二)使用禁用的农药；(三)将剧毒、高毒农药用于防治卫生害虫，用于蔬菜、瓜果、茶叶、菌类、中草药材生产或者用于水生植物的病虫害防治；(四)在饮用水水源保护区内使用农药；(五)使用农药毒鱼、虾、鸟、兽等；(六)在饮用水水源保护区、河道内丢弃农药、农药包装物或者清洗施药器械。有前款第二项规定的行为的，县级人民政府农业主管部门还应当没收禁用的农药。”</w:t>
            </w:r>
          </w:p>
        </w:tc>
        <w:tc>
          <w:tcPr>
            <w:tcW w:w="97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990B5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0A95A23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265" w:hRule="atLeast"/>
        </w:trPr>
        <w:tc>
          <w:tcPr>
            <w:tcW w:w="539"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769D6D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37</w:t>
            </w:r>
          </w:p>
        </w:tc>
        <w:tc>
          <w:tcPr>
            <w:tcW w:w="394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C789C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农产品生产企业、食品和食用农产品仓储企业、专业化病虫害防治服务组织和从事农产品生产的农民专业合作社等不执行农药使用记录制度的处罚。</w:t>
            </w:r>
          </w:p>
          <w:p w14:paraId="180A11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 </w:t>
            </w:r>
          </w:p>
        </w:tc>
        <w:tc>
          <w:tcPr>
            <w:tcW w:w="70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BDADE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F73930D">
            <w:pPr>
              <w:pStyle w:val="2"/>
              <w:keepNext w:val="0"/>
              <w:keepLines w:val="0"/>
              <w:widowControl/>
              <w:suppressLineNumbers w:val="0"/>
              <w:shd w:val="clear" w:fill="FFFFFF"/>
              <w:spacing w:before="0" w:beforeAutospacing="0" w:after="0" w:afterAutospacing="0" w:line="240" w:lineRule="atLeast"/>
              <w:ind w:left="0" w:right="0"/>
              <w:jc w:val="both"/>
            </w:pPr>
            <w:r>
              <w:rPr>
                <w:rFonts w:hint="eastAsia" w:ascii="仿宋" w:hAnsi="仿宋" w:eastAsia="仿宋" w:cs="仿宋"/>
                <w:b w:val="0"/>
                <w:bCs w:val="0"/>
                <w:i w:val="0"/>
                <w:iCs w:val="0"/>
                <w:caps w:val="0"/>
                <w:color w:val="000000"/>
                <w:spacing w:val="0"/>
                <w:sz w:val="20"/>
                <w:szCs w:val="20"/>
                <w:shd w:val="clear" w:fill="FFFFFF"/>
              </w:rPr>
              <w:t>《农药管理条例》第六十一条“农产品生产企业、食品和食用农产品仓储企业、专业化病虫害防治服务组织和从事农产品生产的农民专业合作社等不执行农药使用记录制度的，由县级人民政府农业主管部门责令改正；拒不改正或者情节严重的，处2000元以上2万元以下罚款。”</w:t>
            </w:r>
          </w:p>
        </w:tc>
        <w:tc>
          <w:tcPr>
            <w:tcW w:w="97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94E16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7060F12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605" w:hRule="atLeast"/>
        </w:trPr>
        <w:tc>
          <w:tcPr>
            <w:tcW w:w="539"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06A8DA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38</w:t>
            </w:r>
          </w:p>
        </w:tc>
        <w:tc>
          <w:tcPr>
            <w:tcW w:w="394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83289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伪造、变造、转让、出租、出借农药登记证、农药生产许可证、农药经营许可证等许可证明文件的处罚。</w:t>
            </w:r>
          </w:p>
          <w:p w14:paraId="672B0F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 </w:t>
            </w:r>
          </w:p>
        </w:tc>
        <w:tc>
          <w:tcPr>
            <w:tcW w:w="70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C151F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F5B8D0D">
            <w:pPr>
              <w:pStyle w:val="2"/>
              <w:keepNext w:val="0"/>
              <w:keepLines w:val="0"/>
              <w:widowControl/>
              <w:suppressLineNumbers w:val="0"/>
              <w:shd w:val="clear" w:fill="FFFFFF"/>
              <w:spacing w:before="0" w:beforeAutospacing="0" w:after="0" w:afterAutospacing="0" w:line="240" w:lineRule="atLeast"/>
              <w:ind w:left="0" w:right="0"/>
              <w:jc w:val="both"/>
            </w:pPr>
            <w:r>
              <w:rPr>
                <w:rFonts w:hint="eastAsia" w:ascii="仿宋" w:hAnsi="仿宋" w:eastAsia="仿宋" w:cs="仿宋"/>
                <w:b w:val="0"/>
                <w:bCs w:val="0"/>
                <w:i w:val="0"/>
                <w:iCs w:val="0"/>
                <w:caps w:val="0"/>
                <w:color w:val="000000"/>
                <w:spacing w:val="0"/>
                <w:sz w:val="20"/>
                <w:szCs w:val="20"/>
                <w:shd w:val="clear" w:fill="FFFFFF"/>
              </w:rPr>
              <w:t>《农药管理条例》第六十二条“伪造、变造、转让、出租、出借农药登记证、农药生产许可证、农药经营许可证等许可证明文件的，由发证机关收缴或者予以吊销，没收违法所得，并处1万元以上5万元以下罚款;构成犯罪的，依法追究刑事责任”。</w:t>
            </w:r>
          </w:p>
        </w:tc>
        <w:tc>
          <w:tcPr>
            <w:tcW w:w="97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30544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bl>
    <w:p w14:paraId="2BD8F46B">
      <w:pPr>
        <w:pStyle w:val="3"/>
        <w:keepNext w:val="0"/>
        <w:keepLines w:val="0"/>
        <w:widowControl/>
        <w:suppressLineNumbers w:val="0"/>
        <w:spacing w:before="0" w:beforeAutospacing="0" w:after="0" w:afterAutospacing="0" w:line="280" w:lineRule="atLeast"/>
        <w:ind w:left="0" w:right="0" w:firstLine="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21"/>
          <w:szCs w:val="21"/>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82"/>
        <w:gridCol w:w="2350"/>
        <w:gridCol w:w="502"/>
        <w:gridCol w:w="4356"/>
        <w:gridCol w:w="646"/>
      </w:tblGrid>
      <w:tr w14:paraId="63B7C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38" w:hRule="atLeast"/>
        </w:trPr>
        <w:tc>
          <w:tcPr>
            <w:tcW w:w="621" w:type="dxa"/>
            <w:tcBorders>
              <w:top w:val="single" w:color="000000" w:sz="8" w:space="0"/>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14:paraId="2F480A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39</w:t>
            </w:r>
          </w:p>
        </w:tc>
        <w:tc>
          <w:tcPr>
            <w:tcW w:w="3916" w:type="dxa"/>
            <w:tcBorders>
              <w:top w:val="single" w:color="auto" w:sz="8" w:space="0"/>
              <w:left w:val="nil"/>
              <w:bottom w:val="single" w:color="auto" w:sz="8" w:space="0"/>
              <w:right w:val="single" w:color="auto" w:sz="8" w:space="0"/>
            </w:tcBorders>
            <w:shd w:val="clear"/>
            <w:tcMar>
              <w:top w:w="15" w:type="dxa"/>
              <w:left w:w="15" w:type="dxa"/>
              <w:bottom w:w="15" w:type="dxa"/>
              <w:right w:w="15" w:type="dxa"/>
            </w:tcMar>
            <w:vAlign w:val="center"/>
          </w:tcPr>
          <w:p w14:paraId="360558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销售、推广未经审定或者鉴定的畜禽品种的处罚</w:t>
            </w:r>
          </w:p>
        </w:tc>
        <w:tc>
          <w:tcPr>
            <w:tcW w:w="750" w:type="dxa"/>
            <w:tcBorders>
              <w:top w:val="single" w:color="auto" w:sz="8" w:space="0"/>
              <w:left w:val="nil"/>
              <w:bottom w:val="single" w:color="auto" w:sz="8" w:space="0"/>
              <w:right w:val="single" w:color="auto" w:sz="8" w:space="0"/>
            </w:tcBorders>
            <w:shd w:val="clear"/>
            <w:tcMar>
              <w:top w:w="15" w:type="dxa"/>
              <w:left w:w="15" w:type="dxa"/>
              <w:bottom w:w="15" w:type="dxa"/>
              <w:right w:w="15" w:type="dxa"/>
            </w:tcMar>
            <w:vAlign w:val="center"/>
          </w:tcPr>
          <w:p w14:paraId="6FBF01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3" w:type="dxa"/>
            <w:tcBorders>
              <w:top w:val="single" w:color="auto" w:sz="8" w:space="0"/>
              <w:left w:val="nil"/>
              <w:bottom w:val="single" w:color="auto" w:sz="8" w:space="0"/>
              <w:right w:val="single" w:color="auto" w:sz="8" w:space="0"/>
            </w:tcBorders>
            <w:shd w:val="clear"/>
            <w:tcMar>
              <w:top w:w="15" w:type="dxa"/>
              <w:left w:w="15" w:type="dxa"/>
              <w:bottom w:w="15" w:type="dxa"/>
              <w:right w:w="15" w:type="dxa"/>
            </w:tcMar>
            <w:vAlign w:val="center"/>
          </w:tcPr>
          <w:p w14:paraId="275548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   《中华人民共和国畜牧法》第六十一条“违反本法有关规定，销售、推广末经审定或者鉴定的畜禽品种的，由县级以上人民政府畜牧兽医行政主管部门责令停止违法行为，没收畜禽和违法所得；违法所得在五万元以上的，并处违法所得一倍以上三倍以下罚款；没有违法所得或者违法所得不足五万元的，并处五千元以上五万元以下罚款。”</w:t>
            </w:r>
          </w:p>
        </w:tc>
        <w:tc>
          <w:tcPr>
            <w:tcW w:w="1022" w:type="dxa"/>
            <w:tcBorders>
              <w:top w:val="single" w:color="auto" w:sz="8" w:space="0"/>
              <w:left w:val="nil"/>
              <w:bottom w:val="single" w:color="auto" w:sz="8" w:space="0"/>
              <w:right w:val="single" w:color="auto" w:sz="8" w:space="0"/>
            </w:tcBorders>
            <w:shd w:val="clear"/>
            <w:tcMar>
              <w:top w:w="15" w:type="dxa"/>
              <w:left w:w="15" w:type="dxa"/>
              <w:bottom w:w="15" w:type="dxa"/>
              <w:right w:w="15" w:type="dxa"/>
            </w:tcMar>
            <w:vAlign w:val="center"/>
          </w:tcPr>
          <w:p w14:paraId="61FDD8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490CE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75" w:hRule="atLeast"/>
        </w:trPr>
        <w:tc>
          <w:tcPr>
            <w:tcW w:w="62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0DC584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40</w:t>
            </w:r>
          </w:p>
        </w:tc>
        <w:tc>
          <w:tcPr>
            <w:tcW w:w="391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1C80D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无种畜禽生产经营许可证的处罚</w:t>
            </w:r>
          </w:p>
        </w:tc>
        <w:tc>
          <w:tcPr>
            <w:tcW w:w="75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D91E0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县桐柏县农业综合行政执法大队</w:t>
            </w:r>
          </w:p>
        </w:tc>
        <w:tc>
          <w:tcPr>
            <w:tcW w:w="738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DC220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0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⑴《种畜禽管理条例》第二十三条“有下列行为之一的，由畜牧行政主管部门责令改正，可以没收违法所得，并可以处以违法所得二倍以下的罚款：①未取得《种畜禽生产经营许可证》生产经营种畜禽的；②未按照规定的品种、品系、代别和利用年限生产经营种畜禽的；③推广未依照本条例评审并批准的畜禽品种的；④销售种畜禽末附具《种畜禽合格证》、种畜系谱的。有前款第②项、第④项行为之一，情节严重的，可以吊销《种畜禽生产经营许可证》。”⑵《中华人民共和国畜牧法》第六十二条“违反本法有关规定，无种畜禽生产经营许可证或者违反种畜禽生产经营许可证的规定生产经营种畜禽的，转让、租借种畜禽生产经营许可证的，由县级以上人民政府畜牧兽医行政主管部门责令停止违法行为，没收违法所得；违法所得在三万元以上的，并处违法所得一倍以上三倍以下罚款；没有违法所得或者违法所得不足三万元的，并处三千元以上三万元以下罚款。违反种畜禽生产经营许可证的规定生产经营种畜禽或者转让、租借种畜禽生产经营许可证，情节严重的，并处吊销种畜禽生产经营许可证。”</w:t>
            </w:r>
          </w:p>
        </w:tc>
        <w:tc>
          <w:tcPr>
            <w:tcW w:w="10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7EDD4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40C83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13" w:hRule="atLeast"/>
        </w:trPr>
        <w:tc>
          <w:tcPr>
            <w:tcW w:w="62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389B49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41</w:t>
            </w:r>
          </w:p>
        </w:tc>
        <w:tc>
          <w:tcPr>
            <w:tcW w:w="391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7DC1C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转让、租借种畜禽生产经营许可证的处罚</w:t>
            </w:r>
          </w:p>
        </w:tc>
        <w:tc>
          <w:tcPr>
            <w:tcW w:w="75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60669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县桐柏县农业综合行政执法大队</w:t>
            </w:r>
          </w:p>
        </w:tc>
        <w:tc>
          <w:tcPr>
            <w:tcW w:w="738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011DD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畜牧法》第六十二条“无种畜禽生产经营许可证或者违反种畜禽生产经营许可证的规定生产经营种畜禽的，转让、租借种畜禽生产经营许可证的，由县级以上人民政府畜牧兽医行政主管部门责令停止违法行为，没收违法所得；违法所得在三万元以上的，并处违法所得一倍以上三倍以下罚款；没有违法所得或者违法所得不足三万元的，并处三千元以上三万元以下罚款。违反种畜禽生产经营许可证的规定生产经营种畜禽或者转让、租借种畜禽生产经营许可证，情节严重的，并处吊销种畜禽生产经营许可证。”</w:t>
            </w:r>
          </w:p>
        </w:tc>
        <w:tc>
          <w:tcPr>
            <w:tcW w:w="10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096B6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1CB8D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27" w:hRule="atLeast"/>
        </w:trPr>
        <w:tc>
          <w:tcPr>
            <w:tcW w:w="62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0D8FF1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42</w:t>
            </w:r>
          </w:p>
        </w:tc>
        <w:tc>
          <w:tcPr>
            <w:tcW w:w="391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CB36C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违反种畜禽生产经营许可证的规定生产经营种畜禽的处罚</w:t>
            </w:r>
          </w:p>
        </w:tc>
        <w:tc>
          <w:tcPr>
            <w:tcW w:w="75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B9966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县桐柏县农业综合行政执法大队</w:t>
            </w:r>
          </w:p>
        </w:tc>
        <w:tc>
          <w:tcPr>
            <w:tcW w:w="738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7F9E5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畜牧法》第六十二条“无种畜禽生产经营许可证或者违反种畜禽生产经营许可证的规定生产经营种畜禽的，转让、租借种畜禽生产经营许可证的，由县级以上人民政府畜牧兽医行政主管部门责令停止违法行为，没收违法所得；违法所得在三万元以上的，并处违法所得一倍以上三倍以下罚款；没有违法所得或者违法所得不足三万元的，并处三千元以上三万元以下罚款。违反种畜禽生产经营许可证的规定生产经营种畜禽或者转让、租借种畜禽生产经营许可证，情节严重的，并处吊销种畜禽生产经营许可证。”</w:t>
            </w:r>
          </w:p>
        </w:tc>
        <w:tc>
          <w:tcPr>
            <w:tcW w:w="10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F3C2E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2FE00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82" w:hRule="atLeast"/>
        </w:trPr>
        <w:tc>
          <w:tcPr>
            <w:tcW w:w="62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7A5D36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43</w:t>
            </w:r>
          </w:p>
        </w:tc>
        <w:tc>
          <w:tcPr>
            <w:tcW w:w="391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1E21E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使用的种畜禽不符合种用标准的处罚</w:t>
            </w:r>
          </w:p>
        </w:tc>
        <w:tc>
          <w:tcPr>
            <w:tcW w:w="75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0D089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县桐柏县农业综合行政执法大队</w:t>
            </w:r>
          </w:p>
        </w:tc>
        <w:tc>
          <w:tcPr>
            <w:tcW w:w="738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02DCF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畜牧法》第六十四条“使用的种畜禽不符合种用标准的，由县级以上地方人民政府畜牧兽医行政主管部门责令停止违法行为，没收违法所得；违法所得在五千元以上的，并处违法所得一倍以上二倍以下罚款；没有违法所得或者违法所得不足五千元的，并处一千元以上五千元以下罚款。”</w:t>
            </w:r>
          </w:p>
        </w:tc>
        <w:tc>
          <w:tcPr>
            <w:tcW w:w="10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8E43E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75F4E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6" w:hRule="atLeast"/>
        </w:trPr>
        <w:tc>
          <w:tcPr>
            <w:tcW w:w="62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2F2C21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44</w:t>
            </w:r>
          </w:p>
        </w:tc>
        <w:tc>
          <w:tcPr>
            <w:tcW w:w="391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EB07F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以其他畜禽品种、配套系冒充所销售的种畜禽品种、配套系的处罚</w:t>
            </w:r>
          </w:p>
        </w:tc>
        <w:tc>
          <w:tcPr>
            <w:tcW w:w="75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4732E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县桐柏县农业综合行政执法大队</w:t>
            </w:r>
          </w:p>
        </w:tc>
        <w:tc>
          <w:tcPr>
            <w:tcW w:w="738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573A3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畜牧法》第六十五条“销售种畜禽有本法第三十条第一项至第四项违法行为之一的，由县级以上人民政府畜牧兽医行政主管部门或者工商行政管理部门责令停止销售，没收违法销售的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tc>
        <w:tc>
          <w:tcPr>
            <w:tcW w:w="10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60864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3A7F0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8" w:hRule="atLeast"/>
        </w:trPr>
        <w:tc>
          <w:tcPr>
            <w:tcW w:w="62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5C7264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45</w:t>
            </w:r>
          </w:p>
        </w:tc>
        <w:tc>
          <w:tcPr>
            <w:tcW w:w="391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1C116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以低代别种畜禽冒充高代别种畜禽的处罚</w:t>
            </w:r>
          </w:p>
        </w:tc>
        <w:tc>
          <w:tcPr>
            <w:tcW w:w="75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5BA5C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县桐柏县农业综合行政执法大队</w:t>
            </w:r>
          </w:p>
        </w:tc>
        <w:tc>
          <w:tcPr>
            <w:tcW w:w="738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D3CFB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畜牧法》第六十五条“销售种畜禽有本法第三十条第一项至第四项违法行为之一的，由县级以上人民政府畜牧兽医行政主管部门或者工商行政管理部门责令停止销售，没收违法销售的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tc>
        <w:tc>
          <w:tcPr>
            <w:tcW w:w="10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5076D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1D19B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05" w:hRule="atLeast"/>
        </w:trPr>
        <w:tc>
          <w:tcPr>
            <w:tcW w:w="62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31D474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46</w:t>
            </w:r>
          </w:p>
        </w:tc>
        <w:tc>
          <w:tcPr>
            <w:tcW w:w="391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8DB7B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以不符合种用标准的畜禽冒充种畜禽的处罚</w:t>
            </w:r>
          </w:p>
        </w:tc>
        <w:tc>
          <w:tcPr>
            <w:tcW w:w="75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727EB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县桐柏县农业综合行政执法大队</w:t>
            </w:r>
          </w:p>
        </w:tc>
        <w:tc>
          <w:tcPr>
            <w:tcW w:w="738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F5640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畜牧法》第六十五条“销售种畜禽有本法第三十条第一项至第四项违法行为之一的，由县级以上人民政府畜牧兽医行政主管部门或者工商行政管理部门责令停止销售，没收违法销售的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tc>
        <w:tc>
          <w:tcPr>
            <w:tcW w:w="10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29924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6D606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34" w:hRule="atLeast"/>
        </w:trPr>
        <w:tc>
          <w:tcPr>
            <w:tcW w:w="62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73BF80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47</w:t>
            </w:r>
          </w:p>
        </w:tc>
        <w:tc>
          <w:tcPr>
            <w:tcW w:w="391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34223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销售未经批准进口的种畜禽的处罚</w:t>
            </w:r>
          </w:p>
        </w:tc>
        <w:tc>
          <w:tcPr>
            <w:tcW w:w="75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0CE9D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县桐柏县农业综合行政执法大队</w:t>
            </w:r>
          </w:p>
        </w:tc>
        <w:tc>
          <w:tcPr>
            <w:tcW w:w="738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39FF0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畜牧法》第六十五条“销售种畜禽有本法第三十条第一项至第四项违法行为之一的，由县级以上人民政府畜牧兽医行政主管部门或者工商行政管理部门责令停止销售，没收违法销售的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tc>
        <w:tc>
          <w:tcPr>
            <w:tcW w:w="10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6FD37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6D08C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2" w:hRule="atLeast"/>
        </w:trPr>
        <w:tc>
          <w:tcPr>
            <w:tcW w:w="62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58595C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48</w:t>
            </w:r>
          </w:p>
        </w:tc>
        <w:tc>
          <w:tcPr>
            <w:tcW w:w="391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4B7B8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畜禽养殖场未建立养殖档案或未按规定保存养殖档案的处罚</w:t>
            </w:r>
          </w:p>
        </w:tc>
        <w:tc>
          <w:tcPr>
            <w:tcW w:w="75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B7EDD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县桐柏县农业综合行政执法大队</w:t>
            </w:r>
          </w:p>
        </w:tc>
        <w:tc>
          <w:tcPr>
            <w:tcW w:w="738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413AD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《畜牧法》第六十六条“畜禽养殖场未建立养殖档案的、或者末按照规定保存养殖档案的，由县级以上人民政府畜牧兽医行政主管部门责令限期改正，可以处一万元以下罚款。</w:t>
            </w:r>
          </w:p>
        </w:tc>
        <w:tc>
          <w:tcPr>
            <w:tcW w:w="10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7A34F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 </w:t>
            </w:r>
          </w:p>
        </w:tc>
      </w:tr>
      <w:tr w14:paraId="10DAD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2" w:hRule="atLeast"/>
        </w:trPr>
        <w:tc>
          <w:tcPr>
            <w:tcW w:w="62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13AF99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49</w:t>
            </w:r>
          </w:p>
        </w:tc>
        <w:tc>
          <w:tcPr>
            <w:tcW w:w="391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32A40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销售的种畜禽未附具种畜禽合格证明、检疫合格证明、家畜系谱的处罚</w:t>
            </w:r>
          </w:p>
        </w:tc>
        <w:tc>
          <w:tcPr>
            <w:tcW w:w="75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316A1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县桐柏县农业综合行政执法大队</w:t>
            </w:r>
          </w:p>
        </w:tc>
        <w:tc>
          <w:tcPr>
            <w:tcW w:w="738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B7FE8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畜牧法》第六十八条“违反本法有关规定，销售的种畜禽末附具种畜禽合格证明、检疫合格证明、家畜系谱的，销售、收购国务院畜牧兽医行政主管部门规定应当加施标识而没有标识的畜禽的，或者重复使用畜禽标识的，由县级以上地方人民政府畜牧兽医行政主管部门或者工商行政管理部门责令改正，可以处二千元以下罚款。”</w:t>
            </w:r>
          </w:p>
        </w:tc>
        <w:tc>
          <w:tcPr>
            <w:tcW w:w="10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288C5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4A3B1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62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7CD553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50</w:t>
            </w:r>
          </w:p>
        </w:tc>
        <w:tc>
          <w:tcPr>
            <w:tcW w:w="391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40755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销售、收购国务院畜牧兽医行政主管部门规定应当加施标识而没有标识的畜禽的，或者重复使用畜禽标识的处罚</w:t>
            </w:r>
          </w:p>
        </w:tc>
        <w:tc>
          <w:tcPr>
            <w:tcW w:w="75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1D97A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县桐柏县农业综合行政执法大队</w:t>
            </w:r>
          </w:p>
        </w:tc>
        <w:tc>
          <w:tcPr>
            <w:tcW w:w="738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F7F2C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畜牧法》第六十八条“违反本法有关规定，销售的种畜禽末附具种畜禽合格证明、检疫合格证明、家畜系谱的，销售、收购国务院畜牧兽医行政主管部门规定应当加施标识而没有标识的畜禽的，或者重复使用畜禽标识的，由县级以上地方人民政府畜牧兽医行政主管部门或者工商行政管理部门责令改正，可以处二千元以下罚款。”</w:t>
            </w:r>
          </w:p>
        </w:tc>
        <w:tc>
          <w:tcPr>
            <w:tcW w:w="10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52852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3A1C1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4" w:hRule="atLeast"/>
        </w:trPr>
        <w:tc>
          <w:tcPr>
            <w:tcW w:w="62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4CF6B1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51</w:t>
            </w:r>
          </w:p>
        </w:tc>
        <w:tc>
          <w:tcPr>
            <w:tcW w:w="391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2A43D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使用伪造、变造的畜禽标识的处罚</w:t>
            </w:r>
          </w:p>
        </w:tc>
        <w:tc>
          <w:tcPr>
            <w:tcW w:w="75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A5683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县桐柏县农业综合行政执法大队</w:t>
            </w:r>
          </w:p>
        </w:tc>
        <w:tc>
          <w:tcPr>
            <w:tcW w:w="738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77DFB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《畜牧法》第六十八条第二款“违反本法有关规定，使用伪造、变造的畜禽标识的，由县级以上人民政府畜牧兽医行政主管部门没收伪造、变造的畜禽标识和违法所得，并处三千元以上三万元以下罚款。</w:t>
            </w:r>
          </w:p>
        </w:tc>
        <w:tc>
          <w:tcPr>
            <w:tcW w:w="10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CB7FE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6F409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12" w:hRule="atLeast"/>
        </w:trPr>
        <w:tc>
          <w:tcPr>
            <w:tcW w:w="62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45B759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52</w:t>
            </w:r>
          </w:p>
        </w:tc>
        <w:tc>
          <w:tcPr>
            <w:tcW w:w="391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A7B82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销售不符合国家技术规范的强制性要求的畜禽</w:t>
            </w:r>
          </w:p>
        </w:tc>
        <w:tc>
          <w:tcPr>
            <w:tcW w:w="75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A7DDB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县桐柏县农业综合行政执法大队</w:t>
            </w:r>
          </w:p>
        </w:tc>
        <w:tc>
          <w:tcPr>
            <w:tcW w:w="738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1B841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畜牧法》第六十九条“销售不符合国家技术规范的强制性要求的畜禽的，由县级以上地方人民政府畜牧兽医行政主管部门或者工商行政管理部门责令停止违法行为，没收违法销售的畜禽和违法所得，并处违法所得一倍以上三倍以下罚款；情节严重的，由工商行政管理部门并处吊销营业执照。</w:t>
            </w:r>
          </w:p>
        </w:tc>
        <w:tc>
          <w:tcPr>
            <w:tcW w:w="10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7C556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0CA37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2" w:hRule="atLeast"/>
        </w:trPr>
        <w:tc>
          <w:tcPr>
            <w:tcW w:w="62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637DB6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53</w:t>
            </w:r>
          </w:p>
        </w:tc>
        <w:tc>
          <w:tcPr>
            <w:tcW w:w="391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9CB44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对饲养的动物不按照规定及时进行免疫接种的处罚</w:t>
            </w:r>
          </w:p>
        </w:tc>
        <w:tc>
          <w:tcPr>
            <w:tcW w:w="75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507EE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260FB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中华人民共和国动物防疫法》第七十三条“违反本法规定，有下列行为之一的，由动物防疫监督机构给予警告；拒不改正的，由动物防疫监督机构依法代作处理，处理所需费用由违法行为人承担,可以处一千元以下罚款</w:t>
            </w:r>
          </w:p>
        </w:tc>
        <w:tc>
          <w:tcPr>
            <w:tcW w:w="10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CD825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765E9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8" w:hRule="atLeast"/>
        </w:trPr>
        <w:tc>
          <w:tcPr>
            <w:tcW w:w="62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3B5EF7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54</w:t>
            </w:r>
          </w:p>
        </w:tc>
        <w:tc>
          <w:tcPr>
            <w:tcW w:w="391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F0D29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不按照国家有关规定处置染疫动物及其排泄物、染疫动物的产品、病死或者死因不明的动物尸体的处罚</w:t>
            </w:r>
          </w:p>
        </w:tc>
        <w:tc>
          <w:tcPr>
            <w:tcW w:w="75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EE41B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91DBC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《中华人民共和国动物防疫法》第七十五条 违反本法规定，不按照国务院兽医主管部门规定处置染疫动物及其排泄物，染疫动物产品，病死或者死因不明的动物尸体，运载工具中的动物排泄物以及垫料、包装物、容器等污染物以及其他经检疫不合格的动物、动物产品的，由动物卫生监督机构责令无害化处理，所需处理费用由违法行为人承担，可以处三千元以下罚款。</w:t>
            </w:r>
          </w:p>
        </w:tc>
        <w:tc>
          <w:tcPr>
            <w:tcW w:w="10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2A10C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7EA5C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4" w:hRule="atLeast"/>
        </w:trPr>
        <w:tc>
          <w:tcPr>
            <w:tcW w:w="62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57ACAA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55</w:t>
            </w:r>
          </w:p>
        </w:tc>
        <w:tc>
          <w:tcPr>
            <w:tcW w:w="391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3C42D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保存、使用、运输动物源性致病微生物或者运输动物病料的处罚</w:t>
            </w:r>
          </w:p>
        </w:tc>
        <w:tc>
          <w:tcPr>
            <w:tcW w:w="75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6BB96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4329E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《中华人民共和国动物防疫法》第七十六条“　违反本法第二十五条规定，屠宰、经营、运输动物或者生产、经营、加工、贮藏、运输动物产品的，由动物卫生监督机构责令改正、采取补救措施，没收违法所得和动物、动物产品，并处同类检疫合格动物、动物产品货值金额一倍以上五倍以下罚款；其中依法应当检疫而未检疫的，依照本法第七十八条的规定处罚。</w:t>
            </w:r>
          </w:p>
        </w:tc>
        <w:tc>
          <w:tcPr>
            <w:tcW w:w="10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57E79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7AE26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2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751A55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56</w:t>
            </w:r>
          </w:p>
        </w:tc>
        <w:tc>
          <w:tcPr>
            <w:tcW w:w="391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AFA23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未办理审批手续，跨省、自治区、直辖市引进乳用动物、种用动物及其精液、胚胎、种蛋的；未经检疫，向无规定动物疫病区输入动物、动物产品的处罚</w:t>
            </w:r>
          </w:p>
        </w:tc>
        <w:tc>
          <w:tcPr>
            <w:tcW w:w="75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FAED4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D650C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《中华人民共和国动物防疫法》第七十七条　违反本法规定，有下列行为之一的，由动物卫生监督机构责令改正，处一千元以上一万元以下罚款；情节严重的，处一万元以上十万元以下罚款：⑵未办理审批手续，跨省、自治区、直辖市引进乳用动物、种用动物及其精液、胚胎、种蛋的；⑶未经检疫，向无规定动物疫病区输入动物、动物产品的。</w:t>
            </w:r>
          </w:p>
        </w:tc>
        <w:tc>
          <w:tcPr>
            <w:tcW w:w="10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E3F98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61B1B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62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52DA7C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57</w:t>
            </w:r>
          </w:p>
        </w:tc>
        <w:tc>
          <w:tcPr>
            <w:tcW w:w="391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219E0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屠宰、经营、运输的动物未附有检疫证明，经营和运输的动物产品未附有检疫证明、检疫标志的；参加展览、演出和比赛的动物未附有检疫证明的处罚</w:t>
            </w:r>
          </w:p>
        </w:tc>
        <w:tc>
          <w:tcPr>
            <w:tcW w:w="75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5ABCD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916C5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《中华人民共和国动物防疫法》第七十八条　违反本法规定，屠宰、经营、运输的动物未附有检疫证明，经营和运输的动物产品未附有检疫证明、检疫标志的，由动物卫生监督机构责令改正，处同类检疫合格动物、动物产品货值金额百分之十以上百分之五十以下罚款；对货主以外的承运人处运输费用一倍以上三倍以下罚款。违反本法规定，参加展览、演出和比赛的动物未附有检疫证明的，由动物卫生监督机构责令改正，处一千元以上三千元以下罚款。</w:t>
            </w:r>
          </w:p>
        </w:tc>
        <w:tc>
          <w:tcPr>
            <w:tcW w:w="10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54FB2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5AB9C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75" w:hRule="atLeast"/>
        </w:trPr>
        <w:tc>
          <w:tcPr>
            <w:tcW w:w="62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756E1A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58</w:t>
            </w:r>
          </w:p>
        </w:tc>
        <w:tc>
          <w:tcPr>
            <w:tcW w:w="391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B860D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转让、伪造或者变造检疫证明、检疫标志或者畜禽标识的处罚</w:t>
            </w:r>
          </w:p>
        </w:tc>
        <w:tc>
          <w:tcPr>
            <w:tcW w:w="75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B7858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DF5AB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《中华人民共和国动物防疫法》第七十九条　“违反本法规定，转让、伪造或者变造检疫证明、检疫标志或者畜禽标识的，由动物卫生监督机构没收违法所得，收缴检疫证明、检疫标志或者畜禽标识，并处三千元以上三万元以下罚款。</w:t>
            </w:r>
          </w:p>
        </w:tc>
        <w:tc>
          <w:tcPr>
            <w:tcW w:w="10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5D297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1701F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2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11D4BC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59</w:t>
            </w:r>
          </w:p>
        </w:tc>
        <w:tc>
          <w:tcPr>
            <w:tcW w:w="391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73BB3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不遵守有关控制、扑灭动物疫病规定，藏匿、转移、盗掘已被依法隔离、封存、处理的动物和动物产品的，发布动物疫情的处罚</w:t>
            </w:r>
          </w:p>
        </w:tc>
        <w:tc>
          <w:tcPr>
            <w:tcW w:w="75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C36E5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880EA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《中华人民共和国动物防疫法》第八十条　“违反本法规定，有下列行为之一的，由动物卫生监督机构责令改正，处一千元以上一万元以下罚款：⑴不遵守县级以上人民政府及其兽医主管部门依法作出的有关控制、扑灭动物疫病规定的；⑵藏匿、转移、盗掘已被依法隔离、封存、处理的动物和动物产品的；⑶发布动物疫情的。</w:t>
            </w:r>
          </w:p>
        </w:tc>
        <w:tc>
          <w:tcPr>
            <w:tcW w:w="10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51AC7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62F60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62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41DACA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60</w:t>
            </w:r>
          </w:p>
        </w:tc>
        <w:tc>
          <w:tcPr>
            <w:tcW w:w="391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FC2E9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违法行为单位和个人不履行动物疫情报告义务，不如实提供与动物防疫活动有关资料，拒绝动物卫生监督机构进行监督检查，拒绝动物疫病预防控制机构进行动物疫病监测、检测的处罚</w:t>
            </w:r>
          </w:p>
        </w:tc>
        <w:tc>
          <w:tcPr>
            <w:tcW w:w="75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23812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97BD4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《中华人民共和国动物防疫法》第八十三条“　违反本法规定，从事动物疫病研究与诊疗和动物饲养、屠宰、经营、隔离、运输，以及动物产品生产、经营、加工、贮藏等活动的单位和个人，有下列行为之一的，由动物卫生监督机构责令改正；拒不改正的，对违法行为单位处一千元以上一万元以下罚款，对违法行为个人可以处五百元以下罚款：⑴不履行动物疫情报告义务的；⑵不如实提供与动物防疫活动有关资料的；⑶拒绝动物卫生监督机构进行监督检查的；⑷拒绝动物疫病预防控制机构进行动物疫病监测、检测的。</w:t>
            </w:r>
          </w:p>
        </w:tc>
        <w:tc>
          <w:tcPr>
            <w:tcW w:w="10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853ED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61EDD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62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2DEC76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61</w:t>
            </w:r>
          </w:p>
        </w:tc>
        <w:tc>
          <w:tcPr>
            <w:tcW w:w="391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A704B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未取得动物诊疗许可证从事动物诊疗活动的；动物诊疗机构违反规定，造成动物疫病扩散的处罚</w:t>
            </w:r>
          </w:p>
        </w:tc>
        <w:tc>
          <w:tcPr>
            <w:tcW w:w="75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D9F75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58884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《中华人民共和国动物防疫法》第八十一条“　违反本法规定，未取得动物诊疗许可证从事动物诊疗活动的，由动物卫生监督机构责令停止诊疗活动，没收违法所得；违法所得在三万元以上的，并处违法所得一倍以上三倍以下罚款；没有违法所得或者违法所得不足三万元的，并处三千元以上三万元以下罚款。动物诊疗机构违反本法规定，造成动物疫病扩散的，由动物卫生监督机构责令改正，处一万元以上五万元以下罚款；情节严重的，由发证机关吊销动物诊疗许可证。</w:t>
            </w:r>
          </w:p>
        </w:tc>
        <w:tc>
          <w:tcPr>
            <w:tcW w:w="10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AE8AB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21F10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62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7B9629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62</w:t>
            </w:r>
          </w:p>
        </w:tc>
        <w:tc>
          <w:tcPr>
            <w:tcW w:w="391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29821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未经兽医执业注册从事动物诊疗活动；执业兽医违反规定从事动物诊疗活动的处罚</w:t>
            </w:r>
          </w:p>
        </w:tc>
        <w:tc>
          <w:tcPr>
            <w:tcW w:w="75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49136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06C7F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《中华人民共和国动物防疫法》第八十二条　违反本法规定，未经兽医执业注册从事动物诊疗活动的，由动物卫生监督机构责令停止动物诊疗活动，没收违法所得，并处一千元以上一万元以下罚款。执业兽医有下列行为之一的，由动物卫生监督机构给予警告，责令暂停六个月以上一年以下动物诊疗活动；情节严重的，由发证机关吊销注册证书：⑴违反有关动物诊疗的操作技术规范，造成或者可能造成动物疫病传播、流行的；⑵使用不符合国家规定的兽药和兽医器械的；⑶不按照当地人民政府或者兽医主管部门要求参加动物疫病预防、控制和扑灭活动</w:t>
            </w:r>
          </w:p>
        </w:tc>
        <w:tc>
          <w:tcPr>
            <w:tcW w:w="10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91833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241D0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62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273131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63</w:t>
            </w:r>
          </w:p>
        </w:tc>
        <w:tc>
          <w:tcPr>
            <w:tcW w:w="391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7C3BD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无兽药生产许可证、兽药经营许可证生产、经营兽药的，或者虽有兽药生产许可证、兽药经营许可证，生产、经营假、劣兽药的，或者兽药经营企业经营人用药品的处罚</w:t>
            </w:r>
          </w:p>
        </w:tc>
        <w:tc>
          <w:tcPr>
            <w:tcW w:w="75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A102C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13542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16"/>
                <w:szCs w:val="16"/>
                <w:bdr w:val="none" w:color="auto" w:sz="0" w:space="0"/>
              </w:rPr>
              <w:t>《兽药管理条例》第56条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的兽药（包括已出售的和未出售的兽药，下同）货值金额２倍以上５倍以下罚款，货值金额无法查证核实的，处１０万元以上２０万元以下罚款；无兽药生产许可证生产兽药，情节严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w:t>
            </w:r>
          </w:p>
        </w:tc>
        <w:tc>
          <w:tcPr>
            <w:tcW w:w="10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CDADE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57F4A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62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495122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64</w:t>
            </w:r>
          </w:p>
        </w:tc>
        <w:tc>
          <w:tcPr>
            <w:tcW w:w="391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2D101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提供虚假的资料或者采取其他欺骗手段取得兽药经营许可证的处罚</w:t>
            </w:r>
          </w:p>
        </w:tc>
        <w:tc>
          <w:tcPr>
            <w:tcW w:w="750" w:type="dxa"/>
            <w:tcBorders>
              <w:top w:val="nil"/>
              <w:left w:val="nil"/>
              <w:bottom w:val="single" w:color="auto" w:sz="8" w:space="0"/>
              <w:right w:val="single" w:color="auto" w:sz="8" w:space="0"/>
            </w:tcBorders>
            <w:shd w:val="clear"/>
            <w:tcMar>
              <w:top w:w="15" w:type="dxa"/>
              <w:left w:w="15" w:type="dxa"/>
              <w:bottom w:w="15" w:type="dxa"/>
              <w:right w:w="15" w:type="dxa"/>
            </w:tcMar>
            <w:vAlign w:val="top"/>
          </w:tcPr>
          <w:p w14:paraId="56DD0F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0F44D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兽药管理条例》第57条违反本条例规定，提供虚假的资料、样品或者采取其他欺骗手段取得兽药生产许可证、兽药经营许可证或者兽药批准证明文件的，吊销兽药生产许可证、兽药经营许可证或者撤销兽药批准证明文件，并处５万元以上１０万元以下罚款；给他人造成损失的，依法承担赔偿责任。其主要负责人和直接负责的主管人员终身不得从事兽药的生产、经营和进出口活动。</w:t>
            </w:r>
          </w:p>
        </w:tc>
        <w:tc>
          <w:tcPr>
            <w:tcW w:w="10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9CEBD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58F6B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62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721CE3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65</w:t>
            </w:r>
          </w:p>
        </w:tc>
        <w:tc>
          <w:tcPr>
            <w:tcW w:w="391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BBF15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买卖、出租、出借兽药经营许可证的处罚</w:t>
            </w:r>
          </w:p>
        </w:tc>
        <w:tc>
          <w:tcPr>
            <w:tcW w:w="75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7DF8B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F5D88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兽药管理条例》第58条买卖、出租、出借兽药生产许可证、兽药经营许可证和兽药批准证明文件的，没收违法所得，并处１万元以上１０万元以下罚款；情节严重的，吊销兽药生产许可证、兽药经营许可证或者撤销兽药批准证明文件；构成犯罪的，依法追究刑事责任；给他人造成损失的，依法承担赔偿责任。</w:t>
            </w:r>
          </w:p>
        </w:tc>
        <w:tc>
          <w:tcPr>
            <w:tcW w:w="10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AE289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321B8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0" w:hRule="atLeast"/>
        </w:trPr>
        <w:tc>
          <w:tcPr>
            <w:tcW w:w="62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49C843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66</w:t>
            </w:r>
          </w:p>
        </w:tc>
        <w:tc>
          <w:tcPr>
            <w:tcW w:w="391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8EA00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兽药经营企业未按照规定实施兽药经营质量管理规范的处罚</w:t>
            </w:r>
          </w:p>
        </w:tc>
        <w:tc>
          <w:tcPr>
            <w:tcW w:w="75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E31A4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C765E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兽药管理条例》第59条违反本条例规定，兽药安全性评价单位、临床试验单位、生产和经营企业未按照规定实施兽药研究试验、生产、经营质量管理规范的，给予警告，责令其限期改正；逾期不改正的，责令停止兽药研究试验、生产、经营活动，并处５万元以下罚款；情节严重的，吊销兽药生产许可证、兽药经营许可证；给他人造成损失的，依法承担赔偿责任。违反本条例规定，研制新兽药不具备规定的条件擅自使用一类病原微生物或者在实验室阶段前未经批准的，责令其停止实验，并处５万元以上１０万元以下罚款；构成犯罪的，依法追究刑事责任；给他人造成损失的，依法承担赔偿责任。</w:t>
            </w:r>
          </w:p>
        </w:tc>
        <w:tc>
          <w:tcPr>
            <w:tcW w:w="10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E2C13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6CDC7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6" w:hRule="atLeast"/>
        </w:trPr>
        <w:tc>
          <w:tcPr>
            <w:tcW w:w="62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36E883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67</w:t>
            </w:r>
          </w:p>
        </w:tc>
        <w:tc>
          <w:tcPr>
            <w:tcW w:w="391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CABF7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经营的兽药的标签和说明书未经批准的处罚</w:t>
            </w:r>
          </w:p>
        </w:tc>
        <w:tc>
          <w:tcPr>
            <w:tcW w:w="75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B7CA9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33187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兽药管理条例》第60条违反本条例规定，兽药的标签和说明书未经批准的，责令其限期改正；逾期不改正的，按照生产、经营假兽药处罚；有兽药产品批准文号的，撤销兽药产品批准文号；给他人造成损失的，依法承担赔偿责任。兽药包装上未附有标签和说明书，或者标签和说明书与批准的内容不一致的，责令其限期改正；情节严重的，依照前款规定处罚。</w:t>
            </w:r>
          </w:p>
        </w:tc>
        <w:tc>
          <w:tcPr>
            <w:tcW w:w="10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84420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33676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70" w:hRule="atLeast"/>
        </w:trPr>
        <w:tc>
          <w:tcPr>
            <w:tcW w:w="62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5999CB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68</w:t>
            </w:r>
          </w:p>
        </w:tc>
        <w:tc>
          <w:tcPr>
            <w:tcW w:w="391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C6F8A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兽药包装上未附有标签和说明书，或者标签和说明书与批准的内容不一致的处罚</w:t>
            </w:r>
          </w:p>
        </w:tc>
        <w:tc>
          <w:tcPr>
            <w:tcW w:w="75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35623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08146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兽药管理条例》第60条违反本条例规定，兽药的标签和说明书未经批准的，责令其限期改正；逾期不改正的，按照生产、经营假兽药处罚；有兽药产品批准文号的，撤销兽药产品批准文号；给他人造成损失的，依法承担赔偿责任。兽药包装上未附有标签和说明书，或者标签和说明书与批准的内容不一致的，责令其限期改正；情节严重的，依照前款规定处罚。</w:t>
            </w:r>
          </w:p>
        </w:tc>
        <w:tc>
          <w:tcPr>
            <w:tcW w:w="10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24413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5775E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62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52C9B1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69</w:t>
            </w:r>
          </w:p>
        </w:tc>
        <w:tc>
          <w:tcPr>
            <w:tcW w:w="391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B5489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擅自转移、使用、销毁、销售被查封或者扣押的兽药及有关材料的处罚</w:t>
            </w:r>
          </w:p>
        </w:tc>
        <w:tc>
          <w:tcPr>
            <w:tcW w:w="75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2FD2E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EE2FF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《兽药管理条例》第64条违反本条例规定，擅自转移、使用、销毁、销售被查封或者扣押的兽药及有关材料的，责令其停止违法行为，给予警告，并处５万元以上１０万元以下罚款。</w:t>
            </w:r>
          </w:p>
        </w:tc>
        <w:tc>
          <w:tcPr>
            <w:tcW w:w="10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C4BC3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7C73E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93" w:hRule="atLeast"/>
        </w:trPr>
        <w:tc>
          <w:tcPr>
            <w:tcW w:w="62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68A4C7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70</w:t>
            </w:r>
          </w:p>
        </w:tc>
        <w:tc>
          <w:tcPr>
            <w:tcW w:w="391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085BB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未按照国家有关兽药安全使用规定使用兽药的、未建立用药记录或者记录不完整真实的，或者使用禁止使用的药品和其他化合物的，或者将人用药品用于动物的处罚</w:t>
            </w:r>
          </w:p>
        </w:tc>
        <w:tc>
          <w:tcPr>
            <w:tcW w:w="75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4A14F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FF02A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兽药管理条例》第62条违反本条例规定，未按照国家有关兽药安全使用规定使用兽药的、未建立用药记录或者记录不完整真实的，或者使用禁止使用的药品和其他化合物的，或者将人用药品用于动物的，责令其立即改正，并对饲喂了违禁药物及其他化合物的动物及其产品进行无害化处理；对违法单位处１万元以上５万元以下罚款；给他人造成损失的，依法承担赔偿责任。</w:t>
            </w:r>
          </w:p>
        </w:tc>
        <w:tc>
          <w:tcPr>
            <w:tcW w:w="10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F5FE1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2432E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863" w:hRule="atLeast"/>
        </w:trPr>
        <w:tc>
          <w:tcPr>
            <w:tcW w:w="62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2E8E3F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71</w:t>
            </w:r>
          </w:p>
        </w:tc>
        <w:tc>
          <w:tcPr>
            <w:tcW w:w="391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357EA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销售尚在用药期、休药期内的动物及其产品用于食品消费的，或者销售含有违禁药物和兽药残留超标的动物产品用于食品消费的处罚</w:t>
            </w:r>
          </w:p>
        </w:tc>
        <w:tc>
          <w:tcPr>
            <w:tcW w:w="75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826B0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E7686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兽药管理条例》第63条违反本条例规定，销售尚在用药期、休药期内的动物及其产品用于食品消费的，或者销售含有违禁药物和兽药残留超标的动物产品用于食品消费的，责令其对含有违禁药物和兽药残留超标的动物产品进行无害化处理，没收违法所得，并处３万元以上１０万元以下罚款；构成犯罪的，依法追究刑事责任；给他人造成损失的，依法承担赔偿责任。</w:t>
            </w:r>
          </w:p>
        </w:tc>
        <w:tc>
          <w:tcPr>
            <w:tcW w:w="10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BFBC8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4ACA2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5" w:hRule="atLeast"/>
        </w:trPr>
        <w:tc>
          <w:tcPr>
            <w:tcW w:w="62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693CD1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72</w:t>
            </w:r>
          </w:p>
        </w:tc>
        <w:tc>
          <w:tcPr>
            <w:tcW w:w="391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9B4DE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兽药经营企业、兽药使用单位和开具处方的兽医人员发现可能与兽药使用有关的严重不良反应，不向所在地人民政府兽医行政管理部门报告的处罚</w:t>
            </w:r>
          </w:p>
        </w:tc>
        <w:tc>
          <w:tcPr>
            <w:tcW w:w="75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5383F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C9A3F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兽药管理条例》第65条违反本条例规定，兽药生产企业、经营企业、兽药使用单位和开具处方的兽医人员发现可能与兽药使用有关的严重不良反应，不向所在地人民政府兽医行政管理部门报告的，给予警告，并处５０００元以上１万元以下罚款。</w:t>
            </w:r>
          </w:p>
        </w:tc>
        <w:tc>
          <w:tcPr>
            <w:tcW w:w="10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157F3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609D6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20" w:hRule="atLeast"/>
        </w:trPr>
        <w:tc>
          <w:tcPr>
            <w:tcW w:w="62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761EF7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73</w:t>
            </w:r>
          </w:p>
        </w:tc>
        <w:tc>
          <w:tcPr>
            <w:tcW w:w="391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20322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未经兽医开具处方销售、购买、使用兽用处方药的处罚</w:t>
            </w:r>
          </w:p>
        </w:tc>
        <w:tc>
          <w:tcPr>
            <w:tcW w:w="75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760E4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CC8D0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《兽药管理条例》第66条违反本条例规定，未经兽医开具处方销售、购买、使用兽用处方药的，责令其限期改正，没收违法所得，并处５万元以下罚款；给他人造成损失的，依法承担赔偿责任。</w:t>
            </w:r>
          </w:p>
        </w:tc>
        <w:tc>
          <w:tcPr>
            <w:tcW w:w="10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DA2DB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40298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417" w:hRule="atLeast"/>
        </w:trPr>
        <w:tc>
          <w:tcPr>
            <w:tcW w:w="62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5C9006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74</w:t>
            </w:r>
          </w:p>
        </w:tc>
        <w:tc>
          <w:tcPr>
            <w:tcW w:w="391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6DDBD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兽药经营企业把原料药销售给兽药生产企业以外的单位和个人的，或者兽药经营企业拆零销售原料药的处罚</w:t>
            </w:r>
          </w:p>
        </w:tc>
        <w:tc>
          <w:tcPr>
            <w:tcW w:w="75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E1ED4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7A4B6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兽药管理条例》第67条违反本条例规定，兽药生产、经营企业把原料药销售给兽药生产企业以外的单位和个人的，或者兽药经营企业拆零销售原料药的，责令其立即改正，给予警告没收违法所得，并处２万元以上５万元以下罚款；情节严重的，吊销兽药生产许可证、兽药经营许可证；给他人造成损失的，依法承担赔偿责任。</w:t>
            </w:r>
          </w:p>
        </w:tc>
        <w:tc>
          <w:tcPr>
            <w:tcW w:w="10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6D79D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3AC0E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4" w:hRule="atLeast"/>
        </w:trPr>
        <w:tc>
          <w:tcPr>
            <w:tcW w:w="62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022CFA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75</w:t>
            </w:r>
          </w:p>
        </w:tc>
        <w:tc>
          <w:tcPr>
            <w:tcW w:w="391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40C27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未取得生产许可证生产饲料、饲料添加剂的处罚</w:t>
            </w:r>
          </w:p>
        </w:tc>
        <w:tc>
          <w:tcPr>
            <w:tcW w:w="75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AE862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A7AFD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《饲料和饲料添加剂管理条例》　第38条　第1款未取得生产许可证生产饲料、饲料添加剂的，由县级以上地方人民政府饲料管理部门责令停止生产，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没收其生产设备，生产企业的主要负责人和直接负责的主管人员10年内不得从事饲料、饲料添加剂生产、经营活动。</w:t>
            </w:r>
          </w:p>
        </w:tc>
        <w:tc>
          <w:tcPr>
            <w:tcW w:w="10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83E3E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27B46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63" w:hRule="atLeast"/>
        </w:trPr>
        <w:tc>
          <w:tcPr>
            <w:tcW w:w="62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595525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76</w:t>
            </w:r>
          </w:p>
        </w:tc>
        <w:tc>
          <w:tcPr>
            <w:tcW w:w="391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47C9D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已经取得生产许可证，但不再具备规定的条件而继续生产饲料、饲料添加剂的处罚</w:t>
            </w:r>
          </w:p>
        </w:tc>
        <w:tc>
          <w:tcPr>
            <w:tcW w:w="75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BC976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DA19C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饲料和饲料添加剂管理条例》第38条第2款已经取得生产许可证，但不再具备本条例第十四条规定的条件而继续生产饲料、饲料添加剂的，由县级以上地方人民政府饲料管理部门责令停止生产、限期改正，并处1万元以上5万元以下罚款；逾期不改正的，由发证机关吊销生产许可证。</w:t>
            </w:r>
          </w:p>
        </w:tc>
        <w:tc>
          <w:tcPr>
            <w:tcW w:w="10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B6DE6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0DB2B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74" w:hRule="atLeast"/>
        </w:trPr>
        <w:tc>
          <w:tcPr>
            <w:tcW w:w="62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6BE629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77</w:t>
            </w:r>
          </w:p>
        </w:tc>
        <w:tc>
          <w:tcPr>
            <w:tcW w:w="391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E6080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已经取得生产许可证，但未取得产品批准文号而生产饲料添加剂、添加剂预混合饲料的处罚</w:t>
            </w:r>
          </w:p>
        </w:tc>
        <w:tc>
          <w:tcPr>
            <w:tcW w:w="75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71ED0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76F1E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饲料和饲料添加剂管理条例》第38条第3款已经取得生产许可证，但未取得产品批准文号而生产饲料添加剂、添加剂预混合饲料的，由县级以上地方人民政府饲料管理部门责令停止生产，没收违法所得、违法生产的产品和用于违法生产饲料的饲料原料、单一饲料、饲料添加剂、药物饲料添加剂以及用于违法生产饲料添加剂的原料，限期补办产品批准文号，并处违法生产的产品货值金额1倍以上3倍以下罚款；情节严重的，由发证机关吊销生产许可证。</w:t>
            </w:r>
          </w:p>
        </w:tc>
        <w:tc>
          <w:tcPr>
            <w:tcW w:w="10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4E1B7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5A585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98" w:hRule="atLeast"/>
        </w:trPr>
        <w:tc>
          <w:tcPr>
            <w:tcW w:w="62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584397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78</w:t>
            </w:r>
          </w:p>
        </w:tc>
        <w:tc>
          <w:tcPr>
            <w:tcW w:w="391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C9AED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使用限制使用的饲料原料、单一饲料、饲料添加剂、药物饲料添加剂、添加剂预混合饲料生产饲料，不遵守国务院农业行政主管部门的限制性规定的处罚</w:t>
            </w:r>
          </w:p>
        </w:tc>
        <w:tc>
          <w:tcPr>
            <w:tcW w:w="75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AF1E1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00F29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饲料和饲料添加剂管理条例》第39条第1项饲料、饲料添加剂生产企业有下列行为之一的，由县级以上地方人民政府饲料管理部门责令改正，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由发证机关吊销、撤销相关许可证明文件，生产企业的主要负责人和直接负责的主管人员10年内不得从事饲料、饲料添加剂生产、经营活动；构成犯罪的，依法追究刑事责任：（一）使用限制使用的饲料原料、单一饲料、饲料添加剂、药物饲料添加剂、添加剂预混合饲料生产饲料，不遵守国务院农业行政主管部门的限制性规定的；</w:t>
            </w:r>
          </w:p>
        </w:tc>
        <w:tc>
          <w:tcPr>
            <w:tcW w:w="10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A173F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00CC9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2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269F59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79</w:t>
            </w:r>
          </w:p>
        </w:tc>
        <w:tc>
          <w:tcPr>
            <w:tcW w:w="391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7FE10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使用国务院农业行政主管部门公布的饲料原料目录、饲料添加剂品种目录和药物饲料添加剂品种目录以外的物质生产饲料的处罚</w:t>
            </w:r>
          </w:p>
        </w:tc>
        <w:tc>
          <w:tcPr>
            <w:tcW w:w="75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35D8A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D7444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18"/>
                <w:szCs w:val="18"/>
                <w:bdr w:val="none" w:color="auto" w:sz="0" w:space="0"/>
              </w:rPr>
              <w:t>《饲料和饲料添加剂管理条例》第39条第2项饲料、饲料添加剂生产企业有下列行为之一的，由县级以上地方人民政府饲料管理部门责令改正，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由发证机关吊销、撤销相关许可证明文件，生产企业的主要负责人和直接负责的主管人员10年内不得从事饲料、饲料添加剂生产、经营活动；构成犯罪的，依法追究刑事责任：（二）使用国务院农业行政主管部门公布的饲料原料目录、饲料添加剂品种目录和药物饲料添加剂品种目录以外的物质生产饲料的；</w:t>
            </w:r>
          </w:p>
        </w:tc>
        <w:tc>
          <w:tcPr>
            <w:tcW w:w="10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AF22D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7F6DD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05" w:hRule="atLeast"/>
        </w:trPr>
        <w:tc>
          <w:tcPr>
            <w:tcW w:w="62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559870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80</w:t>
            </w:r>
          </w:p>
        </w:tc>
        <w:tc>
          <w:tcPr>
            <w:tcW w:w="391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66B49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生产未取得新饲料、新饲料添加剂证书的新饲料、新饲料添加剂或者禁用的饲料、饲料添加剂的处罚</w:t>
            </w:r>
          </w:p>
        </w:tc>
        <w:tc>
          <w:tcPr>
            <w:tcW w:w="75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13F40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F3148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饲料和饲料添加剂管理条例》第39条第3项饲料、饲料添加剂生产企业有下列行为之一的，由县级以上地方人民政府饲料管理部门责令改正，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由发证机关吊销、撤销相关许可证明文件，生产企业的主要负责人和直接负责的主管人员10年内不得从事饲料、饲料添加剂生产、经营活动；构成犯罪的，依法追究刑事责任：（三）生产未取得新饲料、新饲料添加剂证书的新饲料、新饲料添加剂或者禁用的饲料、饲料添加剂的。</w:t>
            </w:r>
          </w:p>
        </w:tc>
        <w:tc>
          <w:tcPr>
            <w:tcW w:w="10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FF3A7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2ED4F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2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282E4C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81</w:t>
            </w:r>
          </w:p>
        </w:tc>
        <w:tc>
          <w:tcPr>
            <w:tcW w:w="391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0B7E3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不按照国务院农业行政主管部门的规定和有关标准对采购的饲料原料、单一饲料、饲料添加剂、药物饲料添加剂、添加剂预混合饲料和用于饲料添加剂生产的原料进添加剂预混合饲料和用于饲料添加剂生产的原料进行查验或者检验的处罚</w:t>
            </w:r>
          </w:p>
        </w:tc>
        <w:tc>
          <w:tcPr>
            <w:tcW w:w="75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EA958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3D79F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饲料和饲料添加剂管理条例》第40条第1项饲料、饲料添加剂生产企业有下列行为之一的，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并处5万元以上10万元以下罚款；情节严重的，责令停止生产，可以由发证机关吊销、撤销相关许可证明文件：（一）不按照国务院农业行政主管部门的规定和有关标准对采购的饲料原料、单一饲料、饲料添加剂、药物饲料添加剂、添加剂预混合饲料和用于饲料添加剂生产的原料进行查验或者检验的；</w:t>
            </w:r>
          </w:p>
        </w:tc>
        <w:tc>
          <w:tcPr>
            <w:tcW w:w="10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9142A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44D0E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62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38C5BC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82</w:t>
            </w:r>
          </w:p>
        </w:tc>
        <w:tc>
          <w:tcPr>
            <w:tcW w:w="391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F9EE7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饲料、饲料添加剂生产过程中不遵守国务院农业行政主管部门制定的饲料、饲料添加剂质量安全管理规范和饲料添加剂安全使用规范的处罚</w:t>
            </w:r>
          </w:p>
        </w:tc>
        <w:tc>
          <w:tcPr>
            <w:tcW w:w="75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6EA14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4F93F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饲料和饲料添加剂管理条例》第40条第2项饲料、饲料添加剂生产企业有下列行为之一的，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并处5万元以上10万元以下罚款；情节严重的，责令停止生产，可以由发证机关吊销、撤销相关许可证明文件：（二）饲料、饲料添加剂生产过程中不遵守国务院农业行政主管部门制定的饲料、饲料添加剂质量安全管理规范和饲料添加剂安全使用规范的；</w:t>
            </w:r>
          </w:p>
        </w:tc>
        <w:tc>
          <w:tcPr>
            <w:tcW w:w="10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8597C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3BA4A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2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7F3119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83</w:t>
            </w:r>
          </w:p>
        </w:tc>
        <w:tc>
          <w:tcPr>
            <w:tcW w:w="391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06CF7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生产的饲料、饲料添加剂未经产品质量检验的处罚</w:t>
            </w:r>
          </w:p>
        </w:tc>
        <w:tc>
          <w:tcPr>
            <w:tcW w:w="75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940BD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D4A9E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饲料和饲料添加剂管理条例》第40条第3项饲料、饲料添加剂生产企业有下列行为之一的，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并处5万元以上10万元以下罚款；情节严重的，责令停止生产，可以由发证机关吊销、撤销相关许可证明文件：（三）生产的饲料、饲料添加剂未经产品质量检验的。</w:t>
            </w:r>
          </w:p>
        </w:tc>
        <w:tc>
          <w:tcPr>
            <w:tcW w:w="10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AA704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5238D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62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0E26B6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84</w:t>
            </w:r>
          </w:p>
        </w:tc>
        <w:tc>
          <w:tcPr>
            <w:tcW w:w="391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0FC36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饲料、饲料添加剂生产企业不依照规定实行采购、生产、销售记录制度或者产品留样观察制度的处罚</w:t>
            </w:r>
          </w:p>
        </w:tc>
        <w:tc>
          <w:tcPr>
            <w:tcW w:w="75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DDA31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32971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饲料和饲料添加剂管理条例》第41条第1款饲料、饲料添加剂生产企业不依照本条例规定实行采购、生产、销售记录制度或者产品留样观察制度的，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处2万元以上5万元以下罚款，并可以由发证机关吊销、撤销相关许可证明文件。</w:t>
            </w:r>
          </w:p>
        </w:tc>
        <w:tc>
          <w:tcPr>
            <w:tcW w:w="10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3C067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1F87E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62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602B6E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85</w:t>
            </w:r>
          </w:p>
        </w:tc>
        <w:tc>
          <w:tcPr>
            <w:tcW w:w="391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29FF0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饲料、饲料添加剂生产企业销售的饲料、饲料添加剂未附具产品质量检验合格证或者包装、标签不符合规定的处罚</w:t>
            </w:r>
          </w:p>
        </w:tc>
        <w:tc>
          <w:tcPr>
            <w:tcW w:w="75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53AFD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BB61E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饲料和饲料添加剂管理条例》第41条第2款饲料、饲料添加剂生产企业销售的饲料、饲料添加剂未附具产品质量检验合格证或者包装、标签不符合规定的，由县级以上地方人民政府饲料管理部门责令改正；情节严重的，没收违法所得和违法销售的产品，可以处违法销售的产品货值金额30%以下罚款。</w:t>
            </w:r>
          </w:p>
        </w:tc>
        <w:tc>
          <w:tcPr>
            <w:tcW w:w="10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A9C1F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64C9E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2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4D5C5F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86</w:t>
            </w:r>
          </w:p>
        </w:tc>
        <w:tc>
          <w:tcPr>
            <w:tcW w:w="391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2006C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对饲料、饲料添加剂进行再加工或者添加物质的的处罚</w:t>
            </w:r>
          </w:p>
        </w:tc>
        <w:tc>
          <w:tcPr>
            <w:tcW w:w="75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96FA2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77BEA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饲料和饲料添加剂管理条例》第43条第1项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一）对饲料、饲料添加剂进行再加工或者添加物质的；</w:t>
            </w:r>
          </w:p>
        </w:tc>
        <w:tc>
          <w:tcPr>
            <w:tcW w:w="10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053AE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093FC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62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0A560F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87</w:t>
            </w:r>
          </w:p>
        </w:tc>
        <w:tc>
          <w:tcPr>
            <w:tcW w:w="391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C495A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经营无产品标签、无生产许可证、无产品质量检验合格证的饲料、饲料添加剂的处罚</w:t>
            </w:r>
          </w:p>
        </w:tc>
        <w:tc>
          <w:tcPr>
            <w:tcW w:w="75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9BAEC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010B4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饲料和饲料添加剂管理条例》第43条第2项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二）经营无产品标签、无生产许可证、无产品质量检验合格证的饲料、饲料添加剂的；</w:t>
            </w:r>
          </w:p>
        </w:tc>
        <w:tc>
          <w:tcPr>
            <w:tcW w:w="10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193B9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0E2F3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2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288C94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88</w:t>
            </w:r>
          </w:p>
        </w:tc>
        <w:tc>
          <w:tcPr>
            <w:tcW w:w="391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21EDE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经营无产品批准文号的饲料添加剂、添加剂预混合饲料的处罚</w:t>
            </w:r>
          </w:p>
        </w:tc>
        <w:tc>
          <w:tcPr>
            <w:tcW w:w="75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7FBB1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4ECB4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饲料和饲料添加剂管理条例》第43条第3项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三）经营无产品批准文号的饲料添加剂、添加剂预混合饲料的；</w:t>
            </w:r>
          </w:p>
        </w:tc>
        <w:tc>
          <w:tcPr>
            <w:tcW w:w="10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0099F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7F41B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62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3A4404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89</w:t>
            </w:r>
          </w:p>
        </w:tc>
        <w:tc>
          <w:tcPr>
            <w:tcW w:w="391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D1E36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经营用国务院农业行政主管部门公布的饲料原料目录、饲料添加剂品种目录和药物饲料添加剂品种目录以外的物质生产的饲料的处罚</w:t>
            </w:r>
          </w:p>
        </w:tc>
        <w:tc>
          <w:tcPr>
            <w:tcW w:w="75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64118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01EA9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饲料和饲料添加剂管理条例》第43条第4项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四）经营用国务院农业行政主管部门公布的饲料原料目录、饲料添加剂品种目录和药物饲料添加剂品种目录以外的物质生产的饲料的；</w:t>
            </w:r>
          </w:p>
        </w:tc>
        <w:tc>
          <w:tcPr>
            <w:tcW w:w="10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9214D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10FCC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62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7E896F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90</w:t>
            </w:r>
          </w:p>
        </w:tc>
        <w:tc>
          <w:tcPr>
            <w:tcW w:w="391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099AD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经营未取得新饲料、新饲料添加剂证书的新饲料、新饲料添加剂或者未取得饲料、饲料添加剂进口登记证的进口饲料、进口饲料添加剂以及禁用的饲料、饲料添加剂的处罚</w:t>
            </w:r>
          </w:p>
        </w:tc>
        <w:tc>
          <w:tcPr>
            <w:tcW w:w="75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81F69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FBE83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w:t>
            </w:r>
            <w:r>
              <w:rPr>
                <w:rFonts w:hint="eastAsia" w:ascii="仿宋" w:hAnsi="仿宋" w:eastAsia="仿宋" w:cs="仿宋"/>
                <w:i w:val="0"/>
                <w:iCs w:val="0"/>
                <w:caps w:val="0"/>
                <w:color w:val="000000"/>
                <w:spacing w:val="0"/>
                <w:sz w:val="18"/>
                <w:szCs w:val="18"/>
                <w:bdr w:val="none" w:color="auto" w:sz="0" w:space="0"/>
              </w:rPr>
              <w:t>饲料和饲料添加剂管理条例》第43条第5项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五）经营未取得新饲料、新饲料添加剂证书的新饲料、新饲料添加剂或者未取得饲料、饲料添加剂进口登记证的进口饲料、进口饲料添加剂以及禁用的饲料、饲料添加剂的。</w:t>
            </w:r>
          </w:p>
        </w:tc>
        <w:tc>
          <w:tcPr>
            <w:tcW w:w="10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15014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7BB9B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62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2C1696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91</w:t>
            </w:r>
          </w:p>
        </w:tc>
        <w:tc>
          <w:tcPr>
            <w:tcW w:w="391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C8CCA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对饲料、饲料添加剂进行拆包、分装的处罚</w:t>
            </w:r>
          </w:p>
        </w:tc>
        <w:tc>
          <w:tcPr>
            <w:tcW w:w="75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67994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DF637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饲料和饲料添加剂管理条例》第44条第1项饲料、饲料添加剂经营者有下列行为之一的，由县级人民政府饲料管理部门责令改正，没收违法所得和违法经营的产品，并处2000元以上1万元以下罚款，（一）对饲料、饲料添加剂进行拆包、分装的；</w:t>
            </w:r>
          </w:p>
        </w:tc>
        <w:tc>
          <w:tcPr>
            <w:tcW w:w="10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45E93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50099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2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316805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92</w:t>
            </w:r>
          </w:p>
        </w:tc>
        <w:tc>
          <w:tcPr>
            <w:tcW w:w="391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EF060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不依照本条例规定实行产品购销台账制度的处罚</w:t>
            </w:r>
          </w:p>
        </w:tc>
        <w:tc>
          <w:tcPr>
            <w:tcW w:w="75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CB9EF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2D346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《饲料和饲料添加剂管理条例》第44条第2项第四十四条　饲料、饲料添加剂经营者有下列行为之一的，由县级人民政府饲料管理部门责令改正，没收违法所得和违法经营的产品，并处2000元以上1万元以下罚款：（二）不依照本条例规定实行产品购销台账制度的；</w:t>
            </w:r>
          </w:p>
        </w:tc>
        <w:tc>
          <w:tcPr>
            <w:tcW w:w="10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E79C5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7F1EC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2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30EC63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93</w:t>
            </w:r>
          </w:p>
        </w:tc>
        <w:tc>
          <w:tcPr>
            <w:tcW w:w="391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1442F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经营的饲料、饲料添加剂失效、霉变或者超过保质期的处罚</w:t>
            </w:r>
          </w:p>
        </w:tc>
        <w:tc>
          <w:tcPr>
            <w:tcW w:w="75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55D29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C8C84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饲料和饲料添加剂管理条例》第44条第3项饲料、饲料添加剂经营者有下列行为之一的，由县级人民政府饲料管理部门责令改正，没收违法所得和违法经营的产品，并处2000元以上1万元以下罚款（三）经营的饲料、饲料添加剂失效、霉变或者超过保质期的。</w:t>
            </w:r>
          </w:p>
        </w:tc>
        <w:tc>
          <w:tcPr>
            <w:tcW w:w="10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CE0CD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6D354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790" w:hRule="atLeast"/>
        </w:trPr>
        <w:tc>
          <w:tcPr>
            <w:tcW w:w="62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632DCF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94</w:t>
            </w:r>
          </w:p>
        </w:tc>
        <w:tc>
          <w:tcPr>
            <w:tcW w:w="391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BEB2C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发现饲料、饲料添加剂对养殖动物、人体健康有害或者存在其他安全隐患生产企业不主动召回的处罚</w:t>
            </w:r>
          </w:p>
        </w:tc>
        <w:tc>
          <w:tcPr>
            <w:tcW w:w="75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FEF62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196FF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饲料和饲料添加剂管理条例》第45条第1款对本条例第二十八条规定的饲料、饲料添加剂，生产企业不主动召回的，由县级以上地方人民政府饲料管理部门责令召回，并监督生产企业对召回的产品予以无害化处理或者销毁；情节严重的，没收违法所得，并处应召回的产品货值金额1倍以上3倍以下罚款，可以由发证机关吊销、撤销相关许可证明文件；生产企业对召回的产品不予以无害化处理或者销毁的，由县级人民政府饲料管理部门代为销毁，所需费用由生产企业承担。</w:t>
            </w:r>
          </w:p>
        </w:tc>
        <w:tc>
          <w:tcPr>
            <w:tcW w:w="10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2D64A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229CE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2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4BBA7D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95</w:t>
            </w:r>
          </w:p>
        </w:tc>
        <w:tc>
          <w:tcPr>
            <w:tcW w:w="391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D1EA9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发现饲料、饲料添加剂对养殖动物、人体健康有害或者存在其他安全隐患经营者不停止销售的处罚</w:t>
            </w:r>
          </w:p>
        </w:tc>
        <w:tc>
          <w:tcPr>
            <w:tcW w:w="75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C6ACF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8CAEE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饲料和饲料添加剂管理条例》第45条第2款对本条例第二十八条规定的饲料、饲料添加剂，经营者不停止销售的，由县级以上地方人民政府饲料管理部门责令停止销售；拒不停止销售的，没收违法所得，处1000元以上5万元以下罚款；情节严重的，责令停止经营，并通知工商行政管理部门，由工商行政管理部门吊销营业执照。</w:t>
            </w:r>
          </w:p>
        </w:tc>
        <w:tc>
          <w:tcPr>
            <w:tcW w:w="10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5AB52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4AC27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5" w:hRule="atLeast"/>
        </w:trPr>
        <w:tc>
          <w:tcPr>
            <w:tcW w:w="62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243C0E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96</w:t>
            </w:r>
          </w:p>
        </w:tc>
        <w:tc>
          <w:tcPr>
            <w:tcW w:w="391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9B809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在生产、经营过程中，以非饲料、非饲料添加剂冒充饲料、饲料添加剂或者以此种饲料、饲料添加剂冒充他种饲料、饲料添加剂的处罚</w:t>
            </w:r>
          </w:p>
        </w:tc>
        <w:tc>
          <w:tcPr>
            <w:tcW w:w="75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E6840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BD9A7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饲料和饲料添加剂管理条例》第46条第1款第1项饲料、饲料添加剂生产企业、经营者有下列行为之一的，由县级以上地方人民政府饲料管理部门责令停止生产、经营，没收违法所得和违法生产、经营的产品，违法生产、经营的产品货值金额不足1万元的，并处2000元以上2万元以下罚款，货值金额1万元以上的，并处货值金额2倍以上5倍以下罚款；构成犯罪的，依法追究刑事责任：（一）在生产、经营过程中，以非饲料、非饲料添加剂冒充饲料、饲料添加剂或者以此种饲料、饲料添加剂冒充他种饲料、饲料添加剂的；</w:t>
            </w:r>
          </w:p>
        </w:tc>
        <w:tc>
          <w:tcPr>
            <w:tcW w:w="10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7A408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679B7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88" w:hRule="atLeast"/>
        </w:trPr>
        <w:tc>
          <w:tcPr>
            <w:tcW w:w="62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0D7A65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97</w:t>
            </w:r>
          </w:p>
        </w:tc>
        <w:tc>
          <w:tcPr>
            <w:tcW w:w="391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6F66E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生产、经营无产品质量标准或者不符合产品质量标准的饲料、饲料添加剂的处罚</w:t>
            </w:r>
          </w:p>
        </w:tc>
        <w:tc>
          <w:tcPr>
            <w:tcW w:w="75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69254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EE8E6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饲料和饲料添加剂管理条例》第46条第1款第2项饲料、饲料添加剂生产企业、经营者有下列行为之一的，由县级以上地方人民政府饲料管理部门责令停止生产、经营，没收违法所得和违法生产、经营的产品，违法生产、经营的产品货值金额不足1万元的，并处2000元以上2万元以下罚款，货值金额1万元以上的，并处货值金额2倍以上5倍以下罚款；构成犯罪的，依法追究刑事责任：（二）生产、经营无产品质量标准或者不符合产品质量标准的饲料、饲料添加剂的；</w:t>
            </w:r>
          </w:p>
        </w:tc>
        <w:tc>
          <w:tcPr>
            <w:tcW w:w="10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AAF7B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70DD7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8" w:hRule="atLeast"/>
        </w:trPr>
        <w:tc>
          <w:tcPr>
            <w:tcW w:w="62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4E036E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98</w:t>
            </w:r>
          </w:p>
        </w:tc>
        <w:tc>
          <w:tcPr>
            <w:tcW w:w="391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84CC8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生产、经营的饲料、饲料添加剂与标签标示的内容不一致的处罚</w:t>
            </w:r>
          </w:p>
        </w:tc>
        <w:tc>
          <w:tcPr>
            <w:tcW w:w="75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02282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8BF3D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饲料和饲料添加剂管理条例》第46条第1款第3项饲料、饲料添加剂生产企业、经营者有下列行为之一的，由县级以上地方人民政府饲料管理部门责令停止生产、经营，没收违法所得和违法生产、经营的产品，违法生产、经营的产品货值金额不足1万元的，并处2000元以上2万元以下罚款，货值金额1万元以上的，并处货值金额2倍以上5倍以下罚款；构成犯罪的，依法追究刑事责任：（三）生产、经营的饲料、饲料添加剂与标签标示的内容不一致的。</w:t>
            </w:r>
          </w:p>
        </w:tc>
        <w:tc>
          <w:tcPr>
            <w:tcW w:w="10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47B7B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238CE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473" w:hRule="atLeast"/>
        </w:trPr>
        <w:tc>
          <w:tcPr>
            <w:tcW w:w="62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15AEE1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99</w:t>
            </w:r>
          </w:p>
        </w:tc>
        <w:tc>
          <w:tcPr>
            <w:tcW w:w="391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8ECA8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使用未取得新饲料、新饲料添加剂证书的新饲料、新饲料添加剂或者未取得饲料、饲料添加剂进口登记证的进口饲料、进口饲料添加剂的处罚</w:t>
            </w:r>
          </w:p>
        </w:tc>
        <w:tc>
          <w:tcPr>
            <w:tcW w:w="75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A1E3A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7C5DE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饲料和饲料添加剂管理条例》第47条第1款第1项养殖者有下列行为之一的，由县级人民政府饲料管理部门没收违法使用的产品和非法添加物质，对单位处1万元以上5万元以下罚款，对个人处5000元以下罚款；构成犯罪的，依法追究刑事责任：（一）使用未取得新饲料、新饲料添加剂证书的新饲料、新饲料添加剂或者未取得饲料、饲料添加剂进口登记证的进口饲料、进口饲料添加剂的；</w:t>
            </w:r>
          </w:p>
        </w:tc>
        <w:tc>
          <w:tcPr>
            <w:tcW w:w="10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4D022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49A87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82" w:hRule="atLeast"/>
        </w:trPr>
        <w:tc>
          <w:tcPr>
            <w:tcW w:w="62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766841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100</w:t>
            </w:r>
          </w:p>
        </w:tc>
        <w:tc>
          <w:tcPr>
            <w:tcW w:w="391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1004A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使用无产品标签、无生产许可证、无产品质量标准、无产品质量检验合格证的饲料、饲料添加剂的处罚</w:t>
            </w:r>
          </w:p>
        </w:tc>
        <w:tc>
          <w:tcPr>
            <w:tcW w:w="75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4C812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BC4E3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饲料和饲料添加剂管理条例》第47条第1款第2项养殖者有下列行为之一的，由县级人民政府饲料管理部门没收违法使用的产品和非法添加物质，对单位处1万元以上5万元以下罚款，对个人处5000元以下罚款；构成犯罪的，依法追究刑事责任：（二）使用无产品标签、无生产许可证、无产品质量标准、无产品质量检验合格证的饲料、饲料添加剂的；</w:t>
            </w:r>
          </w:p>
        </w:tc>
        <w:tc>
          <w:tcPr>
            <w:tcW w:w="10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F2990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3F8C2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21" w:hRule="atLeast"/>
        </w:trPr>
        <w:tc>
          <w:tcPr>
            <w:tcW w:w="62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058674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101</w:t>
            </w:r>
          </w:p>
        </w:tc>
        <w:tc>
          <w:tcPr>
            <w:tcW w:w="391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92328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使用无产品批准文号的饲料添加剂、添加剂预混合饲料的处罚</w:t>
            </w:r>
          </w:p>
        </w:tc>
        <w:tc>
          <w:tcPr>
            <w:tcW w:w="75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6106B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F363F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饲料和饲料添加剂管理条例》第47条第1款第3项养殖者有下列行为之一的，由县级人民政府饲料管理部门没收违法使用的产品和非法添加物质，对单位处1万元以上5万元以下罚款，对个人处5000元以下罚款；构成犯罪的，依法追究刑事责任：（三）使用无产品批准文号的饲料添加剂、添加剂预混合饲料的；</w:t>
            </w:r>
          </w:p>
        </w:tc>
        <w:tc>
          <w:tcPr>
            <w:tcW w:w="10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7E4F3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3D776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2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580FE6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102</w:t>
            </w:r>
          </w:p>
        </w:tc>
        <w:tc>
          <w:tcPr>
            <w:tcW w:w="391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08268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在饲料或者动物饮用水中添加饲料添加剂，不遵守国务院农业行政主管部门制定的饲料添加剂安全使用规范的处罚</w:t>
            </w:r>
          </w:p>
        </w:tc>
        <w:tc>
          <w:tcPr>
            <w:tcW w:w="75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1BB1E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FC6FA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饲料和饲料添加剂管理条例》第47条第1款第4项养殖者有下列行为之一的，由县级人民政府饲料管理部门没收违法使用的产品和非法添加物质，对单位处1万元以上5万元以下罚款，对个人处5000元以下罚款；构成犯罪的，依法追究刑事责任：（四）在饲料或者动物饮用水中添加饲料添加剂，不遵守国务院农业行政主管部门制定的饲料添加剂安全使用规范的；</w:t>
            </w:r>
          </w:p>
        </w:tc>
        <w:tc>
          <w:tcPr>
            <w:tcW w:w="10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112E4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0C5FB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8" w:hRule="atLeast"/>
        </w:trPr>
        <w:tc>
          <w:tcPr>
            <w:tcW w:w="62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2D407B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103</w:t>
            </w:r>
          </w:p>
        </w:tc>
        <w:tc>
          <w:tcPr>
            <w:tcW w:w="391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26F06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使用自行配制的饲料，不遵守国务院农业行政主管部门制定的自行配制饲料使用规范的处罚</w:t>
            </w:r>
          </w:p>
        </w:tc>
        <w:tc>
          <w:tcPr>
            <w:tcW w:w="75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79104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A90A8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饲料和饲料添加剂管理条例》第47条第1款第5项养殖者有下列行为之一的，由县级人民政府饲料管理部门没收违法使用的产品和非法添加物质，对单位处1万元以上5万元以下罚款，对个人处5000元以下罚款；构成犯罪的，依法追究刑事责任：（五）使用自行配制的饲料，不遵守国务院农业行政主管部门制定的自行配制饲料使用规范的；</w:t>
            </w:r>
          </w:p>
        </w:tc>
        <w:tc>
          <w:tcPr>
            <w:tcW w:w="10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090DE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4FDE3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38" w:hRule="atLeast"/>
        </w:trPr>
        <w:tc>
          <w:tcPr>
            <w:tcW w:w="62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0C9E61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104</w:t>
            </w:r>
          </w:p>
        </w:tc>
        <w:tc>
          <w:tcPr>
            <w:tcW w:w="391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CECA9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使用限制使用的物质养殖动物，不遵守国务院农业行政主管部门的限制性规定的处罚</w:t>
            </w:r>
          </w:p>
        </w:tc>
        <w:tc>
          <w:tcPr>
            <w:tcW w:w="75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05035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18"/>
                <w:szCs w:val="18"/>
                <w:bdr w:val="none" w:color="auto" w:sz="0" w:space="0"/>
              </w:rPr>
              <w:t>桐柏县农业综合行政执法大队</w:t>
            </w:r>
          </w:p>
        </w:tc>
        <w:tc>
          <w:tcPr>
            <w:tcW w:w="738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3339F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饲料和饲料添加剂管理条例》第47条第1款第6项养殖者有下列行为之一的，由县级人民政府饲料管理部门没收违法使用的产品和非法添加物质，对单位处1万元以上5万元以下罚款，对个人处5000元以下罚款；构成犯罪的，依法追究刑事责任：（六）使用限制使用的物质养殖动物，不遵守国务院农业行政主管部门的限制性规定的；</w:t>
            </w:r>
          </w:p>
        </w:tc>
        <w:tc>
          <w:tcPr>
            <w:tcW w:w="10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A0051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48C70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4" w:hRule="atLeast"/>
        </w:trPr>
        <w:tc>
          <w:tcPr>
            <w:tcW w:w="62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3E2D2C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105</w:t>
            </w:r>
          </w:p>
        </w:tc>
        <w:tc>
          <w:tcPr>
            <w:tcW w:w="391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E2642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在反刍动物饲料中添加乳和乳制品以外的动物源性成分的处罚</w:t>
            </w:r>
          </w:p>
        </w:tc>
        <w:tc>
          <w:tcPr>
            <w:tcW w:w="75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EA8B5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18"/>
                <w:szCs w:val="18"/>
                <w:bdr w:val="none" w:color="auto" w:sz="0" w:space="0"/>
              </w:rPr>
              <w:t>桐柏县农业综合行政执法大队</w:t>
            </w:r>
          </w:p>
        </w:tc>
        <w:tc>
          <w:tcPr>
            <w:tcW w:w="738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2BDA7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饲料和饲料添加剂管理条例》第47条第1款第7项养殖者有下列行为之一的，由县级人民政府饲料管理部门没收违法使用的产品和非法添加物质，对单位处1万元以上5万元以下罚款，对个人处5000元以下罚款；构成犯罪的，依法追究刑事责任：（七）在反刍动物饲料中添加乳和乳制品以外的动物源性成分的。</w:t>
            </w:r>
          </w:p>
        </w:tc>
        <w:tc>
          <w:tcPr>
            <w:tcW w:w="10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701B4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7F4B1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2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628D78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106</w:t>
            </w:r>
          </w:p>
        </w:tc>
        <w:tc>
          <w:tcPr>
            <w:tcW w:w="391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BB3E5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在饲料或者动物饮用水中添加国务院农业行政主管部门公布禁用的物质以及对人体具有直接或者潜在危害的其他物质，或者直接使用上述物质养殖动物的处罚</w:t>
            </w:r>
          </w:p>
        </w:tc>
        <w:tc>
          <w:tcPr>
            <w:tcW w:w="75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9FEC0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18"/>
                <w:szCs w:val="18"/>
                <w:bdr w:val="none" w:color="auto" w:sz="0" w:space="0"/>
              </w:rPr>
              <w:t>桐柏县农业综合行政执法大队</w:t>
            </w:r>
          </w:p>
        </w:tc>
        <w:tc>
          <w:tcPr>
            <w:tcW w:w="738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3A081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饲料和饲料添加剂管理条例》第47条第2款在饲料或者动物饮用水中添加国务院农业行政主管部门公布禁用的物质以及对人体具有直接或者潜在危害的其他物质，或者直接使用上述物质养殖动物的，由县级以上地方人民政府饲料管理部门责令其对饲喂了违禁物质的动物进行无害化处理，处3万元以上10万元以下罚款；构成犯罪的，依法追究刑事责任。</w:t>
            </w:r>
          </w:p>
        </w:tc>
        <w:tc>
          <w:tcPr>
            <w:tcW w:w="10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9E248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5DFAC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13" w:hRule="atLeast"/>
        </w:trPr>
        <w:tc>
          <w:tcPr>
            <w:tcW w:w="62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101735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107</w:t>
            </w:r>
          </w:p>
        </w:tc>
        <w:tc>
          <w:tcPr>
            <w:tcW w:w="391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3CB85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养殖者对外提供自行配制的饲料的处罚</w:t>
            </w:r>
          </w:p>
        </w:tc>
        <w:tc>
          <w:tcPr>
            <w:tcW w:w="75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75371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18"/>
                <w:szCs w:val="18"/>
                <w:bdr w:val="none" w:color="auto" w:sz="0" w:space="0"/>
              </w:rPr>
              <w:t>桐柏县农业综合行政执法大队</w:t>
            </w:r>
          </w:p>
        </w:tc>
        <w:tc>
          <w:tcPr>
            <w:tcW w:w="738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C2487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《饲料和饲料添加剂管理条例》第48条养殖者对外提供自行配制的饲料的，由县级人民政府饲料管理部门责令改正，处2000元以上2万元以下罚款。</w:t>
            </w:r>
          </w:p>
        </w:tc>
        <w:tc>
          <w:tcPr>
            <w:tcW w:w="10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0A557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4A8ED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2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65B898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108</w:t>
            </w:r>
          </w:p>
        </w:tc>
        <w:tc>
          <w:tcPr>
            <w:tcW w:w="391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EB7A4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动物诊疗机构超出动物诊疗许可证核定的诊疗活动范围从事动物诊疗活动的处罚</w:t>
            </w:r>
          </w:p>
        </w:tc>
        <w:tc>
          <w:tcPr>
            <w:tcW w:w="75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39313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18"/>
                <w:szCs w:val="18"/>
                <w:bdr w:val="none" w:color="auto" w:sz="0" w:space="0"/>
              </w:rPr>
              <w:t>桐柏县农业综合行政执法大队</w:t>
            </w:r>
          </w:p>
        </w:tc>
        <w:tc>
          <w:tcPr>
            <w:tcW w:w="738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D270A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中华人民共和国农业部第19号令《动物诊疗机构管理办法》第29条第1款违反本办法规定，动物诊疗机构有下列情形之一的，由动物卫生监督机构按照《中华人民共和国动物防疫法》第八十一条第一款的规定予以处罚；情节严重的，并报原发证机关收回、注销其动物诊疗许可证：（一）超出动物诊疗许可证核定的诊疗活动范围从事动物诊疗活动的；</w:t>
            </w:r>
          </w:p>
        </w:tc>
        <w:tc>
          <w:tcPr>
            <w:tcW w:w="10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99810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27129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62" w:hRule="atLeast"/>
        </w:trPr>
        <w:tc>
          <w:tcPr>
            <w:tcW w:w="62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6299ED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109</w:t>
            </w:r>
          </w:p>
        </w:tc>
        <w:tc>
          <w:tcPr>
            <w:tcW w:w="391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2A124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动物诊疗机构变更从业地点、诊疗活动范围未重新办理动物诊疗许可证的处罚</w:t>
            </w:r>
          </w:p>
        </w:tc>
        <w:tc>
          <w:tcPr>
            <w:tcW w:w="75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1AF6E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18"/>
                <w:szCs w:val="18"/>
                <w:bdr w:val="none" w:color="auto" w:sz="0" w:space="0"/>
              </w:rPr>
              <w:t>桐柏县农业综合行政执法大队</w:t>
            </w:r>
          </w:p>
        </w:tc>
        <w:tc>
          <w:tcPr>
            <w:tcW w:w="738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B11A1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中华人民共和国农业部第19号令《动物诊疗机构管理办法》第29条第2款违反本办法规定，动物诊疗机构有下列情形之一的，由动物卫生监督机构按照《中华人民共和国动物防疫法》第八十一条第一款的规定予以处罚；情节严重的，并报原发证机关收回、注销其动物诊疗许可证：（二）变更从业地点、诊疗活动范围未重新办理动物诊疗许可证的。</w:t>
            </w:r>
          </w:p>
        </w:tc>
        <w:tc>
          <w:tcPr>
            <w:tcW w:w="10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A172B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6EE30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2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324FA5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110</w:t>
            </w:r>
          </w:p>
        </w:tc>
        <w:tc>
          <w:tcPr>
            <w:tcW w:w="391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00E08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使用伪造、变造、受让、租用、借用的动物诊疗许可证的，或者出让、出租、出借动物诊疗许可证的处罚</w:t>
            </w:r>
          </w:p>
        </w:tc>
        <w:tc>
          <w:tcPr>
            <w:tcW w:w="75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36E5E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18"/>
                <w:szCs w:val="18"/>
                <w:bdr w:val="none" w:color="auto" w:sz="0" w:space="0"/>
              </w:rPr>
              <w:t>桐柏县农业综合行政执法大队</w:t>
            </w:r>
          </w:p>
        </w:tc>
        <w:tc>
          <w:tcPr>
            <w:tcW w:w="738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643B3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中华人民共和国农业部第19号令《动物诊疗机构管理办法》第30条使用伪造、变造、受让、租用、借用的动物诊疗许可证的，动物卫生监督机构应当依法收缴，并按照《中华人民共和国动物防疫法》第八十一条第一款的规定予以处罚。</w:t>
            </w:r>
          </w:p>
        </w:tc>
        <w:tc>
          <w:tcPr>
            <w:tcW w:w="10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8DA86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6CC69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2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59B7BB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111</w:t>
            </w:r>
          </w:p>
        </w:tc>
        <w:tc>
          <w:tcPr>
            <w:tcW w:w="391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644C3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动物诊疗场所不再具备规定条件而继续从事动物诊疗活动拒不改正的处罚</w:t>
            </w:r>
          </w:p>
        </w:tc>
        <w:tc>
          <w:tcPr>
            <w:tcW w:w="75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ABE4B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18"/>
                <w:szCs w:val="18"/>
                <w:bdr w:val="none" w:color="auto" w:sz="0" w:space="0"/>
              </w:rPr>
              <w:t>桐柏县农业综合行政执法大队</w:t>
            </w:r>
          </w:p>
        </w:tc>
        <w:tc>
          <w:tcPr>
            <w:tcW w:w="738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A0FBA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18"/>
                <w:szCs w:val="18"/>
                <w:bdr w:val="none" w:color="auto" w:sz="0" w:space="0"/>
              </w:rPr>
              <w:t>中华人民共和国农业部第19号令《动物诊疗机构管理办法》第31条动物诊疗场所不再具备本办法第五条、第六条规定条件的，由动物卫生监督机构给予警告，责令限期改正；逾期仍达不到规定条件的，由原发证机关收回、注销其动物诊疗许可证。</w:t>
            </w:r>
          </w:p>
        </w:tc>
        <w:tc>
          <w:tcPr>
            <w:tcW w:w="10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0482E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1C91E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62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51BDD5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112</w:t>
            </w:r>
          </w:p>
        </w:tc>
        <w:tc>
          <w:tcPr>
            <w:tcW w:w="391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DE0CA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动物诊疗机构连续停业两年以上的，或者连续两年未向发证机关报告动物诊疗活动情况的处罚</w:t>
            </w:r>
          </w:p>
        </w:tc>
        <w:tc>
          <w:tcPr>
            <w:tcW w:w="75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6F4B2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21BF0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中华人民共和国农业部第19号令《动物诊疗机构管理办法》第32条动物诊疗机构连续停业两年以上的，或者连续两年未向发证机关报告动物诊疗活动情况，拒不改正的，由原发证机关收回、注销其动物诊疗许可证。</w:t>
            </w:r>
          </w:p>
        </w:tc>
        <w:tc>
          <w:tcPr>
            <w:tcW w:w="10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77EA7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2925E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2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4101B9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113</w:t>
            </w:r>
          </w:p>
        </w:tc>
        <w:tc>
          <w:tcPr>
            <w:tcW w:w="391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96C51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动物诊疗机构变更机构名称或者法定代表人未办理变更手续的处罚</w:t>
            </w:r>
          </w:p>
        </w:tc>
        <w:tc>
          <w:tcPr>
            <w:tcW w:w="75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088B6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1D88E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中华人民共和国农业部第19号令《动物诊疗机构管理办法》第33条第3款反本办法规定，动物诊疗机构有下列情形之一的，由动物卫生监督机构给予警告，责令限期改正；拒不改正或者再次出现同类违法行为的，处以一千元以下罚款。（三）不使用病历，或者应当开具处方未开具处方的；</w:t>
            </w:r>
          </w:p>
        </w:tc>
        <w:tc>
          <w:tcPr>
            <w:tcW w:w="10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6573E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5BA45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2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25128A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114</w:t>
            </w:r>
          </w:p>
        </w:tc>
        <w:tc>
          <w:tcPr>
            <w:tcW w:w="391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CEBDF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动物诊疗机构使用不规范的病历、处方笺的处罚</w:t>
            </w:r>
          </w:p>
        </w:tc>
        <w:tc>
          <w:tcPr>
            <w:tcW w:w="75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A3C73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448F3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中华人民共和国农业部第19号令《动物诊疗机构管理办法》第33条第4款违反本办法规定，动物诊疗机构有下列情形之一的，由动物卫生监督机构给予警告，责机构给予警告，责令限期改正；拒不改正或者再次出现同类违法行为的，处以一千元以下罚款。（四）使用不规范的病历、处方笺的。</w:t>
            </w:r>
          </w:p>
        </w:tc>
        <w:tc>
          <w:tcPr>
            <w:tcW w:w="10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AB9EB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11297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2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73581F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115</w:t>
            </w:r>
          </w:p>
        </w:tc>
        <w:tc>
          <w:tcPr>
            <w:tcW w:w="391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738CE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执业兽医超出注册机关核定的执业范围从事动物诊疗活动的处罚</w:t>
            </w:r>
          </w:p>
        </w:tc>
        <w:tc>
          <w:tcPr>
            <w:tcW w:w="75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64D4B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D3C43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执业兽医管理办法》第32条第1款违反本办法规定，执业兽医有下列情形之一的，由动物卫生监督机构按照《中华人民共和国动物防疫法》第八十二条第一款的规定予以处罚；情节严重的，并报原注册机关收回、注销兽医师执业证书或者助理兽医师执业证书：（一）超出注册机关核定的执业范围从事动物诊疗活动的；</w:t>
            </w:r>
          </w:p>
        </w:tc>
        <w:tc>
          <w:tcPr>
            <w:tcW w:w="10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A6354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52759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2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7484FD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116</w:t>
            </w:r>
          </w:p>
        </w:tc>
        <w:tc>
          <w:tcPr>
            <w:tcW w:w="391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DC32F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执业兽医变更受聘的动物诊疗机构未重新办理注册或者备案的处罚</w:t>
            </w:r>
          </w:p>
        </w:tc>
        <w:tc>
          <w:tcPr>
            <w:tcW w:w="75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B502E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68EC1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执业兽医管理办法》第32条第2款违反本办法规定，执业兽医有下列情形之一的，由动物卫生监督机构按照《中华人民共和国动物防疫法》第八十二条第一款的规定予以处罚；情节严重的，并报原注册机关收回、注销兽医师执业证书或者助理兽医师执业证书：（二）变更受聘的动物诊疗机构未重新办理注册或者备案的。</w:t>
            </w:r>
          </w:p>
        </w:tc>
        <w:tc>
          <w:tcPr>
            <w:tcW w:w="10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113D7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44FC0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2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7D6203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117</w:t>
            </w:r>
          </w:p>
        </w:tc>
        <w:tc>
          <w:tcPr>
            <w:tcW w:w="391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4A7E0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使用伪造、变造、受让、租用、借用的兽医师执业证书或者助理兽医师执业证书的处罚</w:t>
            </w:r>
          </w:p>
        </w:tc>
        <w:tc>
          <w:tcPr>
            <w:tcW w:w="75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08A7A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11C54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执业兽医管理办法》第33条使用伪造、变造、受让、租用、借用的兽医师执业证书或者助理兽医师执业证书的，动物卫生监督机构应当依法收缴，并按照《中华人民共和国动物防疫法》第八十二条第一款的规定予以处罚。</w:t>
            </w:r>
          </w:p>
        </w:tc>
        <w:tc>
          <w:tcPr>
            <w:tcW w:w="10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1CBFC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6BDC9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475" w:hRule="atLeast"/>
        </w:trPr>
        <w:tc>
          <w:tcPr>
            <w:tcW w:w="62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63F872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118</w:t>
            </w:r>
          </w:p>
        </w:tc>
        <w:tc>
          <w:tcPr>
            <w:tcW w:w="391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74AC8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执业兽医师在动物诊疗活动中不使用病历，或者应当开具处方未开具处方的处罚</w:t>
            </w:r>
          </w:p>
        </w:tc>
        <w:tc>
          <w:tcPr>
            <w:tcW w:w="75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B40C6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63292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执业兽医管理办法》第35条第1款执业兽医师在动物诊疗活动中有下列情形之一的，由动物卫生监督机构给予警告，责令限期改正；拒不改正或者再次出现同类违法行为的，处一千元以下罚款：（一）不使用病历，或者应当开具处方未开具处方的；</w:t>
            </w:r>
          </w:p>
        </w:tc>
        <w:tc>
          <w:tcPr>
            <w:tcW w:w="10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B1CEC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28281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2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3A55FE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119</w:t>
            </w:r>
          </w:p>
        </w:tc>
        <w:tc>
          <w:tcPr>
            <w:tcW w:w="391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8C4FA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执业兽医师在动物诊疗活动中使用不规范的处方笺、病历册，或者未在处方笺、病历册上签名的处罚</w:t>
            </w:r>
          </w:p>
        </w:tc>
        <w:tc>
          <w:tcPr>
            <w:tcW w:w="75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7FC64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D5815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执业兽医管理办法》第35条第3款执业兽医师在动物诊疗活动中有下列情形之一的，由动物卫生监督机构给予警告，责令限期改正；拒不改正或者再次出现同类违法行为的，处一千元以下罚款：之一的，由动物卫生监督机构给予警告，责令限期改正；拒不改正或者再次出现同类违法行为的，处一千元以下罚款：（二）使用不规范的处方笺、病历册，或者未在处方笺、病历册上签名的；</w:t>
            </w:r>
          </w:p>
        </w:tc>
        <w:tc>
          <w:tcPr>
            <w:tcW w:w="10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AD628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37749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62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27E78E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120</w:t>
            </w:r>
          </w:p>
        </w:tc>
        <w:tc>
          <w:tcPr>
            <w:tcW w:w="391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B95BE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执业兽医师在动物诊疗活动中未经亲自诊断、治疗，开具处方药、填写诊断书、出具有关证明文件的；伪造诊断结果，出具虚假证明文件的处罚</w:t>
            </w:r>
          </w:p>
        </w:tc>
        <w:tc>
          <w:tcPr>
            <w:tcW w:w="75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5AC43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772FB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执业兽医管理办法》第35条第3款执业兽医师在动物诊疗活动中有下列情形之一的，由动物卫生监督机构给予警告，责令限期改正；拒不改正或者再次出现同类违法行为的，处一千元以下罚款：（三）未经亲自诊断、治疗，开具处方药、填写诊断书、出具有关证明文件的；（四）伪造诊断结果，出具虚假证明文件的。</w:t>
            </w:r>
          </w:p>
        </w:tc>
        <w:tc>
          <w:tcPr>
            <w:tcW w:w="10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5A6EC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20390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2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70F34D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121</w:t>
            </w:r>
          </w:p>
        </w:tc>
        <w:tc>
          <w:tcPr>
            <w:tcW w:w="391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1D22B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乡村兽医不按照规定区域从业的处罚</w:t>
            </w:r>
          </w:p>
        </w:tc>
        <w:tc>
          <w:tcPr>
            <w:tcW w:w="75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A0D7D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3EBA9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乡村兽医管理办法》第19条第1款乡村兽医有下列行为之一的，由动物卫生监督机构给予警告，责令暂停六个月以上一年以下动物诊疗服务活动；情节严重的，由原登记机关收回、注销乡村兽医登记证：证：（一）不按照规定区域从业的；</w:t>
            </w:r>
          </w:p>
        </w:tc>
        <w:tc>
          <w:tcPr>
            <w:tcW w:w="10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A9E31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19780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62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502D5C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122</w:t>
            </w:r>
          </w:p>
        </w:tc>
        <w:tc>
          <w:tcPr>
            <w:tcW w:w="391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8E137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乡村兽医不按照当地人民政府或者有关部门的要求参加动物疫病预防、控制和扑灭活动的处罚</w:t>
            </w:r>
          </w:p>
        </w:tc>
        <w:tc>
          <w:tcPr>
            <w:tcW w:w="75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87E41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33A82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乡村兽医管理办法》第19条第2款乡村兽医有下列行为之一的，由动物卫生监督机构给予警告，责令暂停六个月以上一年以下动物诊疗服务活动；情节严重的，由原登记机关收回、注销乡村兽医登记证：（二）不按照当地人民政府或者有关部门的要求参加动物疫病预防、控制和扑灭活动的。</w:t>
            </w:r>
          </w:p>
        </w:tc>
        <w:tc>
          <w:tcPr>
            <w:tcW w:w="10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E3A2A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72F06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62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438A1D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123</w:t>
            </w:r>
          </w:p>
        </w:tc>
        <w:tc>
          <w:tcPr>
            <w:tcW w:w="391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E455C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生鲜乳收购者在生鲜乳收购过程中，加入非食品用化学物质或者其他可能危害人体健康的物质处罚</w:t>
            </w:r>
          </w:p>
        </w:tc>
        <w:tc>
          <w:tcPr>
            <w:tcW w:w="75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91DFA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D60FD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乳品质量安全监督管理条例》第54条生鲜乳收购者、乳制品生产企业在生鲜乳收购、乳制品生产过程中，加入非食品用化学物质或者其他可能危害人体健康的物质，依照刑法第一百四十四条的规定，构成犯罪的，依法追究刑事责任，并由发证机关吊销许可证照；尚不构成犯罪的，由畜牧兽医主管部门、质量监督部门依据各自职责没收违法所得和违法生产的乳品，以及相关的工具、设备等物品，并处违法乳品货值金额15倍以上30倍以下罚款，由发证机关吊销许可证照。</w:t>
            </w:r>
          </w:p>
        </w:tc>
        <w:tc>
          <w:tcPr>
            <w:tcW w:w="10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24376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26504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62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348CED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124</w:t>
            </w:r>
          </w:p>
        </w:tc>
        <w:tc>
          <w:tcPr>
            <w:tcW w:w="391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5D2DD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生产、销售不符合乳品质量安全国家标准的乳品的处罚</w:t>
            </w:r>
          </w:p>
        </w:tc>
        <w:tc>
          <w:tcPr>
            <w:tcW w:w="75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DEE96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F1AF7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乳品质量安全监督管理条例》第55条生产、销售不符合乳品质量安全国家标准的乳品，依照刑法第一百四十三条的规定，构成犯罪的，依法追究刑事责任，并由发证机关吊销许可证照；尚不构成犯罪的，由畜牧兽医主管部门、质量监督部门、工商行政管理部门依据各自职责没收违法所得、违法乳品和相关的工具、设备等物品，并处违法乳品货值金额10倍以上20倍以下罚款，由发证机关吊销许可证照。</w:t>
            </w:r>
          </w:p>
        </w:tc>
        <w:tc>
          <w:tcPr>
            <w:tcW w:w="10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043E1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22273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62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6333BF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128</w:t>
            </w:r>
          </w:p>
        </w:tc>
        <w:tc>
          <w:tcPr>
            <w:tcW w:w="391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1646B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奶畜养殖者、生鲜乳收购者在发生乳品质量安全事故后未报告、处置的处罚</w:t>
            </w:r>
          </w:p>
        </w:tc>
        <w:tc>
          <w:tcPr>
            <w:tcW w:w="75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832D5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910DB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乳品质量安全监督管理条例》第59条奶畜养殖者、生鲜乳收购者、乳制品生产企业和销售者在发生乳品质量安全事故后未报告、处置的，由畜牧兽医、质量监督、工商行政管理、食品药品监督等部门依据各自职责，责令改正，给予警告；毁灭有关证据的，责令停产停业，并处10万元以上20万元以下罚款；造成严重后果的，由发证机关吊销许可证照；构成犯罪的，依法追究刑事责任。</w:t>
            </w:r>
          </w:p>
        </w:tc>
        <w:tc>
          <w:tcPr>
            <w:tcW w:w="10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B6FFE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35F5D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2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5A37E1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126</w:t>
            </w:r>
          </w:p>
        </w:tc>
        <w:tc>
          <w:tcPr>
            <w:tcW w:w="391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18607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未取得生鲜乳收购许可证收购生鲜乳的处罚</w:t>
            </w:r>
          </w:p>
        </w:tc>
        <w:tc>
          <w:tcPr>
            <w:tcW w:w="75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49CD9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8C458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乳品质量安全监督管理条例》第60条第1款有下列情形之一的，由县级以上地方人民政府畜牧兽医主管部门没收违法所得、违法收购的生鲜乳和相关的设备、设施等物品，并处违法乳品货值金额5倍以上10倍以下罚款；有许可证照的，由发证机关吊销许可证照：（一）未取得生鲜乳收购许可证收购生鲜乳的；</w:t>
            </w:r>
          </w:p>
        </w:tc>
        <w:tc>
          <w:tcPr>
            <w:tcW w:w="10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E87BE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5D502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2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52F0CB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127</w:t>
            </w:r>
          </w:p>
        </w:tc>
        <w:tc>
          <w:tcPr>
            <w:tcW w:w="391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DB918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生鲜乳收购站取得生鲜乳收购许可证后，不再符合许可条件继续从事生鲜乳收购的处罚</w:t>
            </w:r>
          </w:p>
        </w:tc>
        <w:tc>
          <w:tcPr>
            <w:tcW w:w="75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EA9A8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F6000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乳品质量安全监督管理条例》第60条第2款有下列情形之一的，由县级以上地方人民政府畜牧兽医主管部门没收违法所得、违法收购的生鲜乳和相关的设备、设施等物品，并处违法乳品货值金额5倍以上10倍以下罚款；有许可证照的，由发证机关吊销许可证照：（二）生鲜乳收购站取得生鲜乳收购许可证后，不再符合许可条件继续从事生鲜乳收购的；</w:t>
            </w:r>
          </w:p>
        </w:tc>
        <w:tc>
          <w:tcPr>
            <w:tcW w:w="10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1A499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4A269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62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1D9A3C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128</w:t>
            </w:r>
          </w:p>
        </w:tc>
        <w:tc>
          <w:tcPr>
            <w:tcW w:w="391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29BE6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生鲜乳收购站收购国家规定禁止收购的生鲜乳的处罚</w:t>
            </w:r>
          </w:p>
        </w:tc>
        <w:tc>
          <w:tcPr>
            <w:tcW w:w="75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BF833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B6E79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乳品质量安全监督管理条例》第60条第3款有下列情形之一的，由县级以上地方人民政府畜牧兽医主管部门没收违法所得、违法收购的生鲜乳和相关的设备、设施等物品，并处违法乳品货值金额5倍以上10倍以下罚款；有许可证照的，由发证机关吊销许可证照：（三）生鲜乳收购站收购本条例第二十四条规定禁止收购的生鲜乳的。</w:t>
            </w:r>
          </w:p>
        </w:tc>
        <w:tc>
          <w:tcPr>
            <w:tcW w:w="10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2096E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2942F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2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279D2F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129</w:t>
            </w:r>
          </w:p>
        </w:tc>
        <w:tc>
          <w:tcPr>
            <w:tcW w:w="391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BE954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拒绝、阻碍动物防疫监督机构进行重大动物疫情监测的处罚</w:t>
            </w:r>
          </w:p>
        </w:tc>
        <w:tc>
          <w:tcPr>
            <w:tcW w:w="75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A57BE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县动物疫病防控中心</w:t>
            </w:r>
          </w:p>
        </w:tc>
        <w:tc>
          <w:tcPr>
            <w:tcW w:w="738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7A07A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重大动物疫情应急条例》第四十六条违反本条例规定，拒绝、阻碍动物防疫监督机构进行重大动物疫情监测，或者发现动物出现群体发病或者死亡，不向当地动物防疫监督机构报告的，由动物防疫监督机木机构给予警告。并处2000元以上5000元以下的罚款；构成犯罪的，依法追究刑事责任。</w:t>
            </w:r>
          </w:p>
        </w:tc>
        <w:tc>
          <w:tcPr>
            <w:tcW w:w="10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4C777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67AC7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2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3A8CB7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130</w:t>
            </w:r>
          </w:p>
        </w:tc>
        <w:tc>
          <w:tcPr>
            <w:tcW w:w="391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23C83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发现动物出现群体发病或者死亡，不向当地动物防疫监督机构报告的处罚</w:t>
            </w:r>
          </w:p>
        </w:tc>
        <w:tc>
          <w:tcPr>
            <w:tcW w:w="75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613A5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县动物疫病防控中心</w:t>
            </w:r>
          </w:p>
        </w:tc>
        <w:tc>
          <w:tcPr>
            <w:tcW w:w="738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ACE01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重大动物疫情应急条例》第四十六条违反本条例规定，拒绝、阻碍动物防疫监督机构进行重大动物疫情监测，或者发现动物出现群体发病或者死亡，不向当地动物防疫监督机构报告的，由动物防疫监督机木机构给予警告。并处2000元以上5000元以下的罚款；构成犯罪的，依法追究刑事责任。</w:t>
            </w:r>
          </w:p>
        </w:tc>
        <w:tc>
          <w:tcPr>
            <w:tcW w:w="10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8F11C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77DC7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4" w:hRule="atLeast"/>
        </w:trPr>
        <w:tc>
          <w:tcPr>
            <w:tcW w:w="62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739A52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131</w:t>
            </w:r>
          </w:p>
        </w:tc>
        <w:tc>
          <w:tcPr>
            <w:tcW w:w="391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5DEA1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擅自采集重大动物疫病病料的处罚</w:t>
            </w:r>
          </w:p>
        </w:tc>
        <w:tc>
          <w:tcPr>
            <w:tcW w:w="75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F3E6D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县动物疫病防控中心</w:t>
            </w:r>
          </w:p>
        </w:tc>
        <w:tc>
          <w:tcPr>
            <w:tcW w:w="738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C8B6E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重大动物疫情应急条例》第四十七条违反本条例规定，擅自采集重大动物疫病病料，或者在重大动物疫病病原分离时不遵守国家有关生物安全管理规定的，由动物防疫监督机构给予警告，并处5000元以下的罚款；构成犯罪的，依法追究刑事责任。</w:t>
            </w:r>
          </w:p>
        </w:tc>
        <w:tc>
          <w:tcPr>
            <w:tcW w:w="10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16B45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7A54D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52" w:hRule="atLeast"/>
        </w:trPr>
        <w:tc>
          <w:tcPr>
            <w:tcW w:w="62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7E26D9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132</w:t>
            </w:r>
          </w:p>
        </w:tc>
        <w:tc>
          <w:tcPr>
            <w:tcW w:w="391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3378A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经营动物和动物产品的集贸市场不符合动物防疫条件的处罚</w:t>
            </w:r>
          </w:p>
        </w:tc>
        <w:tc>
          <w:tcPr>
            <w:tcW w:w="75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7519A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234AF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《动物防疫条件审查办法》第三十七条  违反本办法第二十四条和第二十五条规定，经营动物和动物产品的集贸市场不符合动物防疫条件的，由动物卫生监督机构责令改正；拒不改正的，由动物卫生监督机构处五千元以上两万元以下的罚款，并通报同级工商行政管理部门依法处理。</w:t>
            </w:r>
          </w:p>
        </w:tc>
        <w:tc>
          <w:tcPr>
            <w:tcW w:w="10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B69E6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39F1A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2" w:hRule="atLeast"/>
        </w:trPr>
        <w:tc>
          <w:tcPr>
            <w:tcW w:w="62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012227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133</w:t>
            </w:r>
          </w:p>
        </w:tc>
        <w:tc>
          <w:tcPr>
            <w:tcW w:w="391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EBBD4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转让、伪造或者变造《动物防疫条件合格证》的处罚</w:t>
            </w:r>
          </w:p>
        </w:tc>
        <w:tc>
          <w:tcPr>
            <w:tcW w:w="75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FA47B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BF830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《动物防疫条件审查办法》第三十八条第一款  违反本办法第三十四条规定，转让、伪造或者变造《动物防疫条件合格证》的，由动物卫生监督机构收缴《动物防疫条件合格证》，处两千元以上一万元以下的罚款。</w:t>
            </w:r>
          </w:p>
        </w:tc>
        <w:tc>
          <w:tcPr>
            <w:tcW w:w="10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F862E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03AA1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40" w:hRule="atLeast"/>
        </w:trPr>
        <w:tc>
          <w:tcPr>
            <w:tcW w:w="62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3DE695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134</w:t>
            </w:r>
          </w:p>
        </w:tc>
        <w:tc>
          <w:tcPr>
            <w:tcW w:w="391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985C7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为从事屠宰、加工、贮存、经营染疫或者病死动物和动物产品者提供场所的处罚</w:t>
            </w:r>
          </w:p>
        </w:tc>
        <w:tc>
          <w:tcPr>
            <w:tcW w:w="75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6CDAA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59178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《河南省实施（中华人民共和国动物防疫法）办法》第三十九条  违反本办法第三十二条规定，为从事屠宰、加工、贮存、经营染疫或者病死动物和动物产品者提供场所的，由动物防疫监督机构没收违法所得，并处违法所得5倍以下的罚款，没有违法所得的，处以二千元以上五千元以下罚款。</w:t>
            </w:r>
          </w:p>
        </w:tc>
        <w:tc>
          <w:tcPr>
            <w:tcW w:w="10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0B471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643D0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875" w:hRule="atLeast"/>
        </w:trPr>
        <w:tc>
          <w:tcPr>
            <w:tcW w:w="62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0C507E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135</w:t>
            </w:r>
          </w:p>
        </w:tc>
        <w:tc>
          <w:tcPr>
            <w:tcW w:w="391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93122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保藏或者提供菌（毒）种或者样本的处罚</w:t>
            </w:r>
          </w:p>
        </w:tc>
        <w:tc>
          <w:tcPr>
            <w:tcW w:w="75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F0477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县桐柏县农业综合行政执法大队</w:t>
            </w:r>
          </w:p>
        </w:tc>
        <w:tc>
          <w:tcPr>
            <w:tcW w:w="738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A67CC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《动物病原微生物菌（毒）种保藏管理办法》第三十二条  违反本办法规定，保藏或者提供菌（毒）种或者样本的，由县级以上地方人民政府兽医主管部门责令其将菌（毒）种或者样本销毁或者送交保藏机构；拒不销毁或者送交的，对单位处一万元以上三万元以下罚款，对个人处五百元以上一千元以下罚款。</w:t>
            </w:r>
          </w:p>
        </w:tc>
        <w:tc>
          <w:tcPr>
            <w:tcW w:w="10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37D38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6D8C2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10" w:hRule="atLeast"/>
        </w:trPr>
        <w:tc>
          <w:tcPr>
            <w:tcW w:w="62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136462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136</w:t>
            </w:r>
          </w:p>
        </w:tc>
        <w:tc>
          <w:tcPr>
            <w:tcW w:w="391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7B022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未及时向保藏机构提供菌（毒）种或者样本的处罚</w:t>
            </w:r>
          </w:p>
        </w:tc>
        <w:tc>
          <w:tcPr>
            <w:tcW w:w="75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69FBB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县桐柏县农业综合行政执法大队</w:t>
            </w:r>
          </w:p>
        </w:tc>
        <w:tc>
          <w:tcPr>
            <w:tcW w:w="738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B6C92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《动物病原微生物菌（毒）种保藏管理办法》第三十三条  违反本办法规定，未及时向保藏机构提供菌（毒）种或者样本的，由县级以上地方人民政府兽医主管部门责令改正；拒不改正的，对单位处一万元以上三万元以下罚款，对个人处五百元以上一千元以下罚款。</w:t>
            </w:r>
          </w:p>
        </w:tc>
        <w:tc>
          <w:tcPr>
            <w:tcW w:w="10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4DE28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208A9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15" w:hRule="atLeast"/>
        </w:trPr>
        <w:tc>
          <w:tcPr>
            <w:tcW w:w="62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17D4C8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137</w:t>
            </w:r>
          </w:p>
        </w:tc>
        <w:tc>
          <w:tcPr>
            <w:tcW w:w="391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A7079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未经批准，擅自从国外引进或者向国外提供菌（毒）种或者样本的处罚</w:t>
            </w:r>
          </w:p>
        </w:tc>
        <w:tc>
          <w:tcPr>
            <w:tcW w:w="75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80965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8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DD62B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《动物病原微生物菌（毒）种保藏管理办法》第三十四条  违反本办法规定，未经农业部批准，从国外引进或者向国外提供菌（毒）种或者样本的，由县级以上地方人民政府兽医主管部门责令其将菌（毒）种或者者样本销毁或者送交保藏机构，并对单位处一万元以上三万元以下罚款，对个人处五百元以上一千元以下罚款。</w:t>
            </w:r>
          </w:p>
        </w:tc>
        <w:tc>
          <w:tcPr>
            <w:tcW w:w="10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54328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1AA11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2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6DE08F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138</w:t>
            </w:r>
          </w:p>
        </w:tc>
        <w:tc>
          <w:tcPr>
            <w:tcW w:w="391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95741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未按照规定的品种、品系、代别和利用年限生产经营种畜禽的处罚</w:t>
            </w:r>
          </w:p>
        </w:tc>
        <w:tc>
          <w:tcPr>
            <w:tcW w:w="75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A4CB5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18"/>
                <w:szCs w:val="18"/>
                <w:bdr w:val="none" w:color="auto" w:sz="0" w:space="0"/>
              </w:rPr>
              <w:t>桐柏县农业综合行政执法大队</w:t>
            </w:r>
          </w:p>
        </w:tc>
        <w:tc>
          <w:tcPr>
            <w:tcW w:w="738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7D9AF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18"/>
                <w:szCs w:val="18"/>
                <w:bdr w:val="none" w:color="auto" w:sz="0" w:space="0"/>
              </w:rPr>
              <w:t>种畜禽管理条例(国务院令第153号2011年修正) 第二十三条  有下列行为之一的，由畜牧行政主管部门责令改正，可以没收违法所得，并可以处以违法所得二倍以下的罚款：（二）未按照规定的品种、品系、代别和利用年限生产经营种畜禽的；</w:t>
            </w:r>
          </w:p>
          <w:p w14:paraId="32E67E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18"/>
                <w:szCs w:val="18"/>
                <w:bdr w:val="none" w:color="auto" w:sz="0" w:space="0"/>
              </w:rPr>
              <w:t>有前款第（二）项、第（四）项行为之一，情节严重的，可以吊销《种畜禽生产经营许可证。</w:t>
            </w:r>
          </w:p>
        </w:tc>
        <w:tc>
          <w:tcPr>
            <w:tcW w:w="102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EBE25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bl>
    <w:p w14:paraId="108DC13C">
      <w:pPr>
        <w:pStyle w:val="3"/>
        <w:keepNext w:val="0"/>
        <w:keepLines w:val="0"/>
        <w:widowControl/>
        <w:suppressLineNumbers w:val="0"/>
        <w:spacing w:before="0" w:beforeAutospacing="0" w:after="0" w:afterAutospacing="0" w:line="280" w:lineRule="atLeast"/>
        <w:ind w:left="0" w:right="0" w:firstLine="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21"/>
          <w:szCs w:val="21"/>
        </w:rPr>
        <w:t> </w:t>
      </w:r>
    </w:p>
    <w:p w14:paraId="2756FEFA">
      <w:pPr>
        <w:pStyle w:val="3"/>
        <w:keepNext w:val="0"/>
        <w:keepLines w:val="0"/>
        <w:widowControl/>
        <w:suppressLineNumbers w:val="0"/>
        <w:spacing w:before="0" w:beforeAutospacing="0" w:after="0" w:afterAutospacing="0" w:line="280" w:lineRule="atLeast"/>
        <w:ind w:left="0" w:right="0" w:firstLine="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21"/>
          <w:szCs w:val="21"/>
        </w:rPr>
        <w:t> </w:t>
      </w:r>
    </w:p>
    <w:p w14:paraId="605AB276">
      <w:pPr>
        <w:pStyle w:val="3"/>
        <w:keepNext w:val="0"/>
        <w:keepLines w:val="0"/>
        <w:widowControl/>
        <w:suppressLineNumbers w:val="0"/>
        <w:spacing w:before="0" w:beforeAutospacing="0" w:after="0" w:afterAutospacing="0" w:line="280" w:lineRule="atLeast"/>
        <w:ind w:left="0" w:right="0" w:firstLine="0"/>
        <w:jc w:val="both"/>
        <w:rPr>
          <w:rFonts w:hint="default" w:ascii="Times New Roman" w:hAnsi="Times New Roman" w:cs="Times New Roman"/>
          <w:i w:val="0"/>
          <w:iCs w:val="0"/>
          <w:caps w:val="0"/>
          <w:color w:val="000000"/>
          <w:spacing w:val="0"/>
          <w:sz w:val="21"/>
          <w:szCs w:val="21"/>
        </w:rPr>
      </w:pPr>
      <w:r>
        <w:rPr>
          <w:rFonts w:hint="eastAsia" w:ascii="仿宋" w:hAnsi="仿宋" w:eastAsia="仿宋" w:cs="仿宋"/>
          <w:i w:val="0"/>
          <w:iCs w:val="0"/>
          <w:caps w:val="0"/>
          <w:color w:val="000000"/>
          <w:spacing w:val="0"/>
          <w:sz w:val="21"/>
          <w:szCs w:val="21"/>
        </w:rPr>
        <w:t> </w:t>
      </w:r>
    </w:p>
    <w:tbl>
      <w:tblPr>
        <w:tblW w:w="0" w:type="auto"/>
        <w:tblInd w:w="1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66"/>
        <w:gridCol w:w="2389"/>
        <w:gridCol w:w="505"/>
        <w:gridCol w:w="4257"/>
        <w:gridCol w:w="618"/>
      </w:tblGrid>
      <w:tr w14:paraId="51D70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05" w:hRule="atLeast"/>
        </w:trPr>
        <w:tc>
          <w:tcPr>
            <w:tcW w:w="579" w:type="dxa"/>
            <w:tcBorders>
              <w:top w:val="single" w:color="000000" w:sz="8" w:space="0"/>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14:paraId="0DA3F2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139</w:t>
            </w:r>
          </w:p>
        </w:tc>
        <w:tc>
          <w:tcPr>
            <w:tcW w:w="3988" w:type="dxa"/>
            <w:tcBorders>
              <w:top w:val="single" w:color="auto" w:sz="8" w:space="0"/>
              <w:left w:val="nil"/>
              <w:bottom w:val="single" w:color="auto" w:sz="8" w:space="0"/>
              <w:right w:val="single" w:color="auto" w:sz="8" w:space="0"/>
            </w:tcBorders>
            <w:shd w:val="clear"/>
            <w:tcMar>
              <w:top w:w="15" w:type="dxa"/>
              <w:left w:w="15" w:type="dxa"/>
              <w:bottom w:w="15" w:type="dxa"/>
              <w:right w:w="15" w:type="dxa"/>
            </w:tcMar>
            <w:vAlign w:val="center"/>
          </w:tcPr>
          <w:p w14:paraId="0B5D96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未取得维修技术合格证书或者使用伪造、变造、过期的维修技术合格证书从事维修经营的处罚</w:t>
            </w:r>
          </w:p>
          <w:p w14:paraId="4E6AA3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 </w:t>
            </w:r>
          </w:p>
        </w:tc>
        <w:tc>
          <w:tcPr>
            <w:tcW w:w="759" w:type="dxa"/>
            <w:tcBorders>
              <w:top w:val="single" w:color="auto" w:sz="8" w:space="0"/>
              <w:left w:val="nil"/>
              <w:bottom w:val="single" w:color="auto" w:sz="8" w:space="0"/>
              <w:right w:val="single" w:color="auto" w:sz="8" w:space="0"/>
            </w:tcBorders>
            <w:shd w:val="clear"/>
            <w:tcMar>
              <w:top w:w="15" w:type="dxa"/>
              <w:left w:w="15" w:type="dxa"/>
              <w:bottom w:w="15" w:type="dxa"/>
              <w:right w:w="15" w:type="dxa"/>
            </w:tcMar>
            <w:vAlign w:val="center"/>
          </w:tcPr>
          <w:p w14:paraId="73B4C5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91" w:type="dxa"/>
            <w:tcBorders>
              <w:top w:val="single" w:color="auto" w:sz="8" w:space="0"/>
              <w:left w:val="nil"/>
              <w:bottom w:val="single" w:color="auto" w:sz="8" w:space="0"/>
              <w:right w:val="single" w:color="auto" w:sz="8" w:space="0"/>
            </w:tcBorders>
            <w:shd w:val="clear"/>
            <w:tcMar>
              <w:top w:w="15" w:type="dxa"/>
              <w:left w:w="15" w:type="dxa"/>
              <w:bottom w:w="15" w:type="dxa"/>
              <w:right w:w="15" w:type="dxa"/>
            </w:tcMar>
            <w:vAlign w:val="top"/>
          </w:tcPr>
          <w:p w14:paraId="02E3A1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18"/>
                <w:szCs w:val="18"/>
                <w:bdr w:val="none" w:color="auto" w:sz="0" w:space="0"/>
              </w:rPr>
              <w:t>（1）《农业机械安全监督管理条例》第四十八条：“未取得维修技术合格证书或者使用伪造、变造、过期的维修技术合格证书从事维修经营的，由县级以上地方人民政府农业机械化主管部门收缴伪造、变造、过期的维修技术合格证书，限期补办有关手续，没收违法所得，并处违法经营额1倍以上2倍以下罚款；逾期不补办的，处违法经营额2倍以上5倍以下罚款，并通知工商行政管理部门依法处理。”（2）《农业机械维修管理规定》第二十四条：“违反本规定，未取得《农业机械维修技术合格证》从事维修业务的，由农业机械化主管部门责令限期改正；逾期拒不改正的，或者使用伪造、变造的《农业机械维修技术合格证》的，处1000元以下罚款，并于5日内通知工商行政管理部门依法处理。”（3）《河南省农业机械安全管理规定》第二十六条“违反本规定，擅自开办拖拉机、联合收割机驾驶培训学校、驾驶培训班，未取得《农业机械维修技术合格证》从事农业机械维修业务的，由县级以上农业机械主管部门责令改正，并处以500元以上2000元以下的罚款”</w:t>
            </w:r>
          </w:p>
        </w:tc>
        <w:tc>
          <w:tcPr>
            <w:tcW w:w="967" w:type="dxa"/>
            <w:tcBorders>
              <w:top w:val="single" w:color="auto" w:sz="8" w:space="0"/>
              <w:left w:val="nil"/>
              <w:bottom w:val="single" w:color="auto" w:sz="8" w:space="0"/>
              <w:right w:val="single" w:color="auto" w:sz="8" w:space="0"/>
            </w:tcBorders>
            <w:shd w:val="clear"/>
            <w:tcMar>
              <w:top w:w="15" w:type="dxa"/>
              <w:left w:w="15" w:type="dxa"/>
              <w:bottom w:w="15" w:type="dxa"/>
              <w:right w:w="15" w:type="dxa"/>
            </w:tcMar>
            <w:vAlign w:val="center"/>
          </w:tcPr>
          <w:p w14:paraId="7BC38A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保留</w:t>
            </w:r>
          </w:p>
        </w:tc>
      </w:tr>
      <w:tr w14:paraId="6B341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79"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13F8AA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140</w:t>
            </w:r>
          </w:p>
        </w:tc>
        <w:tc>
          <w:tcPr>
            <w:tcW w:w="3988"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EADE0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农业机械维修经营者使用不符合农业机械安全技术标准的配件维修农业机械，或者拼装、改装农业机械整机，或者承揽维修已经达到报废条件的农业机械的处罚</w:t>
            </w:r>
          </w:p>
        </w:tc>
        <w:tc>
          <w:tcPr>
            <w:tcW w:w="75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132CE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91" w:type="dxa"/>
            <w:tcBorders>
              <w:top w:val="nil"/>
              <w:left w:val="nil"/>
              <w:bottom w:val="single" w:color="auto" w:sz="8" w:space="0"/>
              <w:right w:val="single" w:color="auto" w:sz="8" w:space="0"/>
            </w:tcBorders>
            <w:shd w:val="clear"/>
            <w:tcMar>
              <w:top w:w="15" w:type="dxa"/>
              <w:left w:w="15" w:type="dxa"/>
              <w:bottom w:w="15" w:type="dxa"/>
              <w:right w:w="15" w:type="dxa"/>
            </w:tcMar>
            <w:vAlign w:val="top"/>
          </w:tcPr>
          <w:p w14:paraId="3D955C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 （1）《农业机械安全监督管理条例》第四十九条：“农业机械维修经营者使用不符合农业机械安全技术标准的配件维修农业机械，或者拼装、改装农业机械整机，或者承揽维修已经达到报废条件的农业机械的，由县级以上地方人民政府农业机械化主管部门责令改正，没收违法所得，并处违法经营额1倍以上2倍以下罚款拒不改正的，处违法经营额2倍以上5倍以下罚款；情节严重的，吊销维修技术合格证。”</w:t>
            </w:r>
          </w:p>
          <w:p w14:paraId="3F50E0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2）《农业机械维修管理规定》第十三条第二款：“禁止农业机械维修者和维修配件销售者从事下列活动：（一）销售不符合国家技术规范强制性要求的农业机械维修配件；（二）使用不符合国家技术规范强制性要求的维修配件维修农业机械；（三）以次充好、以旧充新，或者作引人误解的虚假宣传；（四）利用维修零配件和报废机具的部件拼装农业机械整机；（五）承揽已报废农业机械维修业务。”，第二十七条：“违反本规定第十三条第二款第一、三、四项的，由工商行政管理部门依法处理；违反本规定第十三条第二款第二、五项的，由农业机械化主管部门处500元以上1000元以下罚款。”</w:t>
            </w:r>
          </w:p>
        </w:tc>
        <w:tc>
          <w:tcPr>
            <w:tcW w:w="967"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D6D87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保留</w:t>
            </w:r>
          </w:p>
        </w:tc>
      </w:tr>
      <w:tr w14:paraId="04FBE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73" w:hRule="atLeast"/>
        </w:trPr>
        <w:tc>
          <w:tcPr>
            <w:tcW w:w="579"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3B5A09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141</w:t>
            </w:r>
          </w:p>
        </w:tc>
        <w:tc>
          <w:tcPr>
            <w:tcW w:w="3988"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4620A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 农业机械维修经营者超越范围承揽无技术能力保障的维修项目的处罚</w:t>
            </w:r>
          </w:p>
          <w:p w14:paraId="418D01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 </w:t>
            </w:r>
          </w:p>
        </w:tc>
        <w:tc>
          <w:tcPr>
            <w:tcW w:w="75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B58C1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91" w:type="dxa"/>
            <w:tcBorders>
              <w:top w:val="nil"/>
              <w:left w:val="nil"/>
              <w:bottom w:val="single" w:color="auto" w:sz="8" w:space="0"/>
              <w:right w:val="single" w:color="auto" w:sz="8" w:space="0"/>
            </w:tcBorders>
            <w:shd w:val="clear"/>
            <w:tcMar>
              <w:top w:w="15" w:type="dxa"/>
              <w:left w:w="15" w:type="dxa"/>
              <w:bottom w:w="15" w:type="dxa"/>
              <w:right w:w="15" w:type="dxa"/>
            </w:tcMar>
            <w:vAlign w:val="top"/>
          </w:tcPr>
          <w:p w14:paraId="46FE7C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 </w:t>
            </w:r>
          </w:p>
          <w:p w14:paraId="322B32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 </w:t>
            </w:r>
          </w:p>
          <w:p w14:paraId="4BE610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 </w:t>
            </w:r>
          </w:p>
          <w:p w14:paraId="524F8D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《农业机械维修管理规定》第二十六条：“违反本规定，超越范围承揽无技术能力保障的维修项目的，由农业机械化主管部门处200元以上500元以下罚款。”</w:t>
            </w:r>
          </w:p>
          <w:p w14:paraId="6290D9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 </w:t>
            </w:r>
          </w:p>
        </w:tc>
        <w:tc>
          <w:tcPr>
            <w:tcW w:w="967"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D376A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 </w:t>
            </w:r>
          </w:p>
          <w:p w14:paraId="476E48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保留</w:t>
            </w:r>
          </w:p>
        </w:tc>
      </w:tr>
      <w:tr w14:paraId="7DEC0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579"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7AB49E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142</w:t>
            </w:r>
          </w:p>
        </w:tc>
        <w:tc>
          <w:tcPr>
            <w:tcW w:w="3988"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088B1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农业机械维修者未在经营场所的醒目位置悬挂统一的《农业机械维修技术合格证》、未按规定填写维修记录和报送年度维修情况统计表的处罚</w:t>
            </w:r>
          </w:p>
        </w:tc>
        <w:tc>
          <w:tcPr>
            <w:tcW w:w="75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EDEE1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91" w:type="dxa"/>
            <w:tcBorders>
              <w:top w:val="nil"/>
              <w:left w:val="nil"/>
              <w:bottom w:val="single" w:color="auto" w:sz="8" w:space="0"/>
              <w:right w:val="single" w:color="auto" w:sz="8" w:space="0"/>
            </w:tcBorders>
            <w:shd w:val="clear"/>
            <w:tcMar>
              <w:top w:w="15" w:type="dxa"/>
              <w:left w:w="15" w:type="dxa"/>
              <w:bottom w:w="15" w:type="dxa"/>
              <w:right w:w="15" w:type="dxa"/>
            </w:tcMar>
            <w:vAlign w:val="top"/>
          </w:tcPr>
          <w:p w14:paraId="373B20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农业机械维修管理规定》第二十八条：“违反本规定，有下列行为之一的，由农业机械化主管部门给予警告，限期改正；逾期拒不改正的，处100元以下罚款：（一）农业机械维修者未在经营场所的醒目位置悬挂统一的《农业机械维修技术合格证》的；（二）农业机械维修者未按规定填写维修记录和报送年度维修情况统计表的。”</w:t>
            </w:r>
          </w:p>
        </w:tc>
        <w:tc>
          <w:tcPr>
            <w:tcW w:w="967"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87F70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保留</w:t>
            </w:r>
          </w:p>
        </w:tc>
      </w:tr>
      <w:tr w14:paraId="43D20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17" w:hRule="atLeast"/>
        </w:trPr>
        <w:tc>
          <w:tcPr>
            <w:tcW w:w="579"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6FB840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143</w:t>
            </w:r>
          </w:p>
        </w:tc>
        <w:tc>
          <w:tcPr>
            <w:tcW w:w="3988"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56369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 跨区作业中介服务组织不配备相应的服务设施和技术人员，没有兑现服务承诺，只收费不服务或者多收费少服务的处罚</w:t>
            </w:r>
          </w:p>
        </w:tc>
        <w:tc>
          <w:tcPr>
            <w:tcW w:w="75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F0498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91" w:type="dxa"/>
            <w:tcBorders>
              <w:top w:val="nil"/>
              <w:left w:val="nil"/>
              <w:bottom w:val="single" w:color="auto" w:sz="8" w:space="0"/>
              <w:right w:val="single" w:color="auto" w:sz="8" w:space="0"/>
            </w:tcBorders>
            <w:shd w:val="clear"/>
            <w:tcMar>
              <w:top w:w="15" w:type="dxa"/>
              <w:left w:w="15" w:type="dxa"/>
              <w:bottom w:w="15" w:type="dxa"/>
              <w:right w:w="15" w:type="dxa"/>
            </w:tcMar>
            <w:vAlign w:val="top"/>
          </w:tcPr>
          <w:p w14:paraId="30DD41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 《联合收割机跨区作业管理办法》第二十九条：“跨区作业中介服务组织不配备相应的服务设施和技术人员，没有兑现服务承诺，只收费不服务或者多收费少服务的，由县级以上农机管理部门给予警告，责令退还服务费，可并处500元以上1000元以下的罚款；违反有关收费标准的，由县级以上农机管理部门配合价格主管部门依法查处。</w:t>
            </w:r>
          </w:p>
        </w:tc>
        <w:tc>
          <w:tcPr>
            <w:tcW w:w="967"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E609B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保留</w:t>
            </w:r>
          </w:p>
        </w:tc>
      </w:tr>
      <w:tr w14:paraId="7E57F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75" w:hRule="atLeast"/>
        </w:trPr>
        <w:tc>
          <w:tcPr>
            <w:tcW w:w="579"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30287B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144</w:t>
            </w:r>
          </w:p>
        </w:tc>
        <w:tc>
          <w:tcPr>
            <w:tcW w:w="3988"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642C9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 持假冒《作业证》或扰乱跨区作业秩序的处罚</w:t>
            </w:r>
          </w:p>
          <w:p w14:paraId="49605E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 </w:t>
            </w:r>
          </w:p>
        </w:tc>
        <w:tc>
          <w:tcPr>
            <w:tcW w:w="75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418A1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91" w:type="dxa"/>
            <w:tcBorders>
              <w:top w:val="nil"/>
              <w:left w:val="nil"/>
              <w:bottom w:val="single" w:color="auto" w:sz="8" w:space="0"/>
              <w:right w:val="single" w:color="auto" w:sz="8" w:space="0"/>
            </w:tcBorders>
            <w:shd w:val="clear"/>
            <w:tcMar>
              <w:top w:w="15" w:type="dxa"/>
              <w:left w:w="15" w:type="dxa"/>
              <w:bottom w:w="15" w:type="dxa"/>
              <w:right w:w="15" w:type="dxa"/>
            </w:tcMar>
            <w:vAlign w:val="top"/>
          </w:tcPr>
          <w:p w14:paraId="119802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《联合收割机跨区作业管理办法》第三十一条：“  违反本办法第十四条、第十五条规定，持假冒《作业证》或扰乱跨区作业秩序的，由县级以上农机管理部门责令停止违法行为，纳入当地农机管理部门统一管理，可并处50元以上100元以下的罚款；情节严重的，可并处100元以上200元以下的罚款”.</w:t>
            </w:r>
          </w:p>
        </w:tc>
        <w:tc>
          <w:tcPr>
            <w:tcW w:w="967"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61EC3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保留</w:t>
            </w:r>
          </w:p>
        </w:tc>
      </w:tr>
      <w:tr w14:paraId="7DA83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900" w:hRule="atLeast"/>
        </w:trPr>
        <w:tc>
          <w:tcPr>
            <w:tcW w:w="579"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390032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145</w:t>
            </w:r>
          </w:p>
        </w:tc>
        <w:tc>
          <w:tcPr>
            <w:tcW w:w="3988"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F2CE0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   未取得培训许可擅自从事拖拉机驾驶培训业务的处罚</w:t>
            </w:r>
          </w:p>
          <w:p w14:paraId="1429B3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 </w:t>
            </w:r>
          </w:p>
        </w:tc>
        <w:tc>
          <w:tcPr>
            <w:tcW w:w="75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EC672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91" w:type="dxa"/>
            <w:tcBorders>
              <w:top w:val="nil"/>
              <w:left w:val="nil"/>
              <w:bottom w:val="single" w:color="auto" w:sz="8" w:space="0"/>
              <w:right w:val="single" w:color="auto" w:sz="8" w:space="0"/>
            </w:tcBorders>
            <w:shd w:val="clear"/>
            <w:tcMar>
              <w:top w:w="15" w:type="dxa"/>
              <w:left w:w="15" w:type="dxa"/>
              <w:bottom w:w="15" w:type="dxa"/>
              <w:right w:w="15" w:type="dxa"/>
            </w:tcMar>
            <w:vAlign w:val="top"/>
          </w:tcPr>
          <w:p w14:paraId="3F7C57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 1、《拖拉机驾驶培训管理办法》第二十五条：“对违反本规定的单位和个人，由县级以上地方人民政府农机主管部门按以下规定处罚：(一)未取得培训许可擅自从事拖拉机驾驶培训业务的，责令停办，有违法所得的，处违法所得三倍以下罚款，但最高不超过三万元；无违法所得的，处一万元以下罚款；(二)未按统一的教学计划、教学大纲和规定教材进行培训的，责令改正，处二千元以下罚款；(三)聘用未经省级人民政府农机主管部门考核合格的人员从事拖拉机驾驶员培训教学工作的，责令改正，处五千元以下罚款”。</w:t>
            </w:r>
          </w:p>
          <w:p w14:paraId="13312E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2、《河南省农业机械安全管理规定》第二十六条“违反本规定，擅自开办拖拉机、联合收割机驾驶培训学校、驾驶培训班，未取得《农业机械维修技术合格证》从事农业机械维修业务的，由县级以上农业机械主管部门责令改正，并处以500元以上2000元以下的罚款。</w:t>
            </w:r>
          </w:p>
        </w:tc>
        <w:tc>
          <w:tcPr>
            <w:tcW w:w="967"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559A1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保留</w:t>
            </w:r>
          </w:p>
        </w:tc>
      </w:tr>
      <w:tr w14:paraId="6045A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75" w:hRule="atLeast"/>
        </w:trPr>
        <w:tc>
          <w:tcPr>
            <w:tcW w:w="579"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2412D0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146</w:t>
            </w:r>
          </w:p>
        </w:tc>
        <w:tc>
          <w:tcPr>
            <w:tcW w:w="3988"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D917A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 未按统一的教学计划、教学大纲和规定教材进行培训的处罚</w:t>
            </w:r>
          </w:p>
          <w:p w14:paraId="7F2333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 </w:t>
            </w:r>
          </w:p>
        </w:tc>
        <w:tc>
          <w:tcPr>
            <w:tcW w:w="75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4B8BC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91" w:type="dxa"/>
            <w:tcBorders>
              <w:top w:val="nil"/>
              <w:left w:val="nil"/>
              <w:bottom w:val="single" w:color="auto" w:sz="8" w:space="0"/>
              <w:right w:val="single" w:color="auto" w:sz="8" w:space="0"/>
            </w:tcBorders>
            <w:shd w:val="clear"/>
            <w:tcMar>
              <w:top w:w="15" w:type="dxa"/>
              <w:left w:w="15" w:type="dxa"/>
              <w:bottom w:w="15" w:type="dxa"/>
              <w:right w:w="15" w:type="dxa"/>
            </w:tcMar>
            <w:vAlign w:val="top"/>
          </w:tcPr>
          <w:p w14:paraId="756CC9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 1、《拖拉机驾驶培训管理办法》第二十五条：“对违反本规定的单位和个人，由县级以上地方人民政府农机主管部门按以下规定处罚：(一)未取得培训许可擅自从事拖拉机驾驶培训业务的，责令停办，有违法所得的，处违法所得三倍以下罚款，但最高不超过三万元；无违法所得的，处一万元以下罚款；(二)未按统一的教学计划、教学大纲和规定教材进行培训的，责令改正，处二千元以下罚款；(三)聘用未经省级人民政府农机主管部门考核合格的人员从事拖拉机驾驶员培训教学工作的，责令改正，处五千元以下罚款”；</w:t>
            </w:r>
          </w:p>
        </w:tc>
        <w:tc>
          <w:tcPr>
            <w:tcW w:w="967"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92BA0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保留</w:t>
            </w:r>
          </w:p>
        </w:tc>
      </w:tr>
      <w:tr w14:paraId="65FAF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579"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4B53C8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147</w:t>
            </w:r>
          </w:p>
        </w:tc>
        <w:tc>
          <w:tcPr>
            <w:tcW w:w="3988"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618C6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 聘用未经省级人民政府农机主管部门考核合格的人员从事拖拉机驾驶员培训教学工作的处罚</w:t>
            </w:r>
          </w:p>
          <w:p w14:paraId="4D471B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 </w:t>
            </w:r>
          </w:p>
        </w:tc>
        <w:tc>
          <w:tcPr>
            <w:tcW w:w="75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99960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91" w:type="dxa"/>
            <w:tcBorders>
              <w:top w:val="nil"/>
              <w:left w:val="nil"/>
              <w:bottom w:val="single" w:color="auto" w:sz="8" w:space="0"/>
              <w:right w:val="single" w:color="auto" w:sz="8" w:space="0"/>
            </w:tcBorders>
            <w:shd w:val="clear"/>
            <w:tcMar>
              <w:top w:w="15" w:type="dxa"/>
              <w:left w:w="15" w:type="dxa"/>
              <w:bottom w:w="15" w:type="dxa"/>
              <w:right w:w="15" w:type="dxa"/>
            </w:tcMar>
            <w:vAlign w:val="top"/>
          </w:tcPr>
          <w:p w14:paraId="16AB39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1、《拖拉机驾驶培训管理办法》第二十五条：“对违反本规定的单位和个人，由县级以上地方人民政府农机主管部门按以下规定处罚：(一)未取得培训许可擅自从事拖拉机驾驶培训业务的，责令停办，有违法所得的，处违法所得三倍以下罚款，但最高不超过三万元；无违法所得的，处一万元以下罚款；(二)未按统一的教学计划、教学大纲和规定教材进行培训的，责令改正，处二千元以下罚款；(三)聘用未经省级人民政府农机主管部门考核合格的人员从事拖拉机驾驶员培训教学工作的，责令改正，处五千元以下罚款”；</w:t>
            </w:r>
          </w:p>
        </w:tc>
        <w:tc>
          <w:tcPr>
            <w:tcW w:w="967"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6624D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保留</w:t>
            </w:r>
          </w:p>
        </w:tc>
      </w:tr>
      <w:tr w14:paraId="733CA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90" w:hRule="atLeast"/>
        </w:trPr>
        <w:tc>
          <w:tcPr>
            <w:tcW w:w="579"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6B9163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148</w:t>
            </w:r>
          </w:p>
        </w:tc>
        <w:tc>
          <w:tcPr>
            <w:tcW w:w="3988"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D4401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412"/>
              <w:jc w:val="left"/>
              <w:textAlignment w:val="baseline"/>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vertAlign w:val="baseline"/>
              </w:rPr>
              <w:t>未按照规定办理登记手续并取得相应的证书和牌照，擅自将拖拉机、联合收割机投入使用，或者未按照规定办理变更登记手续的处罚</w:t>
            </w:r>
          </w:p>
        </w:tc>
        <w:tc>
          <w:tcPr>
            <w:tcW w:w="75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9CF82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91" w:type="dxa"/>
            <w:tcBorders>
              <w:top w:val="nil"/>
              <w:left w:val="nil"/>
              <w:bottom w:val="single" w:color="auto" w:sz="8" w:space="0"/>
              <w:right w:val="single" w:color="auto" w:sz="8" w:space="0"/>
            </w:tcBorders>
            <w:shd w:val="clear"/>
            <w:tcMar>
              <w:top w:w="15" w:type="dxa"/>
              <w:left w:w="15" w:type="dxa"/>
              <w:bottom w:w="15" w:type="dxa"/>
              <w:right w:w="15" w:type="dxa"/>
            </w:tcMar>
            <w:vAlign w:val="top"/>
          </w:tcPr>
          <w:p w14:paraId="4BAA0F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农业机械安全监督管理条例》第五十条：“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当事人补办相关手续的，应当及时退还扣押的拖拉机、联合收割机”。</w:t>
            </w:r>
          </w:p>
        </w:tc>
        <w:tc>
          <w:tcPr>
            <w:tcW w:w="967"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320AB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保留</w:t>
            </w:r>
          </w:p>
        </w:tc>
      </w:tr>
      <w:tr w14:paraId="2E704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845" w:hRule="atLeast"/>
        </w:trPr>
        <w:tc>
          <w:tcPr>
            <w:tcW w:w="579"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34CBA6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149</w:t>
            </w:r>
          </w:p>
        </w:tc>
        <w:tc>
          <w:tcPr>
            <w:tcW w:w="3988"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D3EEC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伪造、变造或者使用伪造、变造的拖拉机、联合收割机证书和牌照的，或者使用其他拖拉机、联合收割机的证书和牌照的处罚</w:t>
            </w:r>
          </w:p>
        </w:tc>
        <w:tc>
          <w:tcPr>
            <w:tcW w:w="75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ECD1E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91" w:type="dxa"/>
            <w:tcBorders>
              <w:top w:val="nil"/>
              <w:left w:val="nil"/>
              <w:bottom w:val="single" w:color="auto" w:sz="8" w:space="0"/>
              <w:right w:val="single" w:color="auto" w:sz="8" w:space="0"/>
            </w:tcBorders>
            <w:shd w:val="clear"/>
            <w:tcMar>
              <w:top w:w="15" w:type="dxa"/>
              <w:left w:w="15" w:type="dxa"/>
              <w:bottom w:w="15" w:type="dxa"/>
              <w:right w:w="15" w:type="dxa"/>
            </w:tcMar>
            <w:vAlign w:val="top"/>
          </w:tcPr>
          <w:p w14:paraId="52FD38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农业机械安全监督管理条例》第五十一条：“伪造、变造或者使用伪造、变造的拖拉机、联合收割机证书和牌照的，或者使用其他拖拉机、联合收割机的证书和牌照的，由县级以上地方人民政府农业机械化主管部门收缴伪造、变造或者使用的证书和牌照，对违法行为人予以批评教育，并处200元以上2000元以下罚款。”</w:t>
            </w:r>
          </w:p>
        </w:tc>
        <w:tc>
          <w:tcPr>
            <w:tcW w:w="967"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F2480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保留</w:t>
            </w:r>
          </w:p>
        </w:tc>
      </w:tr>
      <w:tr w14:paraId="3041C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20" w:hRule="atLeast"/>
        </w:trPr>
        <w:tc>
          <w:tcPr>
            <w:tcW w:w="579"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79409A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150</w:t>
            </w:r>
          </w:p>
        </w:tc>
        <w:tc>
          <w:tcPr>
            <w:tcW w:w="3988"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0FB07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未取得拖拉机、联合收割机操作证件而操作拖拉机、联合收割机的处罚</w:t>
            </w:r>
          </w:p>
          <w:p w14:paraId="2D20D4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 </w:t>
            </w:r>
          </w:p>
        </w:tc>
        <w:tc>
          <w:tcPr>
            <w:tcW w:w="75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6265B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91" w:type="dxa"/>
            <w:tcBorders>
              <w:top w:val="nil"/>
              <w:left w:val="nil"/>
              <w:bottom w:val="single" w:color="auto" w:sz="8" w:space="0"/>
              <w:right w:val="single" w:color="auto" w:sz="8" w:space="0"/>
            </w:tcBorders>
            <w:shd w:val="clear"/>
            <w:tcMar>
              <w:top w:w="15" w:type="dxa"/>
              <w:left w:w="15" w:type="dxa"/>
              <w:bottom w:w="15" w:type="dxa"/>
              <w:right w:w="15" w:type="dxa"/>
            </w:tcMar>
            <w:vAlign w:val="top"/>
          </w:tcPr>
          <w:p w14:paraId="20FBB7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《农业机械安全监督管理条例》第五十二条：“未取得拖拉机、联合收割机操作证件而操作拖拉机、联合收割机的，由县级以上地方人民政府农业机械化主管部门责令改正，处100元以上500元以下罚款”</w:t>
            </w:r>
          </w:p>
        </w:tc>
        <w:tc>
          <w:tcPr>
            <w:tcW w:w="967"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267AF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保留</w:t>
            </w:r>
          </w:p>
        </w:tc>
      </w:tr>
      <w:tr w14:paraId="06CC6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95" w:hRule="atLeast"/>
        </w:trPr>
        <w:tc>
          <w:tcPr>
            <w:tcW w:w="579"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212B54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151</w:t>
            </w:r>
          </w:p>
        </w:tc>
        <w:tc>
          <w:tcPr>
            <w:tcW w:w="3988"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AC4AA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处罚</w:t>
            </w:r>
          </w:p>
        </w:tc>
        <w:tc>
          <w:tcPr>
            <w:tcW w:w="75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6FA87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91" w:type="dxa"/>
            <w:tcBorders>
              <w:top w:val="nil"/>
              <w:left w:val="nil"/>
              <w:bottom w:val="single" w:color="auto" w:sz="8" w:space="0"/>
              <w:right w:val="single" w:color="auto" w:sz="8" w:space="0"/>
            </w:tcBorders>
            <w:shd w:val="clear"/>
            <w:tcMar>
              <w:top w:w="15" w:type="dxa"/>
              <w:left w:w="15" w:type="dxa"/>
              <w:bottom w:w="15" w:type="dxa"/>
              <w:right w:w="15" w:type="dxa"/>
            </w:tcMar>
            <w:vAlign w:val="top"/>
          </w:tcPr>
          <w:p w14:paraId="16877B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农业机械安全监督管理条例》第五十三条：“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由县级以上地方人民政府农业机械化主管部门对违法行为人予以批评教育，责令改正；拒不改正的，处100元以上500元以下罚款；情节严重的，吊销有关人员的操作证件。”</w:t>
            </w:r>
          </w:p>
        </w:tc>
        <w:tc>
          <w:tcPr>
            <w:tcW w:w="967"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5E024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保留</w:t>
            </w:r>
          </w:p>
        </w:tc>
      </w:tr>
      <w:tr w14:paraId="6617F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8" w:hRule="atLeast"/>
        </w:trPr>
        <w:tc>
          <w:tcPr>
            <w:tcW w:w="579"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77E8E7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152</w:t>
            </w:r>
          </w:p>
        </w:tc>
        <w:tc>
          <w:tcPr>
            <w:tcW w:w="3988"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14F0D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不按规定悬挂号牌、喷涂放大的牌号，不按规定参加年度安全技术检验，拖拉机乘坐3人以上工作人员或者违规载客，自走式联合收割机拖带其他农机具、超员、超速、超负荷作业，驾驶拖拉机、联合收割机不随身携带行驶证、驾驶证，转借、涂改拖拉机、联合收割机号牌、行驶证、登记证书、驾驶证，进行易燃作业时无防火装置、器材，拼装或者擅自改变农业机械结构或者特征，使用或者转让报废的农业机械，伪造、变造或者使用伪造、变造的拖拉机、联合收割机登记证书、号牌、行驶证、检验合格标志或者使用其他拖拉机、联合收割机登记证书、号牌、行驶证、检验合格标志，酒后或者患有妨碍安全作业的疾病时驾驶或者操作农业机械，无证驾驶或者驾驶与驾驶证内容不符的拖拉机、联合收割机，驾驶或操作安全设施不全或机件失效的农业机械的处罚</w:t>
            </w:r>
          </w:p>
        </w:tc>
        <w:tc>
          <w:tcPr>
            <w:tcW w:w="75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BFBD0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91" w:type="dxa"/>
            <w:tcBorders>
              <w:top w:val="nil"/>
              <w:left w:val="nil"/>
              <w:bottom w:val="single" w:color="auto" w:sz="8" w:space="0"/>
              <w:right w:val="single" w:color="auto" w:sz="8" w:space="0"/>
            </w:tcBorders>
            <w:shd w:val="clear"/>
            <w:tcMar>
              <w:top w:w="15" w:type="dxa"/>
              <w:left w:w="15" w:type="dxa"/>
              <w:bottom w:w="15" w:type="dxa"/>
              <w:right w:w="15" w:type="dxa"/>
            </w:tcMar>
            <w:vAlign w:val="top"/>
          </w:tcPr>
          <w:p w14:paraId="4CE686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 </w:t>
            </w:r>
          </w:p>
          <w:p w14:paraId="42A35D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河南省农业机械安全管理规定》第二十五条第一款：“违反本规定，具有下列行为之一的，农业机械主管部门应当责令停止违法行为，并处以50元以上200元以下的罚款：（一）不按规定悬挂号牌、喷涂放大的牌号的；（二）不按规定参加年度安全技术检验的；（三）拖拉机乘坐3人以上工作人员或者违规载客的；（四）自走式联合收割机拖带其他农机具，超员、超速、超负荷作业的；（五）驾驶拖拉机、联合收割机不随身携带行驶证、驾驶证，转借、涂改拖拉机、联合收割机号牌、行驶证、登记证书、驾驶证的；（六）进行易燃作业时无防火装置、器材的；（七）拼装或者擅自改变农业机械结构或者特征，使用或者转让报废的农业机械，伪造、变造或者使用伪造、变造的拖拉机、联合收割机登记证书、号牌、行驶证、检验合格标志或者使用其他拖拉机、联合收割机登记证书、号牌、行驶证、检验合格标志的；（八）酒后或者患有妨碍安全作业的疾病时驾驶或者操作农业机械，无证驾驶或者驾驶与驾驶证内容不符的拖拉机、联合收割机，驾驶或操作安全设施不全或机件失效的农业机械的。”</w:t>
            </w:r>
          </w:p>
        </w:tc>
        <w:tc>
          <w:tcPr>
            <w:tcW w:w="967"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9B4A3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保留</w:t>
            </w:r>
          </w:p>
        </w:tc>
      </w:tr>
      <w:tr w14:paraId="3CA78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45" w:hRule="atLeast"/>
        </w:trPr>
        <w:tc>
          <w:tcPr>
            <w:tcW w:w="579"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66ED67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153</w:t>
            </w:r>
          </w:p>
        </w:tc>
        <w:tc>
          <w:tcPr>
            <w:tcW w:w="3988"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4978D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伪造、冒用或使用过期的农业机械推广鉴定证和标志的处罚</w:t>
            </w:r>
          </w:p>
        </w:tc>
        <w:tc>
          <w:tcPr>
            <w:tcW w:w="75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229DA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91" w:type="dxa"/>
            <w:tcBorders>
              <w:top w:val="nil"/>
              <w:left w:val="nil"/>
              <w:bottom w:val="single" w:color="auto" w:sz="8" w:space="0"/>
              <w:right w:val="single" w:color="auto" w:sz="8" w:space="0"/>
            </w:tcBorders>
            <w:shd w:val="clear"/>
            <w:tcMar>
              <w:top w:w="15" w:type="dxa"/>
              <w:left w:w="15" w:type="dxa"/>
              <w:bottom w:w="15" w:type="dxa"/>
              <w:right w:w="15" w:type="dxa"/>
            </w:tcMar>
            <w:vAlign w:val="top"/>
          </w:tcPr>
          <w:p w14:paraId="10E976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　《农业机械试验鉴定办法》第三十二条 伪造、冒用或使用过期的农业机械推广鉴定证书和标志的，由农业机械化行政主管部门责令停止违法行为，有违法所得的，处违法所得二倍以下罚款，但最高不超过三万元；无违法所得的，处一万元以下罚款。</w:t>
            </w:r>
          </w:p>
        </w:tc>
        <w:tc>
          <w:tcPr>
            <w:tcW w:w="967"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3C15E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保留</w:t>
            </w:r>
          </w:p>
        </w:tc>
      </w:tr>
      <w:tr w14:paraId="6A5E0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45" w:hRule="atLeast"/>
        </w:trPr>
        <w:tc>
          <w:tcPr>
            <w:tcW w:w="579"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787763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154</w:t>
            </w:r>
          </w:p>
        </w:tc>
        <w:tc>
          <w:tcPr>
            <w:tcW w:w="3988"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7E8EF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对未按规定取得渔业船舶船员证书的行政处罚</w:t>
            </w:r>
          </w:p>
        </w:tc>
        <w:tc>
          <w:tcPr>
            <w:tcW w:w="75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7ABB8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91" w:type="dxa"/>
            <w:tcBorders>
              <w:top w:val="nil"/>
              <w:left w:val="nil"/>
              <w:bottom w:val="single" w:color="auto" w:sz="8" w:space="0"/>
              <w:right w:val="single" w:color="auto" w:sz="8" w:space="0"/>
            </w:tcBorders>
            <w:shd w:val="clear"/>
            <w:tcMar>
              <w:top w:w="15" w:type="dxa"/>
              <w:left w:w="15" w:type="dxa"/>
              <w:bottom w:w="15" w:type="dxa"/>
              <w:right w:w="15" w:type="dxa"/>
            </w:tcMar>
            <w:vAlign w:val="top"/>
          </w:tcPr>
          <w:p w14:paraId="7C8786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中华人民共和国渔业船员管理办法》（2014年农业部令第4号）第四十条：违反本办法规定，以欺骗、贿赂、等不正当手段取得渔业船员证书的，由渔政渔港监督管理机构撤销有关证书，可并处2000元以上1万元以下罚款，三年内不再受理申请人渔业船员证书申请。</w:t>
            </w:r>
          </w:p>
        </w:tc>
        <w:tc>
          <w:tcPr>
            <w:tcW w:w="967"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73020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保留</w:t>
            </w:r>
          </w:p>
        </w:tc>
      </w:tr>
      <w:tr w14:paraId="7375A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45" w:hRule="atLeast"/>
        </w:trPr>
        <w:tc>
          <w:tcPr>
            <w:tcW w:w="579"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2174E5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155</w:t>
            </w:r>
          </w:p>
        </w:tc>
        <w:tc>
          <w:tcPr>
            <w:tcW w:w="3988"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9D488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对未按规定办理渔业船舶登记证书的行政处罚</w:t>
            </w:r>
          </w:p>
        </w:tc>
        <w:tc>
          <w:tcPr>
            <w:tcW w:w="75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77D4C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91" w:type="dxa"/>
            <w:tcBorders>
              <w:top w:val="nil"/>
              <w:left w:val="nil"/>
              <w:bottom w:val="single" w:color="auto" w:sz="8" w:space="0"/>
              <w:right w:val="single" w:color="auto" w:sz="8" w:space="0"/>
            </w:tcBorders>
            <w:shd w:val="clear"/>
            <w:tcMar>
              <w:top w:w="15" w:type="dxa"/>
              <w:left w:w="15" w:type="dxa"/>
              <w:bottom w:w="15" w:type="dxa"/>
              <w:right w:w="15" w:type="dxa"/>
            </w:tcMar>
            <w:vAlign w:val="top"/>
          </w:tcPr>
          <w:p w14:paraId="46BA62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中华人民共和国渔港水域交通安全管理条例》（1989年7月3日国务院令第38号，2011年1月8日予以修改）第二十二条：违反本条例规定，未持有船舶证书或者为配齐船员的，有渔业渔政渔港监督管理机关责令改正，可以并处罚款。</w:t>
            </w:r>
          </w:p>
        </w:tc>
        <w:tc>
          <w:tcPr>
            <w:tcW w:w="967"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03555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保留</w:t>
            </w:r>
          </w:p>
        </w:tc>
      </w:tr>
      <w:tr w14:paraId="0D3E5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45" w:hRule="atLeast"/>
        </w:trPr>
        <w:tc>
          <w:tcPr>
            <w:tcW w:w="579"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5A1136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156</w:t>
            </w:r>
          </w:p>
        </w:tc>
        <w:tc>
          <w:tcPr>
            <w:tcW w:w="3988"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26A8F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373"/>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对非法进口、出口水产苗种的处罚</w:t>
            </w:r>
          </w:p>
        </w:tc>
        <w:tc>
          <w:tcPr>
            <w:tcW w:w="75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57362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91" w:type="dxa"/>
            <w:tcBorders>
              <w:top w:val="nil"/>
              <w:left w:val="nil"/>
              <w:bottom w:val="single" w:color="auto" w:sz="8" w:space="0"/>
              <w:right w:val="single" w:color="auto" w:sz="8" w:space="0"/>
            </w:tcBorders>
            <w:shd w:val="clear"/>
            <w:tcMar>
              <w:top w:w="15" w:type="dxa"/>
              <w:left w:w="15" w:type="dxa"/>
              <w:bottom w:w="15" w:type="dxa"/>
              <w:right w:w="15" w:type="dxa"/>
            </w:tcMar>
            <w:vAlign w:val="top"/>
          </w:tcPr>
          <w:p w14:paraId="45C6B3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《中华人民共和国渔业法》（2013年12月28日主席令第八号）第四十四条第一款：非法生产、进口、出口水产苗种的，没收苗种和违法所得，并出五万元以下罚款。</w:t>
            </w:r>
          </w:p>
        </w:tc>
        <w:tc>
          <w:tcPr>
            <w:tcW w:w="967"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22404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保留</w:t>
            </w:r>
          </w:p>
        </w:tc>
      </w:tr>
      <w:tr w14:paraId="3BA7A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45" w:hRule="atLeast"/>
        </w:trPr>
        <w:tc>
          <w:tcPr>
            <w:tcW w:w="579"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5C3DAB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157</w:t>
            </w:r>
          </w:p>
        </w:tc>
        <w:tc>
          <w:tcPr>
            <w:tcW w:w="3988"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4BFDA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373"/>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对经营未经审定的水产苗种的监管</w:t>
            </w:r>
          </w:p>
        </w:tc>
        <w:tc>
          <w:tcPr>
            <w:tcW w:w="75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274D6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91" w:type="dxa"/>
            <w:tcBorders>
              <w:top w:val="nil"/>
              <w:left w:val="nil"/>
              <w:bottom w:val="single" w:color="auto" w:sz="8" w:space="0"/>
              <w:right w:val="single" w:color="auto" w:sz="8" w:space="0"/>
            </w:tcBorders>
            <w:shd w:val="clear"/>
            <w:tcMar>
              <w:top w:w="15" w:type="dxa"/>
              <w:left w:w="15" w:type="dxa"/>
              <w:bottom w:w="15" w:type="dxa"/>
              <w:right w:w="15" w:type="dxa"/>
            </w:tcMar>
            <w:vAlign w:val="top"/>
          </w:tcPr>
          <w:p w14:paraId="3ABA9B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《中华人民共和国渔业法》（2013年12月28日主席令第八号）第四十四条第二款，经营未经审定的水产苗种的，责令立即停止经营，没收违法所得，可以并处五万元以下的罚款。</w:t>
            </w:r>
          </w:p>
        </w:tc>
        <w:tc>
          <w:tcPr>
            <w:tcW w:w="967"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2E6A9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保留</w:t>
            </w:r>
          </w:p>
        </w:tc>
      </w:tr>
      <w:tr w14:paraId="1EA37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75" w:hRule="atLeast"/>
        </w:trPr>
        <w:tc>
          <w:tcPr>
            <w:tcW w:w="579"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6F9C05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158</w:t>
            </w:r>
          </w:p>
        </w:tc>
        <w:tc>
          <w:tcPr>
            <w:tcW w:w="3988"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20992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373"/>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对经营未经审定的水产苗种的行为进行行政处罚</w:t>
            </w:r>
          </w:p>
        </w:tc>
        <w:tc>
          <w:tcPr>
            <w:tcW w:w="75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A8D49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91" w:type="dxa"/>
            <w:tcBorders>
              <w:top w:val="nil"/>
              <w:left w:val="nil"/>
              <w:bottom w:val="single" w:color="auto" w:sz="8" w:space="0"/>
              <w:right w:val="single" w:color="auto" w:sz="8" w:space="0"/>
            </w:tcBorders>
            <w:shd w:val="clear"/>
            <w:tcMar>
              <w:top w:w="15" w:type="dxa"/>
              <w:left w:w="15" w:type="dxa"/>
              <w:bottom w:w="15" w:type="dxa"/>
              <w:right w:w="15" w:type="dxa"/>
            </w:tcMar>
            <w:vAlign w:val="top"/>
          </w:tcPr>
          <w:p w14:paraId="27C135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《中华人民共和国渔业法》（2013年12月28日主席令第八号）第四十四条第二款，经营未经审定的水产苗种的，责令立即停止经营，没收违法所得，可以并处五万元以下的罚款。</w:t>
            </w:r>
          </w:p>
        </w:tc>
        <w:tc>
          <w:tcPr>
            <w:tcW w:w="967"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0E2BC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保留</w:t>
            </w:r>
          </w:p>
        </w:tc>
      </w:tr>
      <w:tr w14:paraId="26CDD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25" w:hRule="atLeast"/>
        </w:trPr>
        <w:tc>
          <w:tcPr>
            <w:tcW w:w="579"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3BCF12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159</w:t>
            </w:r>
          </w:p>
        </w:tc>
        <w:tc>
          <w:tcPr>
            <w:tcW w:w="3988"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6B7BF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373"/>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对在相关自然保护区域、禁猎（渔）区、禁猎（渔）期猎捕国家重点保护野生动物，未取得特许猎捕证、未按照特许猎捕证规定猎捕、杀害国家重点保护野生动物，或者使用禁用的工具、方法猎捕国家重点保护野生动物的行政处罚</w:t>
            </w:r>
          </w:p>
        </w:tc>
        <w:tc>
          <w:tcPr>
            <w:tcW w:w="75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E6AAF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91" w:type="dxa"/>
            <w:tcBorders>
              <w:top w:val="nil"/>
              <w:left w:val="nil"/>
              <w:bottom w:val="single" w:color="auto" w:sz="8" w:space="0"/>
              <w:right w:val="single" w:color="auto" w:sz="8" w:space="0"/>
            </w:tcBorders>
            <w:shd w:val="clear"/>
            <w:tcMar>
              <w:top w:w="15" w:type="dxa"/>
              <w:left w:w="15" w:type="dxa"/>
              <w:bottom w:w="15" w:type="dxa"/>
              <w:right w:w="15" w:type="dxa"/>
            </w:tcMar>
            <w:vAlign w:val="top"/>
          </w:tcPr>
          <w:p w14:paraId="7FD7C0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中华人民共和国野生动物保护法》第四十五条违反本法第二十条、第二十一条、第二十三条第一款、第二十四条第一款规定，在相关自然保护区域、禁猎（渔）区、禁猎（渔）期猎捕国家重点保护野生动物，未取得特许猎捕证、未按照特许猎捕证规定猎捕、杀害国家重点保护野生动物，或者使用禁用的工具、方法猎捕国家重点保护野生动物的，由县级以上人民政府野生动物保护主管部门、海洋执法部门或者有关保护区域管理机构按照职责分工没收猎获物、猎捕工具和违法所得，吊销特许猎捕证，并处猎获物价值二倍以上十倍以下的罚款；没有猎获物的，并处一万元以上五万元以下的罚款；构成犯罪的，依法追究刑事责任。</w:t>
            </w:r>
          </w:p>
        </w:tc>
        <w:tc>
          <w:tcPr>
            <w:tcW w:w="967"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16662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 </w:t>
            </w:r>
          </w:p>
        </w:tc>
      </w:tr>
      <w:tr w14:paraId="5164D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5" w:hRule="atLeast"/>
        </w:trPr>
        <w:tc>
          <w:tcPr>
            <w:tcW w:w="579"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02E347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160</w:t>
            </w:r>
          </w:p>
        </w:tc>
        <w:tc>
          <w:tcPr>
            <w:tcW w:w="3988"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91B85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373"/>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对出售、购买、利用国家重点保护水生野生动物及其制品活动的行政处罚</w:t>
            </w:r>
          </w:p>
        </w:tc>
        <w:tc>
          <w:tcPr>
            <w:tcW w:w="75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832F7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7391" w:type="dxa"/>
            <w:tcBorders>
              <w:top w:val="nil"/>
              <w:left w:val="nil"/>
              <w:bottom w:val="single" w:color="auto" w:sz="8" w:space="0"/>
              <w:right w:val="single" w:color="auto" w:sz="8" w:space="0"/>
            </w:tcBorders>
            <w:shd w:val="clear"/>
            <w:tcMar>
              <w:top w:w="15" w:type="dxa"/>
              <w:left w:w="15" w:type="dxa"/>
              <w:bottom w:w="15" w:type="dxa"/>
              <w:right w:w="15" w:type="dxa"/>
            </w:tcMar>
            <w:vAlign w:val="top"/>
          </w:tcPr>
          <w:p w14:paraId="3F1D39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中华人民共和国野生动物保护法》第四十八条违反本法第二十七条第一款和第二款、第二十八条第一款、第三十三条第一款规定，未经批准、未取得或者未按照规定使用专用标识，或者未持有、未附有人工繁育许可证、批准文件的副本或者专用标识出售、购买、利用、运输、携带、寄递国家重点保护野生动物及其制品或者本法第二十八条第二款规定的野生动物及其制品的，由县级以上人民政府野生动物保护主管部门或者工商行政管理部门按照职责分工没收野生动物及其制品和违法所得，并处野生动物及其制品价值二倍以上十倍以下的罚款；情节严重的，吊销人工繁育许可证、撤销批准文件、收回专用标识；构成犯罪的，依法追究刑事责任。违反本法第二十七条第四款、第三十三条第二款规定，未持有合法来源证明出售、利用、运输非国家重点保护野生动物的，由县级以上地方人民政府野生动物保护主管部门或者工商行政管理部门按照职责分工没收野生动物，并处野生动物价值一倍以上五倍以下的罚款。违反本法第二十七条第五款、第三十三条规定，出售、运输、携带、寄递有关野生动物及其制品未持有或者未附有检疫证明的，依照《中华人民共和国动物防疫法》的规定处罚。</w:t>
            </w:r>
          </w:p>
        </w:tc>
        <w:tc>
          <w:tcPr>
            <w:tcW w:w="967"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7F9AF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 </w:t>
            </w:r>
          </w:p>
        </w:tc>
      </w:tr>
    </w:tbl>
    <w:p w14:paraId="032A5797">
      <w:pPr>
        <w:pStyle w:val="3"/>
        <w:keepNext w:val="0"/>
        <w:keepLines w:val="0"/>
        <w:widowControl/>
        <w:suppressLineNumbers w:val="0"/>
        <w:spacing w:before="0" w:beforeAutospacing="0" w:after="0" w:afterAutospacing="0" w:line="368" w:lineRule="atLeast"/>
        <w:ind w:left="0" w:right="0" w:firstLine="0"/>
        <w:jc w:val="left"/>
        <w:rPr>
          <w:rFonts w:hint="default" w:ascii="Times New Roman" w:hAnsi="Times New Roman" w:cs="Times New Roman"/>
          <w:i w:val="0"/>
          <w:iCs w:val="0"/>
          <w:caps w:val="0"/>
          <w:color w:val="000000"/>
          <w:spacing w:val="0"/>
          <w:sz w:val="21"/>
          <w:szCs w:val="21"/>
        </w:rPr>
      </w:pPr>
      <w:r>
        <w:rPr>
          <w:rStyle w:val="6"/>
          <w:rFonts w:hint="default" w:ascii="Times New Roman" w:hAnsi="Times New Roman" w:cs="Times New Roman"/>
          <w:i w:val="0"/>
          <w:iCs w:val="0"/>
          <w:caps w:val="0"/>
          <w:color w:val="000000"/>
          <w:spacing w:val="0"/>
          <w:sz w:val="28"/>
          <w:szCs w:val="28"/>
        </w:rPr>
        <w:t> </w:t>
      </w:r>
    </w:p>
    <w:p w14:paraId="32F5BCD9">
      <w:pPr>
        <w:pStyle w:val="3"/>
        <w:keepNext w:val="0"/>
        <w:keepLines w:val="0"/>
        <w:widowControl/>
        <w:suppressLineNumbers w:val="0"/>
        <w:spacing w:before="0" w:beforeAutospacing="0" w:after="0" w:afterAutospacing="0" w:line="368" w:lineRule="atLeast"/>
        <w:ind w:left="0" w:right="0" w:firstLine="0"/>
        <w:jc w:val="left"/>
        <w:rPr>
          <w:rFonts w:hint="default" w:ascii="Times New Roman" w:hAnsi="Times New Roman" w:cs="Times New Roman"/>
          <w:i w:val="0"/>
          <w:iCs w:val="0"/>
          <w:caps w:val="0"/>
          <w:color w:val="000000"/>
          <w:spacing w:val="0"/>
          <w:sz w:val="21"/>
          <w:szCs w:val="21"/>
        </w:rPr>
      </w:pPr>
      <w:r>
        <w:rPr>
          <w:rStyle w:val="6"/>
          <w:rFonts w:hint="default" w:ascii="Times New Roman" w:hAnsi="Times New Roman" w:cs="Times New Roman"/>
          <w:i w:val="0"/>
          <w:iCs w:val="0"/>
          <w:caps w:val="0"/>
          <w:color w:val="000000"/>
          <w:spacing w:val="0"/>
          <w:sz w:val="28"/>
          <w:szCs w:val="28"/>
        </w:rPr>
        <w:t> </w:t>
      </w:r>
    </w:p>
    <w:p w14:paraId="0D4D9907">
      <w:pPr>
        <w:pStyle w:val="3"/>
        <w:keepNext w:val="0"/>
        <w:keepLines w:val="0"/>
        <w:widowControl/>
        <w:suppressLineNumbers w:val="0"/>
        <w:spacing w:before="0" w:beforeAutospacing="0" w:after="0" w:afterAutospacing="0" w:line="368" w:lineRule="atLeast"/>
        <w:ind w:left="0" w:right="0" w:firstLine="0"/>
        <w:jc w:val="left"/>
        <w:rPr>
          <w:rFonts w:hint="default" w:ascii="Times New Roman" w:hAnsi="Times New Roman" w:cs="Times New Roman"/>
          <w:i w:val="0"/>
          <w:iCs w:val="0"/>
          <w:caps w:val="0"/>
          <w:color w:val="000000"/>
          <w:spacing w:val="0"/>
          <w:sz w:val="21"/>
          <w:szCs w:val="21"/>
        </w:rPr>
      </w:pPr>
      <w:r>
        <w:rPr>
          <w:rStyle w:val="6"/>
          <w:rFonts w:hint="eastAsia" w:ascii="楷体" w:hAnsi="楷体" w:eastAsia="楷体" w:cs="楷体"/>
          <w:i w:val="0"/>
          <w:iCs w:val="0"/>
          <w:caps w:val="0"/>
          <w:color w:val="000000"/>
          <w:spacing w:val="0"/>
          <w:sz w:val="32"/>
          <w:szCs w:val="32"/>
        </w:rPr>
        <w:t>三、行政强制类（17项）</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397"/>
        <w:gridCol w:w="1969"/>
        <w:gridCol w:w="704"/>
        <w:gridCol w:w="4768"/>
        <w:gridCol w:w="498"/>
      </w:tblGrid>
      <w:tr w14:paraId="5128B00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539" w:type="dxa"/>
            <w:tcBorders>
              <w:top w:val="single" w:color="auto" w:sz="8" w:space="0"/>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51ECEB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序号</w:t>
            </w:r>
          </w:p>
        </w:tc>
        <w:tc>
          <w:tcPr>
            <w:tcW w:w="3076" w:type="dxa"/>
            <w:tcBorders>
              <w:top w:val="single" w:color="auto" w:sz="8" w:space="0"/>
              <w:left w:val="nil"/>
              <w:bottom w:val="single" w:color="auto" w:sz="8" w:space="0"/>
              <w:right w:val="single" w:color="auto" w:sz="8" w:space="0"/>
            </w:tcBorders>
            <w:shd w:val="clear"/>
            <w:tcMar>
              <w:top w:w="15" w:type="dxa"/>
              <w:left w:w="15" w:type="dxa"/>
              <w:bottom w:w="15" w:type="dxa"/>
              <w:right w:w="15" w:type="dxa"/>
            </w:tcMar>
            <w:vAlign w:val="center"/>
          </w:tcPr>
          <w:p w14:paraId="1AF43D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项目名称</w:t>
            </w:r>
          </w:p>
        </w:tc>
        <w:tc>
          <w:tcPr>
            <w:tcW w:w="1104" w:type="dxa"/>
            <w:tcBorders>
              <w:top w:val="single" w:color="auto" w:sz="8" w:space="0"/>
              <w:left w:val="nil"/>
              <w:bottom w:val="single" w:color="auto" w:sz="8" w:space="0"/>
              <w:right w:val="single" w:color="auto" w:sz="8" w:space="0"/>
            </w:tcBorders>
            <w:shd w:val="clear"/>
            <w:tcMar>
              <w:top w:w="15" w:type="dxa"/>
              <w:left w:w="15" w:type="dxa"/>
              <w:bottom w:w="15" w:type="dxa"/>
              <w:right w:w="15" w:type="dxa"/>
            </w:tcMar>
            <w:vAlign w:val="center"/>
          </w:tcPr>
          <w:p w14:paraId="646637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责任科室</w:t>
            </w:r>
          </w:p>
        </w:tc>
        <w:tc>
          <w:tcPr>
            <w:tcW w:w="8097" w:type="dxa"/>
            <w:tcBorders>
              <w:top w:val="single" w:color="auto" w:sz="8" w:space="0"/>
              <w:left w:val="nil"/>
              <w:bottom w:val="single" w:color="auto" w:sz="8" w:space="0"/>
              <w:right w:val="single" w:color="auto" w:sz="8" w:space="0"/>
            </w:tcBorders>
            <w:shd w:val="clear"/>
            <w:tcMar>
              <w:top w:w="15" w:type="dxa"/>
              <w:left w:w="15" w:type="dxa"/>
              <w:bottom w:w="15" w:type="dxa"/>
              <w:right w:w="15" w:type="dxa"/>
            </w:tcMar>
            <w:vAlign w:val="center"/>
          </w:tcPr>
          <w:p w14:paraId="28AB15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实施依据</w:t>
            </w:r>
          </w:p>
        </w:tc>
        <w:tc>
          <w:tcPr>
            <w:tcW w:w="725" w:type="dxa"/>
            <w:tcBorders>
              <w:top w:val="single" w:color="auto" w:sz="8" w:space="0"/>
              <w:left w:val="nil"/>
              <w:bottom w:val="single" w:color="auto" w:sz="8" w:space="0"/>
              <w:right w:val="single" w:color="auto" w:sz="8" w:space="0"/>
            </w:tcBorders>
            <w:shd w:val="clear"/>
            <w:tcMar>
              <w:top w:w="15" w:type="dxa"/>
              <w:left w:w="15" w:type="dxa"/>
              <w:bottom w:w="15" w:type="dxa"/>
              <w:right w:w="15" w:type="dxa"/>
            </w:tcMar>
            <w:vAlign w:val="center"/>
          </w:tcPr>
          <w:p w14:paraId="4103FD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调整意见及理由</w:t>
            </w:r>
          </w:p>
        </w:tc>
      </w:tr>
      <w:tr w14:paraId="1474D24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415" w:hRule="atLeast"/>
        </w:trPr>
        <w:tc>
          <w:tcPr>
            <w:tcW w:w="539"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4E4F96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1</w:t>
            </w:r>
          </w:p>
        </w:tc>
        <w:tc>
          <w:tcPr>
            <w:tcW w:w="307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5EB73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对从国外引进的种子、苗木和其他繁殖材料隔离试种</w:t>
            </w:r>
          </w:p>
        </w:tc>
        <w:tc>
          <w:tcPr>
            <w:tcW w:w="1104"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170FD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8097"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A01A7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0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植物检疫条例》(1983年1月3日国务院发布,1992年5月13日修订)第十二条第二款:“从国外引进、可能潜伏有危险性病、虫的种子、苗木和其他繁殖材料,必须隔离试种,植物检疫机构应进行调查、观察和检疫,证明确实不带危险性病、虫的,方可分散种植。”《河南省植物检疫条例》(2001年9月29日河南省第九届人民代表大会常务委员会第二十四次会议通过)第二十三条:“从国外引进的种子、苗木及其它繁殖材料应按负责审批的植物检疫机构的要求和确认的地点进行隔离试种。一年生植物试种期不得少于一个生育周期;多年生植物不得少于两年。试种期满,经省植物检疫机构认可,方可分散种植。</w:t>
            </w:r>
          </w:p>
        </w:tc>
        <w:tc>
          <w:tcPr>
            <w:tcW w:w="72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FD4D6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5CFB549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355" w:hRule="atLeast"/>
        </w:trPr>
        <w:tc>
          <w:tcPr>
            <w:tcW w:w="539"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6220B8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2</w:t>
            </w:r>
          </w:p>
        </w:tc>
        <w:tc>
          <w:tcPr>
            <w:tcW w:w="307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C18C6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违反规定调运的植物和植物产品有权扣留、封存、销毁、责令改变用途</w:t>
            </w:r>
          </w:p>
        </w:tc>
        <w:tc>
          <w:tcPr>
            <w:tcW w:w="1104"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7FC53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8097"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E5D3A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0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植物检疫条例》(1983年1月3日国务院发布,1992年5月13日修订)第十八条第三款:“对违反本条例规定调运的植物和植物产品,植物检疫机构有权予以封存、没收、销毁或者责令改变用途。销毁所需费用由责任人承担。”《河南省植物检疫条例》(2001年9月29日河南省第九届人民代表大会常务委员会第二十四次会议通过)第二十五条第三款:“对违反本条例规定调运的植物和植物产品,植物检疫机构有权予以扣留、封存、没收、销毁或者责令改变用途。销毁所需费用由责任人承担。”</w:t>
            </w:r>
          </w:p>
        </w:tc>
        <w:tc>
          <w:tcPr>
            <w:tcW w:w="72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54A16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2D20ED2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355" w:hRule="atLeast"/>
        </w:trPr>
        <w:tc>
          <w:tcPr>
            <w:tcW w:w="539"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318328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3</w:t>
            </w:r>
          </w:p>
        </w:tc>
        <w:tc>
          <w:tcPr>
            <w:tcW w:w="307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BC442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查封、扣押经检测不符合农产品质量安全标准的农产品</w:t>
            </w:r>
          </w:p>
        </w:tc>
        <w:tc>
          <w:tcPr>
            <w:tcW w:w="1104"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9D170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8097"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0994E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00"/>
              <w:jc w:val="left"/>
              <w:textAlignment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中华人民共和国农产品质量安全法》（2006年）第三十九条：县级以上人民政府农业行政主管部门在农产品质量安全监督检查中，可以对生产、销售的农产品进行现场检查，调查了解农产品质量安全的有关情况，查阅、复制与农产品质量安全有关的记录和其他资料；对经检测不符合农产品质量安全标准的农产品，有权查封、扣押。</w:t>
            </w:r>
          </w:p>
        </w:tc>
        <w:tc>
          <w:tcPr>
            <w:tcW w:w="72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DED2C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08C21DA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80" w:hRule="atLeast"/>
        </w:trPr>
        <w:tc>
          <w:tcPr>
            <w:tcW w:w="539"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06EAEC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4</w:t>
            </w:r>
          </w:p>
        </w:tc>
        <w:tc>
          <w:tcPr>
            <w:tcW w:w="307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65931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封存或者扣押假冒授权品种案件中涉及到的有关植物品种的繁殖材料及封存与案件有关的合同、帐册及有关文件</w:t>
            </w:r>
          </w:p>
        </w:tc>
        <w:tc>
          <w:tcPr>
            <w:tcW w:w="1104"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AE921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8097"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18870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00"/>
              <w:jc w:val="left"/>
              <w:textAlignment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中华人民共和国植物新品种保护条例》第41条:省级以上人民政府农业、林业行政部门依据各自的职权在查处品种权侵权案件和县级以上人民政府农业、林业行政部门依据各自的职权在查处假冒授权品种案件时，根据需要，可以封存或者扣押与案件有关的植物品种的繁殖材料，查阅、复制或者封存与案件有关的合同、帐册及有关文件。</w:t>
            </w:r>
          </w:p>
        </w:tc>
        <w:tc>
          <w:tcPr>
            <w:tcW w:w="72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69451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374FD75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80" w:hRule="atLeast"/>
        </w:trPr>
        <w:tc>
          <w:tcPr>
            <w:tcW w:w="539"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4F20E8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5</w:t>
            </w:r>
          </w:p>
        </w:tc>
        <w:tc>
          <w:tcPr>
            <w:tcW w:w="307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DA137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9"/>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隔离、封存、处理染疫或者疑似染疫的动物和染疫的动物产品</w:t>
            </w:r>
          </w:p>
        </w:tc>
        <w:tc>
          <w:tcPr>
            <w:tcW w:w="1104"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08299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桐柏桐柏县农业综合行政执法大队</w:t>
            </w:r>
          </w:p>
        </w:tc>
        <w:tc>
          <w:tcPr>
            <w:tcW w:w="8097"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6BE5D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法律依据：1、《中华人民共和国动物防疫法》第五十九条第二款：“（一）对动物、动物产品按照规定采样、留验、抽检；（二）对染疫或者疑似染疫的动物、动物产品及相关物品进行隔离、查封、扣押和处理：（三）对依法应当检疫而未经检疫的动物实施补检；：四）对依法应当检疫而未经检疫的动物产品，具备补检条件的实施补检，不具备补检条件的予以没收销毁；（五）查验检疫证明、检疫标志和畜禽标识；（六）进入有关场所调查取证，查阅、复制与动物防疫有关的资料。”</w:t>
            </w:r>
          </w:p>
        </w:tc>
        <w:tc>
          <w:tcPr>
            <w:tcW w:w="72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650CF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3D4A779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680" w:hRule="atLeast"/>
        </w:trPr>
        <w:tc>
          <w:tcPr>
            <w:tcW w:w="539"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7ADEA8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6</w:t>
            </w:r>
          </w:p>
        </w:tc>
        <w:tc>
          <w:tcPr>
            <w:tcW w:w="307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B337B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9"/>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依法代作处理</w:t>
            </w:r>
          </w:p>
          <w:p w14:paraId="2FE287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 </w:t>
            </w:r>
          </w:p>
        </w:tc>
        <w:tc>
          <w:tcPr>
            <w:tcW w:w="1104"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C979A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桐柏桐柏县农业综合行政执法大队</w:t>
            </w:r>
          </w:p>
        </w:tc>
        <w:tc>
          <w:tcPr>
            <w:tcW w:w="8097"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A1D25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法律依据：1、《中华人民共和国动物防疫法》第七十三条  违反本法规定，有下列行为之一的，由动物卫生监督机构责令改正，给予警告；拒不改正的，由动物卫生监督机构代作处理，所需处理费用由违法行为人承担，可以处一千元以下罚款：（一）对饲养的动物不按照动物疫病强制免疫计划进行免疫接种的；（二）种用、乳用动物未经检测或者经检测不合格而不按照规定处理的；（三）动物、动物产品的运载工具在装载前和卸载后没有及时清洗、消毒的。</w:t>
            </w:r>
          </w:p>
        </w:tc>
        <w:tc>
          <w:tcPr>
            <w:tcW w:w="72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E3685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54DB122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80" w:hRule="atLeast"/>
        </w:trPr>
        <w:tc>
          <w:tcPr>
            <w:tcW w:w="539"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218F98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7</w:t>
            </w:r>
          </w:p>
        </w:tc>
        <w:tc>
          <w:tcPr>
            <w:tcW w:w="307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F3118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9"/>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对动物、动物产品的强制处理</w:t>
            </w:r>
          </w:p>
          <w:p w14:paraId="1CF744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9"/>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 </w:t>
            </w:r>
          </w:p>
        </w:tc>
        <w:tc>
          <w:tcPr>
            <w:tcW w:w="1104"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4DB87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桐柏桐柏县农业综合行政执法大队</w:t>
            </w:r>
          </w:p>
        </w:tc>
        <w:tc>
          <w:tcPr>
            <w:tcW w:w="8097"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C9A33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法律依据：1、《中华人民共和国动物防疫法》第四十八条  经检疫不合格的动物、动物产品，货主应当在动物卫生监督机构监督下按照国务院兽医主管部门的规定处理，处理费用由货主承担</w:t>
            </w:r>
          </w:p>
        </w:tc>
        <w:tc>
          <w:tcPr>
            <w:tcW w:w="72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415F8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19D03A8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80" w:hRule="atLeast"/>
        </w:trPr>
        <w:tc>
          <w:tcPr>
            <w:tcW w:w="539"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274EE5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8</w:t>
            </w:r>
          </w:p>
        </w:tc>
        <w:tc>
          <w:tcPr>
            <w:tcW w:w="307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123CE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查封、扣押有证据证明可能是假、劣的兽药</w:t>
            </w:r>
          </w:p>
        </w:tc>
        <w:tc>
          <w:tcPr>
            <w:tcW w:w="1104"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47DB1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桐柏桐柏县农业综合行政执法大队</w:t>
            </w:r>
          </w:p>
        </w:tc>
        <w:tc>
          <w:tcPr>
            <w:tcW w:w="8097"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58D28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法律依据：《兽药管理条例》（中华人民共和国国务院令第404号）第四十六条  兽医行政管理部门依法进行监督检查时，对有证据证明可能是假、劣兽药的，应当采取查封、扣押的行政强制措施</w:t>
            </w:r>
          </w:p>
        </w:tc>
        <w:tc>
          <w:tcPr>
            <w:tcW w:w="72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7B803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2105CEA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680" w:hRule="atLeast"/>
        </w:trPr>
        <w:tc>
          <w:tcPr>
            <w:tcW w:w="539"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3DB6DA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9</w:t>
            </w:r>
          </w:p>
        </w:tc>
        <w:tc>
          <w:tcPr>
            <w:tcW w:w="307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059BC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shd w:val="clear" w:fill="FFFFFF"/>
              </w:rPr>
              <w:t>监督销毁被撤销产品批准文号或者被吊销进口兽药注册证书的兽药</w:t>
            </w:r>
          </w:p>
        </w:tc>
        <w:tc>
          <w:tcPr>
            <w:tcW w:w="1104"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F8E56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桐柏县桐柏县农业综合行政执法大队</w:t>
            </w:r>
          </w:p>
        </w:tc>
        <w:tc>
          <w:tcPr>
            <w:tcW w:w="8097"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CF075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法律依据：《兽药管理条例》（中华人民共和国国务院令第404号）第六十九条  有下列情形之一的，撤销兽药的产品批准文号或者吊销进口兽药注册证书：（一）抽查检验连续2次不合格的；（二）药效不确定、不良反应大以及可能对养殖业、人体健康造成危害或者存在潜在风险的；（三）国务院兽医行政管理部门禁止生产、经营和使用的兽药。被撤销产品批准文号或者被吊销进口兽药注册证书的兽药，不得继续生产、进口、经营和使用。已经生产、进口的，由所在地兽医行政管理部门监督销毁，所需费用由违法行为人承担；给他人造成损失的，依法承担赔偿责任。</w:t>
            </w:r>
          </w:p>
        </w:tc>
        <w:tc>
          <w:tcPr>
            <w:tcW w:w="72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90039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5EC1574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335" w:hRule="atLeast"/>
        </w:trPr>
        <w:tc>
          <w:tcPr>
            <w:tcW w:w="539"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27A806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10</w:t>
            </w:r>
          </w:p>
        </w:tc>
        <w:tc>
          <w:tcPr>
            <w:tcW w:w="307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93579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shd w:val="clear" w:fill="FFFFFF"/>
              </w:rPr>
              <w:t>查封、扣押有证据证明不符合乳品质量安全国家标准的乳品以及违法使用的生鲜乳、辅料、添加剂</w:t>
            </w:r>
          </w:p>
        </w:tc>
        <w:tc>
          <w:tcPr>
            <w:tcW w:w="1104"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E7F85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8097"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5FED7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法律依据：《乳品质量安全监督管理条例》（中华人民共和国国务院令第536号）第四十七条畜牧兽医、质量监督、工商行政管理等部门在依据各自职责进行监督检查时，行使下列职权：（四）查封、扣押有证据证明不符合乳品质量安全国家标准的乳品以及违法使用的生鲜乳、辅料、添加剂；</w:t>
            </w:r>
          </w:p>
        </w:tc>
        <w:tc>
          <w:tcPr>
            <w:tcW w:w="72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F7ED8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6394BF3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20" w:hRule="atLeast"/>
        </w:trPr>
        <w:tc>
          <w:tcPr>
            <w:tcW w:w="539"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746ECF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11</w:t>
            </w:r>
          </w:p>
        </w:tc>
        <w:tc>
          <w:tcPr>
            <w:tcW w:w="307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FCBAB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shd w:val="clear" w:fill="FFFFFF"/>
              </w:rPr>
              <w:t>查封涉嫌违法从事生鲜乳生产经营活动的场所，扣押用于违法生产、经营的工具、设备</w:t>
            </w:r>
          </w:p>
        </w:tc>
        <w:tc>
          <w:tcPr>
            <w:tcW w:w="1104"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77C7C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8097"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8FB2E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法律依据：《乳品质量安全监督管理条例》（中华人民共和国国务院令第536号）第四十七条畜牧兽医、质量监督、工商行政管理等部门在依据各自职责进行监督检查时，行使下列职权：（五）查封涉嫌违法从事乳品生产经营活动的场所，扣押用于违法生产经营的工具、设备；</w:t>
            </w:r>
          </w:p>
        </w:tc>
        <w:tc>
          <w:tcPr>
            <w:tcW w:w="72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E416E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55BFE62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80" w:hRule="atLeast"/>
        </w:trPr>
        <w:tc>
          <w:tcPr>
            <w:tcW w:w="539"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429AE9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12</w:t>
            </w:r>
          </w:p>
        </w:tc>
        <w:tc>
          <w:tcPr>
            <w:tcW w:w="307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037B0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shd w:val="clear" w:fill="FFFFFF"/>
              </w:rPr>
              <w:t>查封、扣押有证据证明用于违法生产饲料的饲料原料、单一饲料、饲料添加剂、药物饲料添加剂、添加剂预混合饲料，用于违法生产饲料添加剂的原料，用于违法生产饲料、饲料添加剂的工具、设施，违法生产、经营、使用的饲料、饲料添加剂</w:t>
            </w:r>
          </w:p>
        </w:tc>
        <w:tc>
          <w:tcPr>
            <w:tcW w:w="1104"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2ED0D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8097"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9241C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shd w:val="clear" w:fill="FFFFFF"/>
              </w:rPr>
              <w:t>《饲料和饲料添加剂管理条例》（1999年5月29日中华人民共和国国务院令第266号发布    根据2001年11月29日《国务院关改（饲料和饲料添加剂管理条例）的决定》修订  2011年10月26日国务院第177次常务会议修订通过）第34条第3款查封、扣押有证据证明用于违法生产饲料的饲料原料、单一饲料、饲料添加剂、药物饲料添加剂、添加剂预混合饲料，用于违法生产饲料添加剂的原料，用于违法生产饲料、饲料添加剂的工具、设施，违法生产、经营、使用的饲料、饲料添加剂：</w:t>
            </w:r>
          </w:p>
        </w:tc>
        <w:tc>
          <w:tcPr>
            <w:tcW w:w="72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71C55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175BF8E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395" w:hRule="atLeast"/>
        </w:trPr>
        <w:tc>
          <w:tcPr>
            <w:tcW w:w="539"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36AC92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13</w:t>
            </w:r>
          </w:p>
        </w:tc>
        <w:tc>
          <w:tcPr>
            <w:tcW w:w="307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49EF2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shd w:val="clear" w:fill="FFFFFF"/>
              </w:rPr>
              <w:t>查封违法生产、经营饲料、饲料添加剂的场所</w:t>
            </w:r>
          </w:p>
        </w:tc>
        <w:tc>
          <w:tcPr>
            <w:tcW w:w="1104"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70F4E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8097"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D4F64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shd w:val="clear" w:fill="FFFFFF"/>
              </w:rPr>
              <w:t>《饲料和饲料添加剂管理条例》（1999年5月29日中华人民共和国国务院令第266号发布    根据2001年11月29日《国务院关改（饲料和饲料添加剂管理条例）的决定》修订  2011年10月26日国务院第177次常务会议修订通过）第34条第4款查封违法生产、经营饲料、倒料添加剂的场所。</w:t>
            </w:r>
          </w:p>
        </w:tc>
        <w:tc>
          <w:tcPr>
            <w:tcW w:w="72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814D9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0177A23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50" w:hRule="atLeast"/>
        </w:trPr>
        <w:tc>
          <w:tcPr>
            <w:tcW w:w="539"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040BB3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14</w:t>
            </w:r>
          </w:p>
        </w:tc>
        <w:tc>
          <w:tcPr>
            <w:tcW w:w="307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75EF2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shd w:val="clear" w:fill="FFFFFF"/>
              </w:rPr>
              <w:t>国家对重大动物疫病实施强制免疫</w:t>
            </w:r>
          </w:p>
        </w:tc>
        <w:tc>
          <w:tcPr>
            <w:tcW w:w="1104"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75910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8097"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D9403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shd w:val="clear" w:fill="FFFFFF"/>
              </w:rPr>
              <w:t>《中华人民共和国动物防疫法》第十四条第2款饲养动物的单位和个人应当依法履行动物疫病强制免疫义务，按照兽医主管部门的要求做好强制免疫工作。</w:t>
            </w:r>
          </w:p>
        </w:tc>
        <w:tc>
          <w:tcPr>
            <w:tcW w:w="72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F11A5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bl>
    <w:p w14:paraId="4D1DC72B">
      <w:pPr>
        <w:pStyle w:val="3"/>
        <w:keepNext w:val="0"/>
        <w:keepLines w:val="0"/>
        <w:widowControl/>
        <w:suppressLineNumbers w:val="0"/>
        <w:spacing w:before="0" w:beforeAutospacing="0" w:after="0" w:afterAutospacing="0" w:line="368" w:lineRule="atLeast"/>
        <w:ind w:left="0" w:right="0" w:firstLine="0"/>
        <w:jc w:val="left"/>
        <w:rPr>
          <w:rFonts w:hint="default" w:ascii="Times New Roman" w:hAnsi="Times New Roman" w:cs="Times New Roman"/>
          <w:i w:val="0"/>
          <w:iCs w:val="0"/>
          <w:caps w:val="0"/>
          <w:color w:val="000000"/>
          <w:spacing w:val="0"/>
          <w:sz w:val="21"/>
          <w:szCs w:val="21"/>
        </w:rPr>
      </w:pPr>
      <w:r>
        <w:rPr>
          <w:rStyle w:val="6"/>
          <w:rFonts w:hint="eastAsia" w:ascii="仿宋" w:hAnsi="仿宋" w:eastAsia="仿宋" w:cs="仿宋"/>
          <w:i w:val="0"/>
          <w:iCs w:val="0"/>
          <w:caps w:val="0"/>
          <w:color w:val="000000"/>
          <w:spacing w:val="0"/>
          <w:sz w:val="28"/>
          <w:szCs w:val="28"/>
        </w:rPr>
        <w:t> </w:t>
      </w:r>
    </w:p>
    <w:tbl>
      <w:tblPr>
        <w:tblW w:w="0" w:type="auto"/>
        <w:tblInd w:w="18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03"/>
        <w:gridCol w:w="1926"/>
        <w:gridCol w:w="714"/>
        <w:gridCol w:w="4599"/>
        <w:gridCol w:w="509"/>
      </w:tblGrid>
      <w:tr w14:paraId="1CC50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40" w:hRule="atLeast"/>
        </w:trPr>
        <w:tc>
          <w:tcPr>
            <w:tcW w:w="550" w:type="dxa"/>
            <w:tcBorders>
              <w:top w:val="single" w:color="000000" w:sz="8" w:space="0"/>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14:paraId="6B2A9E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15</w:t>
            </w:r>
          </w:p>
        </w:tc>
        <w:tc>
          <w:tcPr>
            <w:tcW w:w="3033" w:type="dxa"/>
            <w:tcBorders>
              <w:top w:val="single" w:color="auto" w:sz="8" w:space="0"/>
              <w:left w:val="nil"/>
              <w:bottom w:val="single" w:color="auto" w:sz="8" w:space="0"/>
              <w:right w:val="single" w:color="auto" w:sz="8" w:space="0"/>
            </w:tcBorders>
            <w:shd w:val="clear"/>
            <w:tcMar>
              <w:top w:w="15" w:type="dxa"/>
              <w:left w:w="15" w:type="dxa"/>
              <w:bottom w:w="15" w:type="dxa"/>
              <w:right w:w="15" w:type="dxa"/>
            </w:tcMar>
            <w:vAlign w:val="center"/>
          </w:tcPr>
          <w:p w14:paraId="0645B4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扣押农业机械、证书、牌照、操作证件</w:t>
            </w:r>
          </w:p>
        </w:tc>
        <w:tc>
          <w:tcPr>
            <w:tcW w:w="1150" w:type="dxa"/>
            <w:tcBorders>
              <w:top w:val="single" w:color="auto" w:sz="8" w:space="0"/>
              <w:left w:val="nil"/>
              <w:bottom w:val="single" w:color="auto" w:sz="8" w:space="0"/>
              <w:right w:val="single" w:color="auto" w:sz="8" w:space="0"/>
            </w:tcBorders>
            <w:shd w:val="clear"/>
            <w:tcMar>
              <w:top w:w="15" w:type="dxa"/>
              <w:left w:w="15" w:type="dxa"/>
              <w:bottom w:w="15" w:type="dxa"/>
              <w:right w:w="15" w:type="dxa"/>
            </w:tcMar>
            <w:vAlign w:val="center"/>
          </w:tcPr>
          <w:p w14:paraId="4CDB8C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8100" w:type="dxa"/>
            <w:tcBorders>
              <w:top w:val="single" w:color="auto" w:sz="8" w:space="0"/>
              <w:left w:val="nil"/>
              <w:bottom w:val="single" w:color="auto" w:sz="8" w:space="0"/>
              <w:right w:val="single" w:color="auto" w:sz="8" w:space="0"/>
            </w:tcBorders>
            <w:shd w:val="clear"/>
            <w:tcMar>
              <w:top w:w="15" w:type="dxa"/>
              <w:left w:w="15" w:type="dxa"/>
              <w:bottom w:w="15" w:type="dxa"/>
              <w:right w:w="15" w:type="dxa"/>
            </w:tcMar>
            <w:vAlign w:val="top"/>
          </w:tcPr>
          <w:p w14:paraId="121808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16"/>
                <w:szCs w:val="16"/>
                <w:bdr w:val="none" w:color="auto" w:sz="0" w:space="0"/>
              </w:rPr>
              <w:t>《农业机械安全监督管理条例》第四十一条：“发生农业机械事故后企图逃逸的、拒不停止存在重大事故隐患农业机械的作业或者转移的，县级以上地方人民政府农业机械化主管部门可以扣押有关农业机械及证书、牌照、操作证件。案件处理完毕或者农业机械事故肇事方提供担保的，县级以上地方人民政府农业机械化主管部门应当及时退还被扣押的农业机械及证书、牌照、操作证件。存在重大事故隐患的农业机械，其所有人或者使用人排除隐患前不得继续使用”，第五十条：“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当事人补办相关手续的，应当及时退还扣押的拖拉机、联合收割机”，第五十四条：“使用拖拉机、联合收割机违反规定载人的，由县级以上地方人民政府农业机械化主管部门对违法行为人予以批评教育，责令改正；拒不改正的，扣押拖拉机、联合收割机的证书、牌照；情节严重的，吊销有关人员的操作证件。非法从事经营性道路旅客运输的，由交通主管部门依照道路运输管理法律、行政法规处罚。当事人改正违法行为的，应当及时退还扣押的拖拉机、联合收割机的证书、牌照”，第五十五条：“经检验、检查发现农业机械存在事故隐患，经农业机械化主管部门告知拒不排除并继续使用的，由县级以上地方人民政府农业机械化主管部门对违法行为人予以批评教育，责令改正；拒不改正的，责令停止使用；拒不停止使用的，扣押存在事故隐患的农业机械。事故隐患排除后，应当及时退还扣押的农业机械”。  </w:t>
            </w:r>
          </w:p>
        </w:tc>
        <w:tc>
          <w:tcPr>
            <w:tcW w:w="750" w:type="dxa"/>
            <w:tcBorders>
              <w:top w:val="single" w:color="auto" w:sz="8" w:space="0"/>
              <w:left w:val="nil"/>
              <w:bottom w:val="single" w:color="auto" w:sz="8" w:space="0"/>
              <w:right w:val="single" w:color="auto" w:sz="8" w:space="0"/>
            </w:tcBorders>
            <w:shd w:val="clear"/>
            <w:tcMar>
              <w:top w:w="15" w:type="dxa"/>
              <w:left w:w="15" w:type="dxa"/>
              <w:bottom w:w="15" w:type="dxa"/>
              <w:right w:w="15" w:type="dxa"/>
            </w:tcMar>
            <w:vAlign w:val="center"/>
          </w:tcPr>
          <w:p w14:paraId="58EF43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保留</w:t>
            </w:r>
          </w:p>
        </w:tc>
      </w:tr>
      <w:tr w14:paraId="13463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5" w:hRule="atLeast"/>
        </w:trPr>
        <w:tc>
          <w:tcPr>
            <w:tcW w:w="550"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6B319F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16</w:t>
            </w:r>
          </w:p>
        </w:tc>
        <w:tc>
          <w:tcPr>
            <w:tcW w:w="303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2CD86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收缴伪造、变造或者使用的证书和牌照</w:t>
            </w:r>
          </w:p>
        </w:tc>
        <w:tc>
          <w:tcPr>
            <w:tcW w:w="115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B64A5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8100" w:type="dxa"/>
            <w:tcBorders>
              <w:top w:val="nil"/>
              <w:left w:val="nil"/>
              <w:bottom w:val="single" w:color="auto" w:sz="8" w:space="0"/>
              <w:right w:val="single" w:color="auto" w:sz="8" w:space="0"/>
            </w:tcBorders>
            <w:shd w:val="clear"/>
            <w:tcMar>
              <w:top w:w="15" w:type="dxa"/>
              <w:left w:w="15" w:type="dxa"/>
              <w:bottom w:w="15" w:type="dxa"/>
              <w:right w:w="15" w:type="dxa"/>
            </w:tcMar>
            <w:vAlign w:val="top"/>
          </w:tcPr>
          <w:p w14:paraId="4FD7C0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18"/>
                <w:szCs w:val="18"/>
                <w:bdr w:val="none" w:color="auto" w:sz="0" w:space="0"/>
              </w:rPr>
              <w:t>《农业机械安全监督管理条例》第五十一条：“伪造、变造或者使用伪造、变造的拖拉机、联合收割机证书和牌照的，或者使用其他拖拉机、联合收割机的证书和牌照的，由县级以上地方人民政府农业机械化主管部门收缴伪造、变造或者使用的证书和牌照，对违法行为人予以批评教育，并处200元以上2000元以下罚款”。</w:t>
            </w:r>
          </w:p>
        </w:tc>
        <w:tc>
          <w:tcPr>
            <w:tcW w:w="75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736BF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保留</w:t>
            </w:r>
          </w:p>
        </w:tc>
      </w:tr>
      <w:tr w14:paraId="4749F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8" w:hRule="atLeast"/>
        </w:trPr>
        <w:tc>
          <w:tcPr>
            <w:tcW w:w="550"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029E91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17</w:t>
            </w:r>
          </w:p>
        </w:tc>
        <w:tc>
          <w:tcPr>
            <w:tcW w:w="303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0F5F1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强制报废驾驶拼装的或者已达到报废标准的拖拉机、联合收割机       </w:t>
            </w:r>
          </w:p>
        </w:tc>
        <w:tc>
          <w:tcPr>
            <w:tcW w:w="115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EDFA8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8100" w:type="dxa"/>
            <w:tcBorders>
              <w:top w:val="nil"/>
              <w:left w:val="nil"/>
              <w:bottom w:val="single" w:color="auto" w:sz="8" w:space="0"/>
              <w:right w:val="single" w:color="auto" w:sz="8" w:space="0"/>
            </w:tcBorders>
            <w:shd w:val="clear"/>
            <w:tcMar>
              <w:top w:w="15" w:type="dxa"/>
              <w:left w:w="15" w:type="dxa"/>
              <w:bottom w:w="15" w:type="dxa"/>
              <w:right w:w="15" w:type="dxa"/>
            </w:tcMar>
            <w:vAlign w:val="top"/>
          </w:tcPr>
          <w:p w14:paraId="6206D6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18"/>
                <w:szCs w:val="18"/>
                <w:bdr w:val="none" w:color="auto" w:sz="0" w:space="0"/>
              </w:rPr>
              <w:t>《农业机械安全监督管理条例》第八条:”国家建立落后农业机械淘汰制度和危及人身财产安全的农业机械报废制度，并对淘汰和报废的农业机械依法实行回收。”第三十五条:”危及人身财产安全的农业机械达到报废条件的，应当停止使用，予以报废。农业机械的报废条件由国务院农业机械化主管部门会同国务院质量监督部门、工业主管部门规定。县级人民政府农业机械化主管部门对达到报废条件的危及人身财产安全的农业机械，应当书面告知其所有人”  </w:t>
            </w:r>
          </w:p>
          <w:p w14:paraId="763A2A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18"/>
                <w:szCs w:val="18"/>
                <w:bdr w:val="none" w:color="auto" w:sz="0" w:space="0"/>
              </w:rPr>
              <w:t>《河南省农业机械安全管理规定》（河南省人民政府令第97号）  第二十五条：“违反本规定，农业机械主管部门应当责令停止违法行为，并处以50元以上200元以下的罚款,酒后或者患有妨碍安全作业的疾病时驾驶或者操作农业机械，无证驾驶或者驾驶与驾驶证内容不符的拖拉机、联合收割机，驾驶或操作安全设施不全或机件失效的农业机械的。具有前款所列行为之一的，农业机械主管部门可暂扣驾驶证或者农业机械，违章现象消除后应当及时返还。  驾驶拼装的或者已达到报废标准的拖拉机、联合收割机的，农业机械主管部门应当强制其报废。”</w:t>
            </w:r>
          </w:p>
        </w:tc>
        <w:tc>
          <w:tcPr>
            <w:tcW w:w="75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FE8FD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保留</w:t>
            </w:r>
          </w:p>
        </w:tc>
      </w:tr>
    </w:tbl>
    <w:p w14:paraId="3D216173">
      <w:pPr>
        <w:pStyle w:val="3"/>
        <w:keepNext w:val="0"/>
        <w:keepLines w:val="0"/>
        <w:widowControl/>
        <w:suppressLineNumbers w:val="0"/>
        <w:spacing w:before="0" w:beforeAutospacing="0" w:after="0" w:afterAutospacing="0" w:line="280" w:lineRule="atLeast"/>
        <w:ind w:left="0" w:right="0" w:firstLine="0"/>
        <w:jc w:val="both"/>
        <w:rPr>
          <w:rFonts w:hint="default" w:ascii="Times New Roman" w:hAnsi="Times New Roman" w:cs="Times New Roman"/>
          <w:i w:val="0"/>
          <w:iCs w:val="0"/>
          <w:caps w:val="0"/>
          <w:color w:val="000000"/>
          <w:spacing w:val="0"/>
          <w:sz w:val="21"/>
          <w:szCs w:val="21"/>
        </w:rPr>
      </w:pPr>
      <w:r>
        <w:rPr>
          <w:rStyle w:val="6"/>
          <w:rFonts w:hint="eastAsia" w:ascii="楷体" w:hAnsi="楷体" w:eastAsia="楷体" w:cs="楷体"/>
          <w:i w:val="0"/>
          <w:iCs w:val="0"/>
          <w:caps w:val="0"/>
          <w:color w:val="000000"/>
          <w:spacing w:val="0"/>
          <w:sz w:val="32"/>
          <w:szCs w:val="32"/>
        </w:rPr>
        <w:t>四、行政给付类（1项）</w:t>
      </w:r>
    </w:p>
    <w:p w14:paraId="44032235">
      <w:pPr>
        <w:pStyle w:val="3"/>
        <w:keepNext w:val="0"/>
        <w:keepLines w:val="0"/>
        <w:widowControl/>
        <w:suppressLineNumbers w:val="0"/>
        <w:spacing w:before="0" w:beforeAutospacing="0" w:after="0" w:afterAutospacing="0" w:line="280" w:lineRule="atLeast"/>
        <w:ind w:left="0" w:right="0" w:firstLine="0"/>
        <w:jc w:val="both"/>
        <w:rPr>
          <w:rFonts w:hint="default" w:ascii="Times New Roman" w:hAnsi="Times New Roman" w:cs="Times New Roman"/>
          <w:i w:val="0"/>
          <w:iCs w:val="0"/>
          <w:caps w:val="0"/>
          <w:color w:val="000000"/>
          <w:spacing w:val="0"/>
          <w:sz w:val="21"/>
          <w:szCs w:val="21"/>
        </w:rPr>
      </w:pPr>
      <w:r>
        <w:rPr>
          <w:rFonts w:hint="eastAsia" w:ascii="宋体" w:hAnsi="宋体" w:eastAsia="宋体" w:cs="宋体"/>
          <w:i w:val="0"/>
          <w:iCs w:val="0"/>
          <w:caps w:val="0"/>
          <w:color w:val="000000"/>
          <w:spacing w:val="0"/>
          <w:sz w:val="21"/>
          <w:szCs w:val="21"/>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78"/>
        <w:gridCol w:w="938"/>
        <w:gridCol w:w="785"/>
        <w:gridCol w:w="5619"/>
        <w:gridCol w:w="516"/>
      </w:tblGrid>
      <w:tr w14:paraId="48F87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trPr>
        <w:tc>
          <w:tcPr>
            <w:tcW w:w="680" w:type="dxa"/>
            <w:tcBorders>
              <w:top w:val="single" w:color="000000" w:sz="8" w:space="0"/>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14:paraId="769A9A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2"/>
                <w:szCs w:val="22"/>
                <w:bdr w:val="none" w:color="auto" w:sz="0" w:space="0"/>
              </w:rPr>
              <w:t>序号</w:t>
            </w:r>
          </w:p>
        </w:tc>
        <w:tc>
          <w:tcPr>
            <w:tcW w:w="1495" w:type="dxa"/>
            <w:tcBorders>
              <w:top w:val="single" w:color="auto" w:sz="8" w:space="0"/>
              <w:left w:val="nil"/>
              <w:bottom w:val="single" w:color="auto" w:sz="8" w:space="0"/>
              <w:right w:val="single" w:color="auto" w:sz="8" w:space="0"/>
            </w:tcBorders>
            <w:shd w:val="clear"/>
            <w:tcMar>
              <w:top w:w="15" w:type="dxa"/>
              <w:left w:w="15" w:type="dxa"/>
              <w:bottom w:w="15" w:type="dxa"/>
              <w:right w:w="15" w:type="dxa"/>
            </w:tcMar>
            <w:vAlign w:val="center"/>
          </w:tcPr>
          <w:p w14:paraId="4B2C67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2"/>
                <w:szCs w:val="22"/>
                <w:bdr w:val="none" w:color="auto" w:sz="0" w:space="0"/>
              </w:rPr>
              <w:t>职权名称</w:t>
            </w:r>
          </w:p>
        </w:tc>
        <w:tc>
          <w:tcPr>
            <w:tcW w:w="1260" w:type="dxa"/>
            <w:tcBorders>
              <w:top w:val="single" w:color="auto" w:sz="8" w:space="0"/>
              <w:left w:val="nil"/>
              <w:bottom w:val="single" w:color="auto" w:sz="8" w:space="0"/>
              <w:right w:val="single" w:color="auto" w:sz="8" w:space="0"/>
            </w:tcBorders>
            <w:shd w:val="clear"/>
            <w:tcMar>
              <w:top w:w="15" w:type="dxa"/>
              <w:left w:w="15" w:type="dxa"/>
              <w:bottom w:w="15" w:type="dxa"/>
              <w:right w:w="15" w:type="dxa"/>
            </w:tcMar>
            <w:vAlign w:val="center"/>
          </w:tcPr>
          <w:p w14:paraId="50DE0A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2"/>
                <w:szCs w:val="22"/>
                <w:bdr w:val="none" w:color="auto" w:sz="0" w:space="0"/>
              </w:rPr>
              <w:t>责任科室</w:t>
            </w:r>
          </w:p>
        </w:tc>
        <w:tc>
          <w:tcPr>
            <w:tcW w:w="9900" w:type="dxa"/>
            <w:tcBorders>
              <w:top w:val="single" w:color="auto" w:sz="8" w:space="0"/>
              <w:left w:val="nil"/>
              <w:bottom w:val="single" w:color="auto" w:sz="8" w:space="0"/>
              <w:right w:val="single" w:color="auto" w:sz="8" w:space="0"/>
            </w:tcBorders>
            <w:shd w:val="clear"/>
            <w:tcMar>
              <w:top w:w="15" w:type="dxa"/>
              <w:left w:w="15" w:type="dxa"/>
              <w:bottom w:w="15" w:type="dxa"/>
              <w:right w:w="15" w:type="dxa"/>
            </w:tcMar>
            <w:vAlign w:val="center"/>
          </w:tcPr>
          <w:p w14:paraId="32F5C4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2"/>
                <w:szCs w:val="22"/>
                <w:bdr w:val="none" w:color="auto" w:sz="0" w:space="0"/>
              </w:rPr>
              <w:t>实施依据</w:t>
            </w:r>
          </w:p>
        </w:tc>
        <w:tc>
          <w:tcPr>
            <w:tcW w:w="734" w:type="dxa"/>
            <w:tcBorders>
              <w:top w:val="single" w:color="auto" w:sz="8" w:space="0"/>
              <w:left w:val="nil"/>
              <w:bottom w:val="single" w:color="auto" w:sz="8" w:space="0"/>
              <w:right w:val="single" w:color="auto" w:sz="8" w:space="0"/>
            </w:tcBorders>
            <w:shd w:val="clear"/>
            <w:tcMar>
              <w:top w:w="15" w:type="dxa"/>
              <w:left w:w="15" w:type="dxa"/>
              <w:bottom w:w="15" w:type="dxa"/>
              <w:right w:w="15" w:type="dxa"/>
            </w:tcMar>
            <w:vAlign w:val="center"/>
          </w:tcPr>
          <w:p w14:paraId="5C60B7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4"/>
                <w:szCs w:val="24"/>
                <w:bdr w:val="none" w:color="auto" w:sz="0" w:space="0"/>
              </w:rPr>
              <w:t>调整意见及理由</w:t>
            </w:r>
          </w:p>
        </w:tc>
      </w:tr>
      <w:tr w14:paraId="431B7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05" w:hRule="atLeast"/>
        </w:trPr>
        <w:tc>
          <w:tcPr>
            <w:tcW w:w="680"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00EAC4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2"/>
                <w:szCs w:val="22"/>
                <w:bdr w:val="none" w:color="auto" w:sz="0" w:space="0"/>
              </w:rPr>
              <w:t>1</w:t>
            </w:r>
          </w:p>
        </w:tc>
        <w:tc>
          <w:tcPr>
            <w:tcW w:w="149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A5FF8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2"/>
                <w:szCs w:val="22"/>
                <w:bdr w:val="none" w:color="auto" w:sz="0" w:space="0"/>
              </w:rPr>
              <w:t> 农业机械购置补贴</w:t>
            </w:r>
          </w:p>
        </w:tc>
        <w:tc>
          <w:tcPr>
            <w:tcW w:w="126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AF4A2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2"/>
                <w:szCs w:val="22"/>
                <w:bdr w:val="none" w:color="auto" w:sz="0" w:space="0"/>
              </w:rPr>
              <w:t> </w:t>
            </w:r>
          </w:p>
          <w:p w14:paraId="5C8BB3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2"/>
                <w:szCs w:val="22"/>
                <w:bdr w:val="none" w:color="auto" w:sz="0" w:space="0"/>
              </w:rPr>
              <w:t> </w:t>
            </w:r>
          </w:p>
          <w:p w14:paraId="147D85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2"/>
                <w:szCs w:val="22"/>
                <w:bdr w:val="none" w:color="auto" w:sz="0" w:space="0"/>
              </w:rPr>
              <w:t>县农业机械管理局</w:t>
            </w:r>
          </w:p>
        </w:tc>
        <w:tc>
          <w:tcPr>
            <w:tcW w:w="990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ADB09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2"/>
                <w:szCs w:val="22"/>
                <w:bdr w:val="none" w:color="auto" w:sz="0" w:space="0"/>
              </w:rPr>
              <w:t> 《中华人民共和国农业机械化促进法》(主席令第16号)第二十七条:“中央财政、省级财政应当分别安排专项资金,对农民和农业生产经营组织购买国家支持推广的先进适用的农业机械给予补贴。补贴资金的使用应当遵循公开、公正、及时、有效的原则,可以向农民和农业生产经营组织发放,也可以采用贴息方式支持金融机构向农民和农业生产经营组织购买先进适用的农业机械提供贷款。具体办法由国务院规定。”</w:t>
            </w:r>
          </w:p>
          <w:p w14:paraId="0FCBDD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2"/>
                <w:szCs w:val="22"/>
                <w:bdr w:val="none" w:color="auto" w:sz="0" w:space="0"/>
              </w:rPr>
              <w:t> </w:t>
            </w:r>
          </w:p>
        </w:tc>
        <w:tc>
          <w:tcPr>
            <w:tcW w:w="734"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45310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2"/>
                <w:szCs w:val="22"/>
                <w:bdr w:val="none" w:color="auto" w:sz="0" w:space="0"/>
              </w:rPr>
              <w:t>保留</w:t>
            </w:r>
          </w:p>
        </w:tc>
      </w:tr>
    </w:tbl>
    <w:p w14:paraId="41FD318F">
      <w:pPr>
        <w:pStyle w:val="3"/>
        <w:keepNext w:val="0"/>
        <w:keepLines w:val="0"/>
        <w:widowControl/>
        <w:suppressLineNumbers w:val="0"/>
        <w:spacing w:before="0" w:beforeAutospacing="0" w:after="0" w:afterAutospacing="0" w:line="368" w:lineRule="atLeast"/>
        <w:ind w:left="0" w:right="0" w:firstLine="0"/>
        <w:jc w:val="left"/>
        <w:rPr>
          <w:rFonts w:hint="default" w:ascii="Times New Roman" w:hAnsi="Times New Roman" w:cs="Times New Roman"/>
          <w:i w:val="0"/>
          <w:iCs w:val="0"/>
          <w:caps w:val="0"/>
          <w:color w:val="000000"/>
          <w:spacing w:val="0"/>
          <w:sz w:val="21"/>
          <w:szCs w:val="21"/>
        </w:rPr>
      </w:pPr>
      <w:r>
        <w:rPr>
          <w:rStyle w:val="6"/>
          <w:rFonts w:hint="eastAsia" w:ascii="楷体" w:hAnsi="楷体" w:eastAsia="楷体" w:cs="楷体"/>
          <w:i w:val="0"/>
          <w:iCs w:val="0"/>
          <w:caps w:val="0"/>
          <w:color w:val="000000"/>
          <w:spacing w:val="0"/>
          <w:sz w:val="32"/>
          <w:szCs w:val="32"/>
        </w:rPr>
        <w:t>五、行政检查类（20项）</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396"/>
        <w:gridCol w:w="1025"/>
        <w:gridCol w:w="796"/>
        <w:gridCol w:w="5674"/>
        <w:gridCol w:w="445"/>
      </w:tblGrid>
      <w:tr w14:paraId="4A0D380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539" w:type="dxa"/>
            <w:tcBorders>
              <w:top w:val="single" w:color="auto" w:sz="8" w:space="0"/>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58E44D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序号</w:t>
            </w:r>
          </w:p>
        </w:tc>
        <w:tc>
          <w:tcPr>
            <w:tcW w:w="1551" w:type="dxa"/>
            <w:tcBorders>
              <w:top w:val="single" w:color="auto" w:sz="8" w:space="0"/>
              <w:left w:val="nil"/>
              <w:bottom w:val="single" w:color="auto" w:sz="8" w:space="0"/>
              <w:right w:val="single" w:color="auto" w:sz="8" w:space="0"/>
            </w:tcBorders>
            <w:shd w:val="clear"/>
            <w:tcMar>
              <w:top w:w="15" w:type="dxa"/>
              <w:left w:w="15" w:type="dxa"/>
              <w:bottom w:w="15" w:type="dxa"/>
              <w:right w:w="15" w:type="dxa"/>
            </w:tcMar>
            <w:vAlign w:val="center"/>
          </w:tcPr>
          <w:p w14:paraId="04D521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项目名称</w:t>
            </w:r>
          </w:p>
        </w:tc>
        <w:tc>
          <w:tcPr>
            <w:tcW w:w="1260" w:type="dxa"/>
            <w:tcBorders>
              <w:top w:val="single" w:color="auto" w:sz="8" w:space="0"/>
              <w:left w:val="nil"/>
              <w:bottom w:val="single" w:color="auto" w:sz="8" w:space="0"/>
              <w:right w:val="single" w:color="auto" w:sz="8" w:space="0"/>
            </w:tcBorders>
            <w:shd w:val="clear"/>
            <w:tcMar>
              <w:top w:w="15" w:type="dxa"/>
              <w:left w:w="15" w:type="dxa"/>
              <w:bottom w:w="15" w:type="dxa"/>
              <w:right w:w="15" w:type="dxa"/>
            </w:tcMar>
            <w:vAlign w:val="center"/>
          </w:tcPr>
          <w:p w14:paraId="36BC6B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责任科室</w:t>
            </w:r>
          </w:p>
        </w:tc>
        <w:tc>
          <w:tcPr>
            <w:tcW w:w="9973" w:type="dxa"/>
            <w:tcBorders>
              <w:top w:val="single" w:color="auto" w:sz="8" w:space="0"/>
              <w:left w:val="nil"/>
              <w:bottom w:val="single" w:color="auto" w:sz="8" w:space="0"/>
              <w:right w:val="single" w:color="auto" w:sz="8" w:space="0"/>
            </w:tcBorders>
            <w:shd w:val="clear"/>
            <w:tcMar>
              <w:top w:w="15" w:type="dxa"/>
              <w:left w:w="15" w:type="dxa"/>
              <w:bottom w:w="15" w:type="dxa"/>
              <w:right w:w="15" w:type="dxa"/>
            </w:tcMar>
            <w:vAlign w:val="center"/>
          </w:tcPr>
          <w:p w14:paraId="7267DC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实施依据</w:t>
            </w:r>
          </w:p>
        </w:tc>
        <w:tc>
          <w:tcPr>
            <w:tcW w:w="632" w:type="dxa"/>
            <w:tcBorders>
              <w:top w:val="single" w:color="auto" w:sz="8" w:space="0"/>
              <w:left w:val="nil"/>
              <w:bottom w:val="single" w:color="auto" w:sz="8" w:space="0"/>
              <w:right w:val="single" w:color="auto" w:sz="8" w:space="0"/>
            </w:tcBorders>
            <w:shd w:val="clear"/>
            <w:tcMar>
              <w:top w:w="15" w:type="dxa"/>
              <w:left w:w="15" w:type="dxa"/>
              <w:bottom w:w="15" w:type="dxa"/>
              <w:right w:w="15" w:type="dxa"/>
            </w:tcMar>
            <w:vAlign w:val="center"/>
          </w:tcPr>
          <w:p w14:paraId="7373DE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调整意见及理由</w:t>
            </w:r>
          </w:p>
        </w:tc>
      </w:tr>
      <w:tr w14:paraId="58B74BD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700" w:hRule="atLeast"/>
        </w:trPr>
        <w:tc>
          <w:tcPr>
            <w:tcW w:w="539"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478627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1</w:t>
            </w:r>
          </w:p>
        </w:tc>
        <w:tc>
          <w:tcPr>
            <w:tcW w:w="1551"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8A265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植物检疫检查</w:t>
            </w:r>
          </w:p>
        </w:tc>
        <w:tc>
          <w:tcPr>
            <w:tcW w:w="126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F6AAD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997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5CCB7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河南省植物检疫条例》(河南省人民代表大会常务委员会公告第42号2001年9月29日河南省第九届人民代表大会常务委员会第二十四次会议通过)第四条:“植物检疫人员依法执行植物检疫任务时,可以行使下列职权:(一)进入车站、机场、港口、仓库和植物、植物产品的生产、收购、加工、经营、存放等场所,实施现场检验或者复检、查验《植物检疫证书》、进行疫情调查、监测等;(二)监督有关单位或者个人进行消毒、除害处理、隔离试种和采取封锁、消灭等措施;(三)查阅、摘录或者复制与检疫工作有关的发票、帐目、合同、视听材料、原始凭证,收集与检疫工作有关的证据;(四)法律、法规和规章规定的其他职权。”第五条第二款:“在植物、植物产品流通、调运量大的车站、港口、集贸市场以及果品、蔬菜、花卉批发市场等,植物检疫机构可以派驻人员,执行植物检疫任务。”第十四条:“发生疫情的地区,植物检疫机构可以派人参加当地的木材检查站;发生特大疫情的地区,经省人民政府批准,可以设立植物检疫检查站,控制疫情传播。</w:t>
            </w:r>
          </w:p>
        </w:tc>
        <w:tc>
          <w:tcPr>
            <w:tcW w:w="63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84A6C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5FB04F2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010" w:hRule="atLeast"/>
        </w:trPr>
        <w:tc>
          <w:tcPr>
            <w:tcW w:w="539"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72A6A3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2</w:t>
            </w:r>
          </w:p>
        </w:tc>
        <w:tc>
          <w:tcPr>
            <w:tcW w:w="1551"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4DF27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农作物种子质量监督抽查</w:t>
            </w:r>
          </w:p>
        </w:tc>
        <w:tc>
          <w:tcPr>
            <w:tcW w:w="126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159A4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997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0096B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00"/>
              <w:jc w:val="both"/>
              <w:textAlignment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《中华人民共和国种子法》(中华人民共和国主席令第26号)第七章第四十四条：“农业、林业行政主管部门可以委托种子质量检验机构对种子质量进行检验。”</w:t>
            </w:r>
          </w:p>
          <w:p w14:paraId="14E531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00"/>
              <w:jc w:val="both"/>
              <w:textAlignment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农作物种子质量监督抽查管理办法》（农业部令2005年第50号）第二条：“本办法所称监督抽查是指由县级以上人民政府农业行政主管部门组织有关种子管理机构和种子质量检验机构对生产、销售的农作物种子进行扦样、检验，并按规定对抽查结果公布和处理的活动。”</w:t>
            </w:r>
            <w:r>
              <w:rPr>
                <w:rFonts w:hint="eastAsia" w:ascii="仿宋" w:hAnsi="仿宋" w:eastAsia="仿宋" w:cs="仿宋"/>
                <w:i w:val="0"/>
                <w:iCs w:val="0"/>
                <w:caps w:val="0"/>
                <w:color w:val="000000"/>
                <w:spacing w:val="-4"/>
                <w:sz w:val="20"/>
                <w:szCs w:val="20"/>
                <w:bdr w:val="none" w:color="auto" w:sz="0" w:space="0"/>
              </w:rPr>
              <w:t>第三条：“农业行政主管部门负责监督抽查的组织实施和结果处理。农业行政主管部门委托的种子质量检验机构和（或）种子管理机构负责抽查样品的扦样工作，种子质量检验机构负责抽查样品的检验工作。”</w:t>
            </w:r>
          </w:p>
        </w:tc>
        <w:tc>
          <w:tcPr>
            <w:tcW w:w="63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BBC32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30581A7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305" w:hRule="atLeast"/>
        </w:trPr>
        <w:tc>
          <w:tcPr>
            <w:tcW w:w="539"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6D04E9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3</w:t>
            </w:r>
          </w:p>
        </w:tc>
        <w:tc>
          <w:tcPr>
            <w:tcW w:w="1551"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B82D7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10"/>
                <w:sz w:val="20"/>
                <w:szCs w:val="20"/>
                <w:bdr w:val="none" w:color="auto" w:sz="0" w:space="0"/>
              </w:rPr>
              <w:t>农民负担监督检查</w:t>
            </w:r>
          </w:p>
        </w:tc>
        <w:tc>
          <w:tcPr>
            <w:tcW w:w="126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9A217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997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4C35C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00"/>
              <w:jc w:val="both"/>
              <w:textAlignment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中华人民共和国农业法》(中华人民共和国主席令第74号)第9章农民权益保护和第11章执法监督：第八十八条县级以上人民政府农业行政主管部门及其执法人员履行执法监督检查职责时，有权采取下列措施：（一）要求被检查单位或者个人说明情况，提供有关文件、证照、资料；（二）责令被检查单位或者个人停止违反本法的行为，履行法定义务。</w:t>
            </w:r>
          </w:p>
          <w:p w14:paraId="53DB7D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500"/>
              <w:jc w:val="both"/>
              <w:textAlignment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2012年4月《国务院办公厅关于进一步做好减轻农民负担工作的意见》（国办发〔2012〕22号）</w:t>
            </w:r>
          </w:p>
        </w:tc>
        <w:tc>
          <w:tcPr>
            <w:tcW w:w="63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8CCC8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33CA039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540" w:hRule="atLeast"/>
        </w:trPr>
        <w:tc>
          <w:tcPr>
            <w:tcW w:w="539"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4461CB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4</w:t>
            </w:r>
          </w:p>
        </w:tc>
        <w:tc>
          <w:tcPr>
            <w:tcW w:w="1551"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EF484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农作物种子市场执法检查</w:t>
            </w:r>
          </w:p>
        </w:tc>
        <w:tc>
          <w:tcPr>
            <w:tcW w:w="126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ECDDF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997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657B3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00"/>
              <w:jc w:val="both"/>
              <w:textAlignment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中华人民共和国种子法》(中华人民共和国主席令第26号)第3条:国务院农业、林业行政主管部门分别主管全国农作物种子和林木种子工作；县级以上地方人民政府农业、林业行政主管部门分别主管本行政区域内农作物种子和林木种子工作。第55条：农业、林业行政主管部门是种子行政执法机关。种子执法人员依法执行公务时应当出示行政执法证件。农业、林业行政主管部门为实施本法，可以进行现场检查。</w:t>
            </w:r>
          </w:p>
          <w:p w14:paraId="514B8E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00"/>
              <w:jc w:val="both"/>
              <w:textAlignment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《河南省实施〈种子法〉办法》第3条第1项：县级以上农业、林业行政主管部门分别主管本行政区域内农作物种子和林木种子工作。其所属的种子管理机构具体负责种子管理工作。</w:t>
            </w:r>
          </w:p>
        </w:tc>
        <w:tc>
          <w:tcPr>
            <w:tcW w:w="63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7F8BB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706B15D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36" w:hRule="atLeast"/>
        </w:trPr>
        <w:tc>
          <w:tcPr>
            <w:tcW w:w="539"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28F896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5</w:t>
            </w:r>
          </w:p>
        </w:tc>
        <w:tc>
          <w:tcPr>
            <w:tcW w:w="1551"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35309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农作物种子标签的检查</w:t>
            </w:r>
          </w:p>
        </w:tc>
        <w:tc>
          <w:tcPr>
            <w:tcW w:w="126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E809D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997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4230D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00"/>
              <w:jc w:val="both"/>
              <w:textAlignment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《中华人民共和国种子法》(中华人民共和国主席令第26号)第55条：农业、林业行政主管部门是种子行政执法机关。《农作物种子标签管理办法》（农业部令第49号）、《农作物种子标签通则》</w:t>
            </w:r>
          </w:p>
        </w:tc>
        <w:tc>
          <w:tcPr>
            <w:tcW w:w="63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C00A0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33892C9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109" w:hRule="atLeast"/>
        </w:trPr>
        <w:tc>
          <w:tcPr>
            <w:tcW w:w="539"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3122F2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6</w:t>
            </w:r>
          </w:p>
        </w:tc>
        <w:tc>
          <w:tcPr>
            <w:tcW w:w="1551"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2330D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农作物种子质量监督检查</w:t>
            </w:r>
          </w:p>
        </w:tc>
        <w:tc>
          <w:tcPr>
            <w:tcW w:w="126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D5271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997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E8E9D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00"/>
              <w:jc w:val="both"/>
              <w:textAlignment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中华人民共和国种子法》(中华人民共和国主席令第26号)第43条：农业、林业行政主管部门负责对种子质量的监督。《河南省实施〈种子法〉办法》第18条：农业、林业行政主管部门应当认真组织实施对种子质量的监督检查。</w:t>
            </w:r>
          </w:p>
        </w:tc>
        <w:tc>
          <w:tcPr>
            <w:tcW w:w="63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B16E3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37ABD1B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65" w:hRule="atLeast"/>
        </w:trPr>
        <w:tc>
          <w:tcPr>
            <w:tcW w:w="539"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3120EE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7</w:t>
            </w:r>
          </w:p>
        </w:tc>
        <w:tc>
          <w:tcPr>
            <w:tcW w:w="1551"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ECBF5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农作物种子生产、种子经营过程中全部环节的监督检查</w:t>
            </w:r>
          </w:p>
        </w:tc>
        <w:tc>
          <w:tcPr>
            <w:tcW w:w="126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461D8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997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B52D4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00"/>
              <w:jc w:val="both"/>
              <w:textAlignment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中华人民共和国种子法》(中华人民共和国主席令第26号)第55条：农业、林业行政主管部门是种子行政执法机关。种子执法人员依法执行公务时应当出示行政执法证件。农业、林业行政主管部门为实施本法，可以进行现场检查。</w:t>
            </w:r>
          </w:p>
          <w:p w14:paraId="42540A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00"/>
              <w:jc w:val="both"/>
              <w:textAlignment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《农作物种子生产经营许可管理办法》第26条：县级以上人民政府农业行政主管部门应当对种子生产、经营者的种子生产、经营行为进行监督检查。</w:t>
            </w:r>
          </w:p>
        </w:tc>
        <w:tc>
          <w:tcPr>
            <w:tcW w:w="63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CE8E6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159963F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30" w:hRule="atLeast"/>
        </w:trPr>
        <w:tc>
          <w:tcPr>
            <w:tcW w:w="539"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4F4BC8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8</w:t>
            </w:r>
          </w:p>
        </w:tc>
        <w:tc>
          <w:tcPr>
            <w:tcW w:w="1551"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C831D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对种子生产及种子经营行政许可行为的监督检查</w:t>
            </w:r>
          </w:p>
        </w:tc>
        <w:tc>
          <w:tcPr>
            <w:tcW w:w="126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3894C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997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266B6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00"/>
              <w:jc w:val="both"/>
              <w:textAlignment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《农作物种子生产经营许可管理办法》第29条：上级农业行政主管部门应当对下级农业行政主管部门的种子生产经营许可行为进行监督检查。</w:t>
            </w:r>
          </w:p>
        </w:tc>
        <w:tc>
          <w:tcPr>
            <w:tcW w:w="63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CDCB8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3234F35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990" w:hRule="atLeast"/>
        </w:trPr>
        <w:tc>
          <w:tcPr>
            <w:tcW w:w="539"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05C6CD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9</w:t>
            </w:r>
          </w:p>
        </w:tc>
        <w:tc>
          <w:tcPr>
            <w:tcW w:w="1551"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CA47F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6"/>
                <w:sz w:val="20"/>
                <w:szCs w:val="20"/>
                <w:bdr w:val="none" w:color="auto" w:sz="0" w:space="0"/>
              </w:rPr>
              <w:t>对农业转基因生物的生产、经营行为开展监督检查</w:t>
            </w:r>
          </w:p>
        </w:tc>
        <w:tc>
          <w:tcPr>
            <w:tcW w:w="126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3D91F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997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B8CE1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00"/>
              <w:jc w:val="both"/>
              <w:textAlignment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农业转基因生物安全管理条例》(国务院令第304号)第4条第2款县级以上地方各级人民政府农业行政主管部门负责本行政区域内的农业转基因生物安全的监督管理工作。第39条：农业行政主管部门履行监督检查职责时，有权采取下列措施：（一）询问被检查的研究、试验、生产、加工、经营或者进口、出口的单位和个人、利害关系人、证明人，并要求其提供与农业转基因生物安全有关的证明材料或者其他资料；（二）查阅或者复制农业转基因生物研究、试验、生产、加工、经营或者进口、出口的有关档案、账册和资料等；（三）要求有关单位和个人就有关农业转基因生物安全的问题作出说明；（四）责令违反农业转基因生物安全管理的单位和个人停止违法行为；</w:t>
            </w:r>
          </w:p>
          <w:p w14:paraId="0FF95B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textAlignment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（五）在紧急情况下，对非法研究、试验、生产、加工，经营或者进口、出口的农业转基因生物实施封存或者扣押。</w:t>
            </w:r>
          </w:p>
        </w:tc>
        <w:tc>
          <w:tcPr>
            <w:tcW w:w="63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3FC45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12B1FC6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0" w:hRule="atLeast"/>
        </w:trPr>
        <w:tc>
          <w:tcPr>
            <w:tcW w:w="539"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216548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10</w:t>
            </w:r>
          </w:p>
        </w:tc>
        <w:tc>
          <w:tcPr>
            <w:tcW w:w="1551"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56F87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农药市场检查</w:t>
            </w:r>
          </w:p>
        </w:tc>
        <w:tc>
          <w:tcPr>
            <w:tcW w:w="126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A60FA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997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F4FC4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00"/>
              <w:jc w:val="both"/>
              <w:textAlignment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《农药管理条例实施办法》（</w:t>
            </w:r>
            <w:r>
              <w:rPr>
                <w:rFonts w:hint="eastAsia" w:ascii="仿宋" w:hAnsi="仿宋" w:eastAsia="仿宋" w:cs="仿宋"/>
                <w:i w:val="0"/>
                <w:iCs w:val="0"/>
                <w:caps w:val="0"/>
                <w:color w:val="0000FF"/>
                <w:spacing w:val="0"/>
                <w:sz w:val="20"/>
                <w:szCs w:val="20"/>
                <w:bdr w:val="none" w:color="auto" w:sz="0" w:space="0"/>
                <w:shd w:val="clear" w:fill="FFFFFF"/>
              </w:rPr>
              <w:fldChar w:fldCharType="begin"/>
            </w:r>
            <w:r>
              <w:rPr>
                <w:rFonts w:hint="eastAsia" w:ascii="仿宋" w:hAnsi="仿宋" w:eastAsia="仿宋" w:cs="仿宋"/>
                <w:i w:val="0"/>
                <w:iCs w:val="0"/>
                <w:caps w:val="0"/>
                <w:color w:val="0000FF"/>
                <w:spacing w:val="0"/>
                <w:sz w:val="20"/>
                <w:szCs w:val="20"/>
                <w:bdr w:val="none" w:color="auto" w:sz="0" w:space="0"/>
                <w:shd w:val="clear" w:fill="FFFFFF"/>
              </w:rPr>
              <w:instrText xml:space="preserve"> HYPERLINK "http://baike.baidu.com/view/910741.htm" \t "http://baike.baidu.com/view/_blank" </w:instrText>
            </w:r>
            <w:r>
              <w:rPr>
                <w:rFonts w:hint="eastAsia" w:ascii="仿宋" w:hAnsi="仿宋" w:eastAsia="仿宋" w:cs="仿宋"/>
                <w:i w:val="0"/>
                <w:iCs w:val="0"/>
                <w:caps w:val="0"/>
                <w:color w:val="0000FF"/>
                <w:spacing w:val="0"/>
                <w:sz w:val="20"/>
                <w:szCs w:val="20"/>
                <w:bdr w:val="none" w:color="auto" w:sz="0" w:space="0"/>
                <w:shd w:val="clear" w:fill="FFFFFF"/>
              </w:rPr>
              <w:fldChar w:fldCharType="separate"/>
            </w:r>
            <w:r>
              <w:rPr>
                <w:rStyle w:val="7"/>
                <w:rFonts w:hint="eastAsia" w:ascii="仿宋" w:hAnsi="仿宋" w:eastAsia="仿宋" w:cs="仿宋"/>
                <w:i w:val="0"/>
                <w:iCs w:val="0"/>
                <w:caps w:val="0"/>
                <w:color w:val="auto"/>
                <w:spacing w:val="0"/>
                <w:sz w:val="20"/>
                <w:szCs w:val="20"/>
                <w:bdr w:val="none" w:color="auto" w:sz="0" w:space="0"/>
                <w:shd w:val="clear" w:fill="FFFFFF"/>
              </w:rPr>
              <w:t>中华人民共和国农业部</w:t>
            </w:r>
            <w:r>
              <w:rPr>
                <w:rFonts w:hint="eastAsia" w:ascii="仿宋" w:hAnsi="仿宋" w:eastAsia="仿宋" w:cs="仿宋"/>
                <w:i w:val="0"/>
                <w:iCs w:val="0"/>
                <w:caps w:val="0"/>
                <w:color w:val="0000FF"/>
                <w:spacing w:val="0"/>
                <w:sz w:val="20"/>
                <w:szCs w:val="20"/>
                <w:bdr w:val="none" w:color="auto" w:sz="0" w:space="0"/>
                <w:shd w:val="clear" w:fill="FFFFFF"/>
              </w:rPr>
              <w:fldChar w:fldCharType="end"/>
            </w:r>
            <w:r>
              <w:rPr>
                <w:rFonts w:hint="eastAsia" w:ascii="仿宋" w:hAnsi="仿宋" w:eastAsia="仿宋" w:cs="仿宋"/>
                <w:i w:val="0"/>
                <w:iCs w:val="0"/>
                <w:caps w:val="0"/>
                <w:color w:val="000000"/>
                <w:spacing w:val="0"/>
                <w:sz w:val="20"/>
                <w:szCs w:val="20"/>
                <w:bdr w:val="none" w:color="auto" w:sz="0" w:space="0"/>
                <w:shd w:val="clear" w:fill="FFFFFF"/>
              </w:rPr>
              <w:t>令 第 20号</w:t>
            </w:r>
            <w:r>
              <w:rPr>
                <w:rFonts w:hint="eastAsia" w:ascii="仿宋" w:hAnsi="仿宋" w:eastAsia="仿宋" w:cs="仿宋"/>
                <w:i w:val="0"/>
                <w:iCs w:val="0"/>
                <w:caps w:val="0"/>
                <w:color w:val="000000"/>
                <w:spacing w:val="0"/>
                <w:sz w:val="20"/>
                <w:szCs w:val="20"/>
                <w:bdr w:val="none" w:color="auto" w:sz="0" w:space="0"/>
              </w:rPr>
              <w:t>）第三十四条 农业行政主管部门有权按照规定对辖区内的农药生产、经营和使用单位的农药进行定期和不定期监督、检查，必要时按照规定抽取样品和索取有关资料，有关单位和个人不得拒绝和隐瞒。</w:t>
            </w:r>
          </w:p>
        </w:tc>
        <w:tc>
          <w:tcPr>
            <w:tcW w:w="63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60958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272C5B1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29" w:hRule="atLeast"/>
        </w:trPr>
        <w:tc>
          <w:tcPr>
            <w:tcW w:w="539"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620113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11</w:t>
            </w:r>
          </w:p>
        </w:tc>
        <w:tc>
          <w:tcPr>
            <w:tcW w:w="1551"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02F7A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对拖拉机驾驶培训机构进行监督检查</w:t>
            </w:r>
          </w:p>
        </w:tc>
        <w:tc>
          <w:tcPr>
            <w:tcW w:w="126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D6319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9973" w:type="dxa"/>
            <w:tcBorders>
              <w:top w:val="nil"/>
              <w:left w:val="nil"/>
              <w:bottom w:val="single" w:color="auto" w:sz="8" w:space="0"/>
              <w:right w:val="single" w:color="auto" w:sz="8" w:space="0"/>
            </w:tcBorders>
            <w:shd w:val="clear"/>
            <w:tcMar>
              <w:top w:w="15" w:type="dxa"/>
              <w:left w:w="15" w:type="dxa"/>
              <w:bottom w:w="15" w:type="dxa"/>
              <w:right w:w="15" w:type="dxa"/>
            </w:tcMar>
            <w:vAlign w:val="top"/>
          </w:tcPr>
          <w:p w14:paraId="4B7D39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拖拉机驾驶培训管理办法》第二十二条“县级以上地方人民政府农机主管部门应当对拖拉机驾驶培训机构进行监督检查，发现违反本办法行为的，应当依照职权调查处理。需由省级人民政府农机主管部门处理的，应当及时报请决定”。</w:t>
            </w:r>
          </w:p>
        </w:tc>
        <w:tc>
          <w:tcPr>
            <w:tcW w:w="63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C112F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保留</w:t>
            </w:r>
          </w:p>
        </w:tc>
      </w:tr>
      <w:tr w14:paraId="1E1D4C2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52" w:hRule="atLeast"/>
        </w:trPr>
        <w:tc>
          <w:tcPr>
            <w:tcW w:w="539"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0C2A60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12</w:t>
            </w:r>
          </w:p>
        </w:tc>
        <w:tc>
          <w:tcPr>
            <w:tcW w:w="1551"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71D1C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农业机械的安全监督检查</w:t>
            </w:r>
          </w:p>
        </w:tc>
        <w:tc>
          <w:tcPr>
            <w:tcW w:w="126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DC565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9973" w:type="dxa"/>
            <w:tcBorders>
              <w:top w:val="nil"/>
              <w:left w:val="nil"/>
              <w:bottom w:val="single" w:color="auto" w:sz="8" w:space="0"/>
              <w:right w:val="single" w:color="auto" w:sz="8" w:space="0"/>
            </w:tcBorders>
            <w:shd w:val="clear"/>
            <w:tcMar>
              <w:top w:w="15" w:type="dxa"/>
              <w:left w:w="15" w:type="dxa"/>
              <w:bottom w:w="15" w:type="dxa"/>
              <w:right w:w="15" w:type="dxa"/>
            </w:tcMar>
            <w:vAlign w:val="top"/>
          </w:tcPr>
          <w:p w14:paraId="740E9C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1、《农业机械安全监督管理条例》第九条第二款：“县级以上地方人民政府农业机械化主管部门、工业主管部门和县级以上地方质量监督部门、工商行政管理部门等有关部门按照各自职责，负责本行政区域的农业机械安全监督管理工作”，第四十条：“农业机械安全监督管理执法人员在农田、场院等场所进行农业机械安全监督检查时，可以采取下列措施：（一）向有关单位和个人了解情况，查阅、复制有关资料；（二）查验拖拉机、联合收割机证书、牌照及有关操作证件；（三）检查危及人身财产安全的农业机械的安全状况，对存在重大事故隐患的农业机械，责令当事人立即停止作业或者停止农业机械的转移，并进行维修；（四）责令农业机械操作人员改正违规操作行为。”，第四十二条：“农业机械安全监督管理执法人员进行安全监督检查时，应当佩戴统一标志，出示行政执法证件。农业机械安全监督检查、事故勘察车辆应当在车身喷涂统一标识”；2、《河南省农业机械安全管理规定》第十九条“农业机械主管部门应当加强对在乡村道路、田间、场院从事作业的农业机械的安全检查，督促落实各项安全措施，及时纠正农机违章行为，减少农业机械事故的发生”；3、《联合收割机跨区作业管理办法》第二十一条“各级农机管理部门应当建立安全生产检查制度，加强安全生产宣传教育，纠正和处理违章作业，维护正常的跨区作业秩序”。</w:t>
            </w:r>
          </w:p>
        </w:tc>
        <w:tc>
          <w:tcPr>
            <w:tcW w:w="63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C3F13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保留</w:t>
            </w:r>
          </w:p>
        </w:tc>
      </w:tr>
      <w:tr w14:paraId="3DCDDA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117" w:hRule="atLeast"/>
        </w:trPr>
        <w:tc>
          <w:tcPr>
            <w:tcW w:w="539"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726FD1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13</w:t>
            </w:r>
          </w:p>
        </w:tc>
        <w:tc>
          <w:tcPr>
            <w:tcW w:w="1551"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39FB7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农业机械维修监督检查</w:t>
            </w:r>
          </w:p>
        </w:tc>
        <w:tc>
          <w:tcPr>
            <w:tcW w:w="126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6AE73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 </w:t>
            </w: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9973" w:type="dxa"/>
            <w:tcBorders>
              <w:top w:val="nil"/>
              <w:left w:val="nil"/>
              <w:bottom w:val="single" w:color="auto" w:sz="8" w:space="0"/>
              <w:right w:val="single" w:color="auto" w:sz="8" w:space="0"/>
            </w:tcBorders>
            <w:shd w:val="clear"/>
            <w:tcMar>
              <w:top w:w="15" w:type="dxa"/>
              <w:left w:w="15" w:type="dxa"/>
              <w:bottom w:w="15" w:type="dxa"/>
              <w:right w:w="15" w:type="dxa"/>
            </w:tcMar>
            <w:vAlign w:val="top"/>
          </w:tcPr>
          <w:p w14:paraId="2CD646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农业机械维修管理规定》第五条：“县级以上人民政府农业机械化主管部门、工商行政管理部门按照各自的职责分工，负责本行政区域内农业机械维修和维修配件经营的监督管理工作，保护农业机械消费者的核发权益”，第二十条“农业机械化主管部门、工商行政管理部门应当按照各自职责，密切配合，加强对农业机械维修者的从业资格、维修人员资格、维修质量、维修设备和检测仪器技术状态以及安全生产情况的监督检查”，第二十一条“农业机械化主管部门应当建立健全农业机械维修监督检查制度，加强农机执法人员培训，完善相应技术检测手段，确保行政执法公开、公平、公正”，第二十二条“农业机械化主管部门、工商行政管理部门执法人员实施农业机械维修监督检查，应当出示行政执法证件，否则受检查者有权拒绝检查”  </w:t>
            </w:r>
          </w:p>
        </w:tc>
        <w:tc>
          <w:tcPr>
            <w:tcW w:w="63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70CBC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保留</w:t>
            </w:r>
          </w:p>
        </w:tc>
      </w:tr>
      <w:tr w14:paraId="387C087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539"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5352CF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14</w:t>
            </w:r>
          </w:p>
        </w:tc>
        <w:tc>
          <w:tcPr>
            <w:tcW w:w="1551"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25460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农业机械跨行政区域作业实施组织、协调和监督管理</w:t>
            </w:r>
          </w:p>
        </w:tc>
        <w:tc>
          <w:tcPr>
            <w:tcW w:w="126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73129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9973" w:type="dxa"/>
            <w:tcBorders>
              <w:top w:val="nil"/>
              <w:left w:val="nil"/>
              <w:bottom w:val="single" w:color="auto" w:sz="8" w:space="0"/>
              <w:right w:val="single" w:color="auto" w:sz="8" w:space="0"/>
            </w:tcBorders>
            <w:shd w:val="clear"/>
            <w:tcMar>
              <w:top w:w="15" w:type="dxa"/>
              <w:left w:w="15" w:type="dxa"/>
              <w:bottom w:w="15" w:type="dxa"/>
              <w:right w:w="15" w:type="dxa"/>
            </w:tcMar>
            <w:vAlign w:val="top"/>
          </w:tcPr>
          <w:p w14:paraId="02C038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1、《中华人民共和国农业机械化促进法》第二十一条第二款“  国家鼓励跨行政区域开展农业机械作业服务。各级人民政府及其有关部门应当支持农业机械跨行政区域作业，维护作业秩序，提供便利和服务，并依法实施安全监督管理”；2、《河南省农业机械化促进条例》第二十五条第二款“农业机械、公安、交通等部门应当及时对农业机械跨行政区域作业实施组织、协调和监督管理，维护作业秩序，提供通行便利和技术服务，保护作业者的人身和财产安全，并接受农业机械作业者的咨询和投诉。”</w:t>
            </w:r>
          </w:p>
        </w:tc>
        <w:tc>
          <w:tcPr>
            <w:tcW w:w="63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8D0E5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保留</w:t>
            </w:r>
          </w:p>
        </w:tc>
      </w:tr>
      <w:tr w14:paraId="2D954C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05" w:hRule="atLeast"/>
        </w:trPr>
        <w:tc>
          <w:tcPr>
            <w:tcW w:w="539"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27C9B1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15</w:t>
            </w:r>
          </w:p>
        </w:tc>
        <w:tc>
          <w:tcPr>
            <w:tcW w:w="1551"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8E760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农业机械产品及其配件的监督检查</w:t>
            </w:r>
          </w:p>
        </w:tc>
        <w:tc>
          <w:tcPr>
            <w:tcW w:w="126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FA452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9973" w:type="dxa"/>
            <w:tcBorders>
              <w:top w:val="nil"/>
              <w:left w:val="nil"/>
              <w:bottom w:val="single" w:color="auto" w:sz="8" w:space="0"/>
              <w:right w:val="single" w:color="auto" w:sz="8" w:space="0"/>
            </w:tcBorders>
            <w:shd w:val="clear"/>
            <w:tcMar>
              <w:top w:w="15" w:type="dxa"/>
              <w:left w:w="15" w:type="dxa"/>
              <w:bottom w:w="15" w:type="dxa"/>
              <w:right w:w="15" w:type="dxa"/>
            </w:tcMar>
            <w:vAlign w:val="top"/>
          </w:tcPr>
          <w:p w14:paraId="382496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1、《农业生产资料监督管理工作暂行规定》第三条：“县级以上（含县级）农业行政主管部门（以下简称农业行政主管部门）应当将农资监管工作作为农业行政执法的重点，加强执法队伍建设，保障工作经费和工作条件。”2、《河南省农业机械安全管理规定》第二十条“农业机械主管部门应当定期检查农业机械产品及其配件的销售情况，确保农业机械产品及其配件的销售质量。”</w:t>
            </w:r>
          </w:p>
        </w:tc>
        <w:tc>
          <w:tcPr>
            <w:tcW w:w="63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F06B5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 </w:t>
            </w:r>
          </w:p>
          <w:p w14:paraId="7A2348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 </w:t>
            </w:r>
          </w:p>
          <w:p w14:paraId="59D35A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保留</w:t>
            </w:r>
          </w:p>
          <w:p w14:paraId="28A278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 </w:t>
            </w:r>
          </w:p>
        </w:tc>
      </w:tr>
      <w:tr w14:paraId="3741B0B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021" w:hRule="atLeast"/>
        </w:trPr>
        <w:tc>
          <w:tcPr>
            <w:tcW w:w="539"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231C18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16</w:t>
            </w:r>
          </w:p>
        </w:tc>
        <w:tc>
          <w:tcPr>
            <w:tcW w:w="1551"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C58A9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定点农资市场的日常监管</w:t>
            </w:r>
          </w:p>
        </w:tc>
        <w:tc>
          <w:tcPr>
            <w:tcW w:w="126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96B5B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997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17BC1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15"/>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农业部定点农资市场管理办法（试行）》第二十一条“县级以上农业行政主管部门应当认真负责定点农资市场的创建、推荐和考核，依法加强对定点农资市场的日常监管，督促落实管理制度，完善服务设施，促进市场良性发展”，第二十五条“本办法所指农业行政主管部门，是指县级以上人民政府所属的农业、农机、畜牧兽医、农垦、渔业行政主管部门</w:t>
            </w:r>
          </w:p>
        </w:tc>
        <w:tc>
          <w:tcPr>
            <w:tcW w:w="63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D0D7C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保留</w:t>
            </w:r>
          </w:p>
          <w:p w14:paraId="45DA57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 </w:t>
            </w:r>
          </w:p>
        </w:tc>
      </w:tr>
      <w:tr w14:paraId="28E6009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6" w:hRule="atLeast"/>
        </w:trPr>
        <w:tc>
          <w:tcPr>
            <w:tcW w:w="539"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7C6AB2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17</w:t>
            </w:r>
          </w:p>
        </w:tc>
        <w:tc>
          <w:tcPr>
            <w:tcW w:w="1551"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80153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对拖拉机参加交通事故责任强制保险情况监督检查  </w:t>
            </w:r>
          </w:p>
        </w:tc>
        <w:tc>
          <w:tcPr>
            <w:tcW w:w="126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EFDD5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997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AF89D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15"/>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机动车交通事故责任强制保险条例》（国务院令第462号）第四条：“公安机关交通管理部门、农业（农业机械）主管部门（以下统称机动车管理部门）应当依法对机动车参加机动车交通事故责任强制保险的情况实施监督检查。”</w:t>
            </w:r>
          </w:p>
        </w:tc>
        <w:tc>
          <w:tcPr>
            <w:tcW w:w="63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2D7FD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保留</w:t>
            </w:r>
          </w:p>
        </w:tc>
      </w:tr>
      <w:tr w14:paraId="2E50B76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430" w:hRule="atLeast"/>
        </w:trPr>
        <w:tc>
          <w:tcPr>
            <w:tcW w:w="539"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669D8C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18</w:t>
            </w:r>
          </w:p>
        </w:tc>
        <w:tc>
          <w:tcPr>
            <w:tcW w:w="1551"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23DDB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对渔业船舶船员持证生产的行政检查</w:t>
            </w:r>
          </w:p>
        </w:tc>
        <w:tc>
          <w:tcPr>
            <w:tcW w:w="126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15756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997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6D69E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15"/>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中华人民共和国渔业船员管理办法》（2014年农业部令第4号）第三十六条：渔政渔港监督管理机构应当依法对渔业船员持证情况、任职资格和资历、履职情况、安全记录，船员培训机构培训质量，船员服务机构诚实守信情况等进行监督检查，必要时可对船员进行现场考核。</w:t>
            </w:r>
          </w:p>
        </w:tc>
        <w:tc>
          <w:tcPr>
            <w:tcW w:w="63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7901F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 </w:t>
            </w:r>
          </w:p>
        </w:tc>
      </w:tr>
      <w:tr w14:paraId="1BD28E0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710" w:hRule="atLeast"/>
        </w:trPr>
        <w:tc>
          <w:tcPr>
            <w:tcW w:w="539"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18EABF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19</w:t>
            </w:r>
          </w:p>
        </w:tc>
        <w:tc>
          <w:tcPr>
            <w:tcW w:w="1551"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81FE0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对渔业船员二级、三级培训机构资格认定的行政检查</w:t>
            </w:r>
          </w:p>
        </w:tc>
        <w:tc>
          <w:tcPr>
            <w:tcW w:w="126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30A95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997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1E545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15"/>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中华人民共和国船员条例》（国务院令第494号）第四十五条海事管理机构应当建立健全船员管理的监督检查制度，重点加强对船员注册、任职资格、履行职责、安全记录，船员培训机构培训质量，船员服务机构诚实守信及船员用人单位保护船员合法权益等情况的监督检查</w:t>
            </w:r>
          </w:p>
        </w:tc>
        <w:tc>
          <w:tcPr>
            <w:tcW w:w="63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B7DCF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 </w:t>
            </w:r>
          </w:p>
        </w:tc>
      </w:tr>
      <w:tr w14:paraId="65D255C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905" w:hRule="atLeast"/>
        </w:trPr>
        <w:tc>
          <w:tcPr>
            <w:tcW w:w="539"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42CF11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20</w:t>
            </w:r>
          </w:p>
        </w:tc>
        <w:tc>
          <w:tcPr>
            <w:tcW w:w="1551"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64A26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对未按规定办理渔业船舶登记证书的行政检查</w:t>
            </w:r>
          </w:p>
        </w:tc>
        <w:tc>
          <w:tcPr>
            <w:tcW w:w="126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B9C3C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桐柏县农业综合行政执法大队</w:t>
            </w:r>
          </w:p>
        </w:tc>
        <w:tc>
          <w:tcPr>
            <w:tcW w:w="997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A18D7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15"/>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中华人民共和国渔港水域交通安全管理条例》（1989年7月3日国务院令第38号，2011年1月8日予以修改）第二十二条：违反本条例规定，未持有船舶证书或者为配齐船员的，有渔业渔政渔港监督管理机关责令改正，可以并处罚款。</w:t>
            </w:r>
          </w:p>
        </w:tc>
        <w:tc>
          <w:tcPr>
            <w:tcW w:w="63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1ECDD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 </w:t>
            </w:r>
          </w:p>
        </w:tc>
      </w:tr>
    </w:tbl>
    <w:p w14:paraId="0262B25F">
      <w:pPr>
        <w:pStyle w:val="3"/>
        <w:keepNext w:val="0"/>
        <w:keepLines w:val="0"/>
        <w:widowControl/>
        <w:suppressLineNumbers w:val="0"/>
        <w:spacing w:before="0" w:beforeAutospacing="0" w:after="0" w:afterAutospacing="0" w:line="280" w:lineRule="atLeast"/>
        <w:ind w:left="0" w:right="0" w:firstLine="0"/>
        <w:jc w:val="both"/>
        <w:rPr>
          <w:rFonts w:hint="default" w:ascii="Times New Roman" w:hAnsi="Times New Roman" w:cs="Times New Roman"/>
          <w:i w:val="0"/>
          <w:iCs w:val="0"/>
          <w:caps w:val="0"/>
          <w:color w:val="000000"/>
          <w:spacing w:val="0"/>
          <w:sz w:val="21"/>
          <w:szCs w:val="21"/>
        </w:rPr>
      </w:pPr>
      <w:r>
        <w:rPr>
          <w:rFonts w:hint="eastAsia" w:ascii="宋体" w:hAnsi="宋体" w:eastAsia="宋体" w:cs="宋体"/>
          <w:i w:val="0"/>
          <w:iCs w:val="0"/>
          <w:caps w:val="0"/>
          <w:color w:val="000000"/>
          <w:spacing w:val="0"/>
          <w:sz w:val="21"/>
          <w:szCs w:val="21"/>
        </w:rPr>
        <w:t> </w:t>
      </w:r>
    </w:p>
    <w:p w14:paraId="1200140D">
      <w:pPr>
        <w:pStyle w:val="3"/>
        <w:keepNext w:val="0"/>
        <w:keepLines w:val="0"/>
        <w:widowControl/>
        <w:suppressLineNumbers w:val="0"/>
        <w:spacing w:before="0" w:beforeAutospacing="0" w:after="0" w:afterAutospacing="0" w:line="500" w:lineRule="atLeast"/>
        <w:ind w:left="0" w:right="0" w:firstLine="0"/>
        <w:jc w:val="left"/>
        <w:rPr>
          <w:rFonts w:hint="default" w:ascii="Times New Roman" w:hAnsi="Times New Roman" w:cs="Times New Roman"/>
          <w:i w:val="0"/>
          <w:iCs w:val="0"/>
          <w:caps w:val="0"/>
          <w:color w:val="000000"/>
          <w:spacing w:val="0"/>
          <w:sz w:val="21"/>
          <w:szCs w:val="21"/>
        </w:rPr>
      </w:pPr>
      <w:r>
        <w:rPr>
          <w:rStyle w:val="6"/>
          <w:rFonts w:hint="default" w:ascii="Times New Roman" w:hAnsi="Times New Roman" w:cs="Times New Roman"/>
          <w:i w:val="0"/>
          <w:iCs w:val="0"/>
          <w:caps w:val="0"/>
          <w:color w:val="000000"/>
          <w:spacing w:val="0"/>
          <w:sz w:val="28"/>
          <w:szCs w:val="28"/>
        </w:rPr>
        <w:t> </w:t>
      </w:r>
    </w:p>
    <w:p w14:paraId="21E3F48B">
      <w:pPr>
        <w:pStyle w:val="3"/>
        <w:keepNext w:val="0"/>
        <w:keepLines w:val="0"/>
        <w:widowControl/>
        <w:suppressLineNumbers w:val="0"/>
        <w:spacing w:before="0" w:beforeAutospacing="0" w:after="0" w:afterAutospacing="0" w:line="500" w:lineRule="atLeast"/>
        <w:ind w:left="0" w:right="0" w:firstLine="0"/>
        <w:jc w:val="left"/>
        <w:rPr>
          <w:rFonts w:hint="default" w:ascii="Times New Roman" w:hAnsi="Times New Roman" w:cs="Times New Roman"/>
          <w:i w:val="0"/>
          <w:iCs w:val="0"/>
          <w:caps w:val="0"/>
          <w:color w:val="000000"/>
          <w:spacing w:val="0"/>
          <w:sz w:val="21"/>
          <w:szCs w:val="21"/>
        </w:rPr>
      </w:pPr>
      <w:r>
        <w:rPr>
          <w:rStyle w:val="6"/>
          <w:rFonts w:hint="eastAsia" w:ascii="楷体" w:hAnsi="楷体" w:eastAsia="楷体" w:cs="楷体"/>
          <w:i w:val="0"/>
          <w:iCs w:val="0"/>
          <w:caps w:val="0"/>
          <w:color w:val="000000"/>
          <w:spacing w:val="0"/>
          <w:sz w:val="32"/>
          <w:szCs w:val="32"/>
        </w:rPr>
        <w:t>六、行政确认类（1项）</w:t>
      </w:r>
    </w:p>
    <w:p w14:paraId="34E87E56">
      <w:pPr>
        <w:pStyle w:val="3"/>
        <w:keepNext w:val="0"/>
        <w:keepLines w:val="0"/>
        <w:widowControl/>
        <w:suppressLineNumbers w:val="0"/>
        <w:spacing w:before="0" w:beforeAutospacing="0" w:after="0" w:afterAutospacing="0" w:line="280" w:lineRule="atLeast"/>
        <w:ind w:left="0" w:right="0" w:firstLine="0"/>
        <w:jc w:val="both"/>
        <w:rPr>
          <w:rFonts w:hint="default" w:ascii="Times New Roman" w:hAnsi="Times New Roman" w:cs="Times New Roman"/>
          <w:i w:val="0"/>
          <w:iCs w:val="0"/>
          <w:caps w:val="0"/>
          <w:color w:val="000000"/>
          <w:spacing w:val="0"/>
          <w:sz w:val="21"/>
          <w:szCs w:val="21"/>
        </w:rPr>
      </w:pPr>
      <w:r>
        <w:rPr>
          <w:rFonts w:hint="eastAsia" w:ascii="宋体" w:hAnsi="宋体" w:eastAsia="宋体" w:cs="宋体"/>
          <w:i w:val="0"/>
          <w:iCs w:val="0"/>
          <w:caps w:val="0"/>
          <w:color w:val="000000"/>
          <w:spacing w:val="0"/>
          <w:sz w:val="21"/>
          <w:szCs w:val="21"/>
        </w:rPr>
        <w:t> </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31"/>
        <w:gridCol w:w="783"/>
        <w:gridCol w:w="988"/>
        <w:gridCol w:w="5234"/>
        <w:gridCol w:w="900"/>
      </w:tblGrid>
      <w:tr w14:paraId="679BC28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594" w:type="dxa"/>
            <w:tcBorders>
              <w:top w:val="single" w:color="auto" w:sz="8" w:space="0"/>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394B00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序号</w:t>
            </w:r>
          </w:p>
        </w:tc>
        <w:tc>
          <w:tcPr>
            <w:tcW w:w="1221" w:type="dxa"/>
            <w:tcBorders>
              <w:top w:val="single" w:color="auto" w:sz="8" w:space="0"/>
              <w:left w:val="nil"/>
              <w:bottom w:val="single" w:color="auto" w:sz="8" w:space="0"/>
              <w:right w:val="single" w:color="auto" w:sz="8" w:space="0"/>
            </w:tcBorders>
            <w:shd w:val="clear"/>
            <w:tcMar>
              <w:top w:w="15" w:type="dxa"/>
              <w:left w:w="15" w:type="dxa"/>
              <w:bottom w:w="15" w:type="dxa"/>
              <w:right w:w="15" w:type="dxa"/>
            </w:tcMar>
            <w:vAlign w:val="center"/>
          </w:tcPr>
          <w:p w14:paraId="0EA39B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项目名称</w:t>
            </w:r>
          </w:p>
        </w:tc>
        <w:tc>
          <w:tcPr>
            <w:tcW w:w="1599" w:type="dxa"/>
            <w:tcBorders>
              <w:top w:val="single" w:color="auto" w:sz="8" w:space="0"/>
              <w:left w:val="nil"/>
              <w:bottom w:val="single" w:color="auto" w:sz="8" w:space="0"/>
              <w:right w:val="single" w:color="auto" w:sz="8" w:space="0"/>
            </w:tcBorders>
            <w:shd w:val="clear"/>
            <w:tcMar>
              <w:top w:w="15" w:type="dxa"/>
              <w:left w:w="15" w:type="dxa"/>
              <w:bottom w:w="15" w:type="dxa"/>
              <w:right w:w="15" w:type="dxa"/>
            </w:tcMar>
            <w:vAlign w:val="center"/>
          </w:tcPr>
          <w:p w14:paraId="1596E0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责任科室</w:t>
            </w:r>
          </w:p>
        </w:tc>
        <w:tc>
          <w:tcPr>
            <w:tcW w:w="8841" w:type="dxa"/>
            <w:tcBorders>
              <w:top w:val="single" w:color="auto" w:sz="8" w:space="0"/>
              <w:left w:val="nil"/>
              <w:bottom w:val="single" w:color="auto" w:sz="8" w:space="0"/>
              <w:right w:val="single" w:color="auto" w:sz="8" w:space="0"/>
            </w:tcBorders>
            <w:shd w:val="clear"/>
            <w:tcMar>
              <w:top w:w="15" w:type="dxa"/>
              <w:left w:w="15" w:type="dxa"/>
              <w:bottom w:w="15" w:type="dxa"/>
              <w:right w:w="15" w:type="dxa"/>
            </w:tcMar>
            <w:vAlign w:val="center"/>
          </w:tcPr>
          <w:p w14:paraId="3DB79D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实施依据</w:t>
            </w:r>
          </w:p>
        </w:tc>
        <w:tc>
          <w:tcPr>
            <w:tcW w:w="1440" w:type="dxa"/>
            <w:tcBorders>
              <w:top w:val="single" w:color="auto" w:sz="8" w:space="0"/>
              <w:left w:val="nil"/>
              <w:bottom w:val="single" w:color="auto" w:sz="8" w:space="0"/>
              <w:right w:val="single" w:color="auto" w:sz="8" w:space="0"/>
            </w:tcBorders>
            <w:shd w:val="clear"/>
            <w:tcMar>
              <w:top w:w="15" w:type="dxa"/>
              <w:left w:w="15" w:type="dxa"/>
              <w:bottom w:w="15" w:type="dxa"/>
              <w:right w:w="15" w:type="dxa"/>
            </w:tcMar>
            <w:vAlign w:val="center"/>
          </w:tcPr>
          <w:p w14:paraId="5EE73B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调整意见及理 由</w:t>
            </w:r>
          </w:p>
        </w:tc>
      </w:tr>
      <w:tr w14:paraId="688F382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155" w:hRule="atLeast"/>
        </w:trPr>
        <w:tc>
          <w:tcPr>
            <w:tcW w:w="594"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541712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1</w:t>
            </w:r>
          </w:p>
        </w:tc>
        <w:tc>
          <w:tcPr>
            <w:tcW w:w="1221"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0C8E0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农业机械安全事故责任认定</w:t>
            </w:r>
          </w:p>
          <w:p w14:paraId="4E961C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Style w:val="6"/>
                <w:rFonts w:hint="eastAsia" w:ascii="仿宋" w:hAnsi="仿宋" w:eastAsia="仿宋" w:cs="仿宋"/>
                <w:i w:val="0"/>
                <w:iCs w:val="0"/>
                <w:caps w:val="0"/>
                <w:color w:val="000000"/>
                <w:spacing w:val="0"/>
                <w:sz w:val="20"/>
                <w:szCs w:val="20"/>
                <w:bdr w:val="none" w:color="auto" w:sz="0" w:space="0"/>
              </w:rPr>
              <w:t> </w:t>
            </w:r>
          </w:p>
        </w:tc>
        <w:tc>
          <w:tcPr>
            <w:tcW w:w="159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3FC51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局行政审批股</w:t>
            </w:r>
          </w:p>
        </w:tc>
        <w:tc>
          <w:tcPr>
            <w:tcW w:w="8841"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ED340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1、《农业机械安全监督管理条例》第二十五条第一款“县级以上地方人民政府农业机械化主管部门负责农业机械事故责任的认定和调解处理”；第二十七条“对经过现场勘验、检查的农业机械事故，农业机械化主管部门应当在10个工作日内制作完成农业机械事故认定书；需要进行农业机械鉴定的，应当自收到农业机械鉴定机构出具的鉴定结论之日起5个工作日内制作农业机械事故认定书。农业机械事故认定书应当载明农业机械事故的基本事实、成因和当事人的责任，并在制作完成农业机械事故认定书之日起3个工作日内送达当事人”。</w:t>
            </w:r>
          </w:p>
          <w:p w14:paraId="7C5DE3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2、《农业机械事故处理办法》第三条：“县级以上地方人民政府农业机械化主管部门负责农业机械事故责任的认定和调解处理。县级以上地方人民政府农业机械化主管部门所属的农业机械安全监督管理机构（以下简称农机安全监理机构）承担本辖区农机事故处理的具体工作。法律、行政法规对农机事故的处理部门另有规定的，从其规定”，第四条：“对特别重大、重大、较大农机事故，农业部、省级人民政府农业机械化主管部门和地（市）级人民政府农业机械化主管部门应当分别派员参与调查处理。”</w:t>
            </w:r>
          </w:p>
        </w:tc>
        <w:tc>
          <w:tcPr>
            <w:tcW w:w="144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C02E7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bl>
    <w:p w14:paraId="339C3C31">
      <w:pPr>
        <w:pStyle w:val="3"/>
        <w:keepNext w:val="0"/>
        <w:keepLines w:val="0"/>
        <w:widowControl/>
        <w:suppressLineNumbers w:val="0"/>
        <w:spacing w:before="0" w:beforeAutospacing="0" w:after="0" w:afterAutospacing="0" w:line="280" w:lineRule="atLeast"/>
        <w:ind w:left="0" w:right="0" w:firstLine="0"/>
        <w:jc w:val="both"/>
        <w:rPr>
          <w:rFonts w:hint="default" w:ascii="Times New Roman" w:hAnsi="Times New Roman" w:cs="Times New Roman"/>
          <w:i w:val="0"/>
          <w:iCs w:val="0"/>
          <w:caps w:val="0"/>
          <w:color w:val="000000"/>
          <w:spacing w:val="0"/>
          <w:sz w:val="21"/>
          <w:szCs w:val="21"/>
        </w:rPr>
      </w:pPr>
      <w:r>
        <w:rPr>
          <w:rFonts w:hint="eastAsia" w:ascii="宋体" w:hAnsi="宋体" w:eastAsia="宋体" w:cs="宋体"/>
          <w:i w:val="0"/>
          <w:iCs w:val="0"/>
          <w:caps w:val="0"/>
          <w:color w:val="000000"/>
          <w:spacing w:val="0"/>
          <w:sz w:val="21"/>
          <w:szCs w:val="21"/>
        </w:rPr>
        <w:t> </w:t>
      </w:r>
    </w:p>
    <w:p w14:paraId="2F24EA5E">
      <w:pPr>
        <w:pStyle w:val="3"/>
        <w:keepNext w:val="0"/>
        <w:keepLines w:val="0"/>
        <w:widowControl/>
        <w:suppressLineNumbers w:val="0"/>
        <w:spacing w:before="0" w:beforeAutospacing="0" w:after="0" w:afterAutospacing="0" w:line="500" w:lineRule="atLeast"/>
        <w:ind w:left="0" w:right="0" w:firstLine="0"/>
        <w:jc w:val="left"/>
        <w:rPr>
          <w:rFonts w:hint="default" w:ascii="Times New Roman" w:hAnsi="Times New Roman" w:cs="Times New Roman"/>
          <w:i w:val="0"/>
          <w:iCs w:val="0"/>
          <w:caps w:val="0"/>
          <w:color w:val="000000"/>
          <w:spacing w:val="0"/>
          <w:sz w:val="21"/>
          <w:szCs w:val="21"/>
        </w:rPr>
      </w:pPr>
      <w:r>
        <w:rPr>
          <w:rStyle w:val="6"/>
          <w:rFonts w:hint="eastAsia" w:ascii="楷体" w:hAnsi="楷体" w:eastAsia="楷体" w:cs="楷体"/>
          <w:i w:val="0"/>
          <w:iCs w:val="0"/>
          <w:caps w:val="0"/>
          <w:color w:val="000000"/>
          <w:spacing w:val="0"/>
          <w:sz w:val="32"/>
          <w:szCs w:val="32"/>
        </w:rPr>
        <w:t>七、其他职权类（17项）</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18"/>
        <w:gridCol w:w="850"/>
        <w:gridCol w:w="925"/>
        <w:gridCol w:w="5241"/>
        <w:gridCol w:w="902"/>
      </w:tblGrid>
      <w:tr w14:paraId="7BC3D39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594" w:type="dxa"/>
            <w:tcBorders>
              <w:top w:val="single" w:color="auto" w:sz="8" w:space="0"/>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094804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序号</w:t>
            </w:r>
          </w:p>
        </w:tc>
        <w:tc>
          <w:tcPr>
            <w:tcW w:w="1221" w:type="dxa"/>
            <w:tcBorders>
              <w:top w:val="single" w:color="auto" w:sz="8" w:space="0"/>
              <w:left w:val="nil"/>
              <w:bottom w:val="single" w:color="auto" w:sz="8" w:space="0"/>
              <w:right w:val="single" w:color="auto" w:sz="8" w:space="0"/>
            </w:tcBorders>
            <w:shd w:val="clear"/>
            <w:tcMar>
              <w:top w:w="15" w:type="dxa"/>
              <w:left w:w="15" w:type="dxa"/>
              <w:bottom w:w="15" w:type="dxa"/>
              <w:right w:w="15" w:type="dxa"/>
            </w:tcMar>
            <w:vAlign w:val="center"/>
          </w:tcPr>
          <w:p w14:paraId="669DE6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项目名称</w:t>
            </w:r>
          </w:p>
        </w:tc>
        <w:tc>
          <w:tcPr>
            <w:tcW w:w="1599" w:type="dxa"/>
            <w:tcBorders>
              <w:top w:val="single" w:color="auto" w:sz="8" w:space="0"/>
              <w:left w:val="nil"/>
              <w:bottom w:val="single" w:color="auto" w:sz="8" w:space="0"/>
              <w:right w:val="single" w:color="auto" w:sz="8" w:space="0"/>
            </w:tcBorders>
            <w:shd w:val="clear"/>
            <w:tcMar>
              <w:top w:w="15" w:type="dxa"/>
              <w:left w:w="15" w:type="dxa"/>
              <w:bottom w:w="15" w:type="dxa"/>
              <w:right w:w="15" w:type="dxa"/>
            </w:tcMar>
            <w:vAlign w:val="center"/>
          </w:tcPr>
          <w:p w14:paraId="2B3EEC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实施机构</w:t>
            </w:r>
          </w:p>
        </w:tc>
        <w:tc>
          <w:tcPr>
            <w:tcW w:w="8841" w:type="dxa"/>
            <w:tcBorders>
              <w:top w:val="single" w:color="auto" w:sz="8" w:space="0"/>
              <w:left w:val="nil"/>
              <w:bottom w:val="single" w:color="auto" w:sz="8" w:space="0"/>
              <w:right w:val="single" w:color="auto" w:sz="8" w:space="0"/>
            </w:tcBorders>
            <w:shd w:val="clear"/>
            <w:tcMar>
              <w:top w:w="15" w:type="dxa"/>
              <w:left w:w="15" w:type="dxa"/>
              <w:bottom w:w="15" w:type="dxa"/>
              <w:right w:w="15" w:type="dxa"/>
            </w:tcMar>
            <w:vAlign w:val="center"/>
          </w:tcPr>
          <w:p w14:paraId="56A0C2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实施依据</w:t>
            </w:r>
          </w:p>
        </w:tc>
        <w:tc>
          <w:tcPr>
            <w:tcW w:w="1552" w:type="dxa"/>
            <w:tcBorders>
              <w:top w:val="single" w:color="auto" w:sz="8" w:space="0"/>
              <w:left w:val="nil"/>
              <w:bottom w:val="single" w:color="auto" w:sz="8" w:space="0"/>
              <w:right w:val="single" w:color="auto" w:sz="8" w:space="0"/>
            </w:tcBorders>
            <w:shd w:val="clear"/>
            <w:tcMar>
              <w:top w:w="15" w:type="dxa"/>
              <w:left w:w="15" w:type="dxa"/>
              <w:bottom w:w="15" w:type="dxa"/>
              <w:right w:w="15" w:type="dxa"/>
            </w:tcMar>
            <w:vAlign w:val="center"/>
          </w:tcPr>
          <w:p w14:paraId="1CF7ED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20"/>
                <w:szCs w:val="20"/>
                <w:bdr w:val="none" w:color="auto" w:sz="0" w:space="0"/>
              </w:rPr>
              <w:t>调整意见及理由</w:t>
            </w:r>
          </w:p>
        </w:tc>
      </w:tr>
      <w:tr w14:paraId="3BD02E9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123" w:hRule="atLeast"/>
        </w:trPr>
        <w:tc>
          <w:tcPr>
            <w:tcW w:w="594"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21D177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1</w:t>
            </w:r>
          </w:p>
        </w:tc>
        <w:tc>
          <w:tcPr>
            <w:tcW w:w="1221"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9FF11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农民合作社示范社评定、检测</w:t>
            </w:r>
          </w:p>
        </w:tc>
        <w:tc>
          <w:tcPr>
            <w:tcW w:w="159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69399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局行政审批股</w:t>
            </w:r>
          </w:p>
        </w:tc>
        <w:tc>
          <w:tcPr>
            <w:tcW w:w="8841"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333B9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中华人民共和国农民专业合作社法》第九条:“农业行政主管部门,对农民专业合作社的建设和发展给予指导、扶持与服务。”《2013年中央一号文件》:“实行部门联合评定示范社机制,分级建立示范社名录,把示范社作为政策扶持重点。”《关于开展农民专业合作社示范社建设行动的意见》(农经发〔2009〕10号):“从2009年起,主要依托部、省、市、县四级平台,组织开展农民专业合作社示范社建设行动。”《河南省人民政府办公厅关于进一步促进农民专业合作社健康发展的意见》(豫政办〔2010〕94号)四:“(三)建立和完善省、市、县三级示范引导体系。继续开展农民专业合作社示范社创建活动。”农业部《关于引导和促进农民合作社规范发展的意见》(农经发〔2014〕7号):“深入推进示范社建设行动,积极开展示范社评定,建立示范社名录,实行示范社动态监测,引导带动农民合作社规范发展。</w:t>
            </w:r>
          </w:p>
          <w:p w14:paraId="4D19E9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南阳市人民政府关于关于加快发展农民专业合作社的意见》（宛政[2010]5号）要求开展示范社建设行动。“从今年起市里每年认定一批示范社,在财政资金、项目等方面进行重点扶持,力争把示范社培育成为引领农民参与国内外市场竞争的现代农业经营组织。”</w:t>
            </w:r>
          </w:p>
        </w:tc>
        <w:tc>
          <w:tcPr>
            <w:tcW w:w="155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7B0FF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7C67102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70" w:hRule="atLeast"/>
        </w:trPr>
        <w:tc>
          <w:tcPr>
            <w:tcW w:w="594"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517B45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2</w:t>
            </w:r>
          </w:p>
        </w:tc>
        <w:tc>
          <w:tcPr>
            <w:tcW w:w="1221"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C2999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示范家庭农场认定</w:t>
            </w:r>
          </w:p>
        </w:tc>
        <w:tc>
          <w:tcPr>
            <w:tcW w:w="159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4C929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局行政审批股</w:t>
            </w:r>
          </w:p>
        </w:tc>
        <w:tc>
          <w:tcPr>
            <w:tcW w:w="8841"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86AE2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《农业部关于促进家庭农场发展的指导意见》(农经发〔2014〕1号)第四条:“各地要积极开展示范家庭农场创建活动,建立和发布示范家庭农场名录,引导和促进家庭农场提高经营管理水平。</w:t>
            </w:r>
          </w:p>
        </w:tc>
        <w:tc>
          <w:tcPr>
            <w:tcW w:w="155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BB6EA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1285A9C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594"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1CF191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3</w:t>
            </w:r>
          </w:p>
        </w:tc>
        <w:tc>
          <w:tcPr>
            <w:tcW w:w="1221"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8744D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对农村土地承包经营权流转服务的中介组织备案</w:t>
            </w:r>
          </w:p>
        </w:tc>
        <w:tc>
          <w:tcPr>
            <w:tcW w:w="159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FA520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局行政审批股</w:t>
            </w:r>
          </w:p>
        </w:tc>
        <w:tc>
          <w:tcPr>
            <w:tcW w:w="8841"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070EA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中华人民共和国农村土地承包经营权流转管理办法》(国务院令第47号)第三十条:“从事农村土地承包经营权流转服务的中介组织应当向县级以上地方人民政府农业行政(或农村经营管理)主管部门备案并接受其指导,依照法律和有关规定提供流转中介服务。”</w:t>
            </w:r>
          </w:p>
        </w:tc>
        <w:tc>
          <w:tcPr>
            <w:tcW w:w="155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948C1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28D2D98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81" w:hRule="atLeast"/>
        </w:trPr>
        <w:tc>
          <w:tcPr>
            <w:tcW w:w="594"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3C241B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4</w:t>
            </w:r>
          </w:p>
        </w:tc>
        <w:tc>
          <w:tcPr>
            <w:tcW w:w="1221"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8EFF7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农村土地承包经营权证的备案、登记、发放</w:t>
            </w:r>
          </w:p>
        </w:tc>
        <w:tc>
          <w:tcPr>
            <w:tcW w:w="159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DFE05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局行政审批股</w:t>
            </w:r>
          </w:p>
        </w:tc>
        <w:tc>
          <w:tcPr>
            <w:tcW w:w="8841"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5982A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《中华人民共和国农村土地承包经营权证管理办法》(农业部令第47号)第四条:“县级以上地方人民政府农业行政主管部门负责农村土地承包经营权证的备案、登记、发放等具体工作。”</w:t>
            </w:r>
          </w:p>
        </w:tc>
        <w:tc>
          <w:tcPr>
            <w:tcW w:w="155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1061B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4B54948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025" w:hRule="atLeast"/>
        </w:trPr>
        <w:tc>
          <w:tcPr>
            <w:tcW w:w="594"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159B2A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5</w:t>
            </w:r>
          </w:p>
        </w:tc>
        <w:tc>
          <w:tcPr>
            <w:tcW w:w="1221"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4D904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对农村集体财务、资产、资源和审计工作的指导、监督与管理</w:t>
            </w:r>
          </w:p>
        </w:tc>
        <w:tc>
          <w:tcPr>
            <w:tcW w:w="159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76915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局行政审批股</w:t>
            </w:r>
          </w:p>
        </w:tc>
        <w:tc>
          <w:tcPr>
            <w:tcW w:w="8841"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330A0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农业部关于进一步规范和完善村集体经济组织会计委托代理的意见》(农经发〔2008〕4号)第三条:“县级以上人民政府农村经营管理部门对代理机构及其从事代理业务情况负责指导、监督和管理。特别是要加大审计力度,完善审计监督制度,定期对代理机构和村集体进行专项审计和交叉审计。”《国务院关于加强农村集体资产管理工作的通知》(国发〔1995〕35号)第十三条:“要充分发挥农村集体经济审计的监督作用。各级农业行政管理部门要会同有关部门切实加强对农村集体经济组织审计工作的指导和管理,并妥善解决审计出来的问题。”《农业部办公厅关于印发&lt;农村集体经济组织审计规定&gt;的通知》第三条:“县级以上地方人民政府农村经营管理部门负责指导农村集体经济组织的审计工作。”</w:t>
            </w:r>
          </w:p>
        </w:tc>
        <w:tc>
          <w:tcPr>
            <w:tcW w:w="155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3C0D2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0B3EC20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085" w:hRule="atLeast"/>
        </w:trPr>
        <w:tc>
          <w:tcPr>
            <w:tcW w:w="594"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44456D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6</w:t>
            </w:r>
          </w:p>
        </w:tc>
        <w:tc>
          <w:tcPr>
            <w:tcW w:w="1221"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9E8CF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农业转基因生物标识安全管理</w:t>
            </w:r>
          </w:p>
        </w:tc>
        <w:tc>
          <w:tcPr>
            <w:tcW w:w="159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88F33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局行政审批股</w:t>
            </w:r>
          </w:p>
        </w:tc>
        <w:tc>
          <w:tcPr>
            <w:tcW w:w="8841"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70583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中华人民共和国农业转基因生物安全管理条例》(国务院令第304号)第二十八条:“在中华人民共和国境内销售列入农业转基因生物目录的农业转基因生物,应当有明显的标识。列入农业转基因生物目录的农业转基因生物,由生产、分装单位和个人负责标识;未标识的,不得销售。经营单位和个人在进货时,应当对货物和标识进行核对。经营单位和个人拆开原包装进行销售的,应当重新标识。”《农业转基因生物标识管理办法》(2002年1月5日农业部令第10号,2004年7月1日农业部令第38号修订)第十一条:“国内农业转基因生物标识,经农业转基因生物的生产、分装单位和个人所在地的县级以上地方人民政府农业行政主管部门审查认可后方可使用,并由省级农业行政主管部门统一报农业部备案。”</w:t>
            </w:r>
          </w:p>
        </w:tc>
        <w:tc>
          <w:tcPr>
            <w:tcW w:w="155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41E94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0B4B2C7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040" w:hRule="atLeast"/>
        </w:trPr>
        <w:tc>
          <w:tcPr>
            <w:tcW w:w="594"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326351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7</w:t>
            </w:r>
          </w:p>
        </w:tc>
        <w:tc>
          <w:tcPr>
            <w:tcW w:w="1221"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81D27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20"/>
                <w:sz w:val="20"/>
                <w:szCs w:val="20"/>
                <w:bdr w:val="none" w:color="auto" w:sz="0" w:space="0"/>
              </w:rPr>
              <w:t>农业产业化县级龙头企业监测和认定</w:t>
            </w:r>
          </w:p>
        </w:tc>
        <w:tc>
          <w:tcPr>
            <w:tcW w:w="159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9952A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局行政审批股</w:t>
            </w:r>
          </w:p>
        </w:tc>
        <w:tc>
          <w:tcPr>
            <w:tcW w:w="8841"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4AD37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《河南省人民政府关于加快农业产业化集群发展的指导意见》(豫政〔2012〕25号):“第七条 农业产业化集群申报由农业产业化集群内起主要支撑作用的农业产业化龙头企业负责,省辖市、县(市、区)农业产业化集群发展工作领导小组办公室进行审核,经同级政府同意后逐级报省农业产业化集群发展工作办公室。省直管试点县(市)直接报省农业产业化集群发展工作办公室。”第十四条:“农业产业化省重点龙头企业实行两年一次的监测评价制度。”《南阳市人民政府办公室关于印发南阳市农业产业化市重点龙头企业认定和运行监测管理(暂行)办法的通知》（宛政办[2005]48  号）：第十一条“经市农业产业化经营领导工作小组认定的企业，作为农业产业化市重点龙头企业，由市政府发文公布名单。”</w:t>
            </w:r>
          </w:p>
        </w:tc>
        <w:tc>
          <w:tcPr>
            <w:tcW w:w="155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08577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6F3752F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05" w:hRule="atLeast"/>
        </w:trPr>
        <w:tc>
          <w:tcPr>
            <w:tcW w:w="594"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3611D2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8</w:t>
            </w:r>
          </w:p>
        </w:tc>
        <w:tc>
          <w:tcPr>
            <w:tcW w:w="1221"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7BBCE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植物检疫</w:t>
            </w:r>
          </w:p>
          <w:p w14:paraId="469E09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备 案</w:t>
            </w:r>
          </w:p>
        </w:tc>
        <w:tc>
          <w:tcPr>
            <w:tcW w:w="159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B3443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局行政审批股</w:t>
            </w:r>
          </w:p>
        </w:tc>
        <w:tc>
          <w:tcPr>
            <w:tcW w:w="8841"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DA1D0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00"/>
              <w:jc w:val="both"/>
              <w:textAlignment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河南省植物检疫条例》(2001年9月29日河南省第九届人民代表大会常务委员会第二十四次会议通过)第六条:“生产、加工、经营种子和苗木等繁殖材料以及其他应施检疫的植物、植物产品的单位或个人,应当向植物检疫机构备案。”</w:t>
            </w:r>
          </w:p>
        </w:tc>
        <w:tc>
          <w:tcPr>
            <w:tcW w:w="155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D3EE0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7B53228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60" w:hRule="atLeast"/>
        </w:trPr>
        <w:tc>
          <w:tcPr>
            <w:tcW w:w="594"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14E752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9</w:t>
            </w:r>
          </w:p>
        </w:tc>
        <w:tc>
          <w:tcPr>
            <w:tcW w:w="1221"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93923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农产品市场</w:t>
            </w:r>
          </w:p>
          <w:p w14:paraId="0E85A1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准 入</w:t>
            </w:r>
          </w:p>
        </w:tc>
        <w:tc>
          <w:tcPr>
            <w:tcW w:w="159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74485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局行政审批股</w:t>
            </w:r>
          </w:p>
        </w:tc>
        <w:tc>
          <w:tcPr>
            <w:tcW w:w="8841"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E74A1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00"/>
              <w:jc w:val="both"/>
              <w:textAlignment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南阳市人民政府关于印发南阳市农产品市场准入实施办法的通知》（宛政〔2007〕72号）第二条第二款：“市农业局负责全市农产品市场准入工作的组织协调与监督管理，对全市农产品进行监督抽查，对农产品质量安全违法案件进行查处，统一收集汇总发布农产品质量安全信息和消费预警，处理农产品质量安全应急事件。第五款：市农产品质量检测中心负责对全市农产品批发市场、农贸市场、超市、量贩农产品检测结果进行不定期检查；对农贸市场、超市、量贩的农产品进行监督抽查；对有争议检测结果进行复检和仲裁；对农产品质量安全违法案件进行查处。”</w:t>
            </w:r>
          </w:p>
        </w:tc>
        <w:tc>
          <w:tcPr>
            <w:tcW w:w="155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D7B69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5CB877C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0" w:hRule="atLeast"/>
        </w:trPr>
        <w:tc>
          <w:tcPr>
            <w:tcW w:w="594"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4700CA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10</w:t>
            </w:r>
          </w:p>
        </w:tc>
        <w:tc>
          <w:tcPr>
            <w:tcW w:w="1221"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FCEFD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农村土地承包经营权证印制、登记、发放、备案</w:t>
            </w:r>
          </w:p>
        </w:tc>
        <w:tc>
          <w:tcPr>
            <w:tcW w:w="159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319AC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局行政审批股</w:t>
            </w:r>
          </w:p>
        </w:tc>
        <w:tc>
          <w:tcPr>
            <w:tcW w:w="8841"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C50D2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80"/>
              <w:jc w:val="both"/>
              <w:textAlignment w:val="center"/>
              <w:rPr>
                <w:rFonts w:hint="default" w:ascii="Times New Roman" w:hAnsi="Times New Roman" w:cs="Times New Roman"/>
                <w:sz w:val="21"/>
                <w:szCs w:val="21"/>
              </w:rPr>
            </w:pPr>
            <w:r>
              <w:rPr>
                <w:rFonts w:hint="eastAsia" w:ascii="仿宋" w:hAnsi="仿宋" w:eastAsia="仿宋" w:cs="仿宋"/>
                <w:i w:val="0"/>
                <w:iCs w:val="0"/>
                <w:caps w:val="0"/>
                <w:color w:val="666666"/>
                <w:spacing w:val="0"/>
                <w:sz w:val="24"/>
                <w:szCs w:val="24"/>
                <w:bdr w:val="none" w:color="auto" w:sz="0" w:space="0"/>
                <w:shd w:val="clear" w:fill="FFFFFF"/>
              </w:rPr>
              <w:t>《</w:t>
            </w:r>
            <w:r>
              <w:rPr>
                <w:rFonts w:hint="eastAsia" w:ascii="仿宋" w:hAnsi="仿宋" w:eastAsia="仿宋" w:cs="仿宋"/>
                <w:i w:val="0"/>
                <w:iCs w:val="0"/>
                <w:caps w:val="0"/>
                <w:color w:val="000000"/>
                <w:spacing w:val="0"/>
                <w:sz w:val="20"/>
                <w:szCs w:val="20"/>
                <w:bdr w:val="none" w:color="auto" w:sz="0" w:space="0"/>
              </w:rPr>
              <w:t>中华人民共和国土地承包法》根据不同的经营承包经营方式(以家庭承包经营的承包方)由县级以上地方政府依法登记、审核、核发。县级以上地方人民政府农业行政主管部门负责农村土地承包经营权证的备案、登记、发放等具体工作。</w:t>
            </w:r>
          </w:p>
        </w:tc>
        <w:tc>
          <w:tcPr>
            <w:tcW w:w="155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674E8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0A176EE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421" w:hRule="atLeast"/>
        </w:trPr>
        <w:tc>
          <w:tcPr>
            <w:tcW w:w="594"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48EF8A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11</w:t>
            </w:r>
          </w:p>
        </w:tc>
        <w:tc>
          <w:tcPr>
            <w:tcW w:w="1221"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39475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对农村集体财产、资产、资源和审计工作的指导、监督和管理</w:t>
            </w:r>
          </w:p>
        </w:tc>
        <w:tc>
          <w:tcPr>
            <w:tcW w:w="159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43298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农村经济管理站</w:t>
            </w:r>
          </w:p>
        </w:tc>
        <w:tc>
          <w:tcPr>
            <w:tcW w:w="8841"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E4D7B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农业部关于进一步加强农村集体资金资产资源管理指导的意见</w:t>
            </w:r>
          </w:p>
          <w:p w14:paraId="22F9CF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 </w:t>
            </w:r>
          </w:p>
        </w:tc>
        <w:tc>
          <w:tcPr>
            <w:tcW w:w="155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C3BBE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0"/>
                <w:szCs w:val="20"/>
                <w:bdr w:val="none" w:color="auto" w:sz="0" w:space="0"/>
              </w:rPr>
              <w:t>保留</w:t>
            </w:r>
          </w:p>
        </w:tc>
      </w:tr>
      <w:tr w14:paraId="155A002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594"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285ADF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12</w:t>
            </w:r>
          </w:p>
        </w:tc>
        <w:tc>
          <w:tcPr>
            <w:tcW w:w="1221"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5FC24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农机事故损害赔偿争议调解</w:t>
            </w:r>
          </w:p>
        </w:tc>
        <w:tc>
          <w:tcPr>
            <w:tcW w:w="1599" w:type="dxa"/>
            <w:tcBorders>
              <w:top w:val="nil"/>
              <w:left w:val="nil"/>
              <w:bottom w:val="single" w:color="auto" w:sz="8" w:space="0"/>
              <w:right w:val="single" w:color="auto" w:sz="8" w:space="0"/>
            </w:tcBorders>
            <w:shd w:val="clear"/>
            <w:tcMar>
              <w:top w:w="15" w:type="dxa"/>
              <w:left w:w="15" w:type="dxa"/>
              <w:bottom w:w="15" w:type="dxa"/>
              <w:right w:w="15" w:type="dxa"/>
            </w:tcMar>
            <w:vAlign w:val="top"/>
          </w:tcPr>
          <w:p w14:paraId="6EA016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 </w:t>
            </w:r>
          </w:p>
          <w:p w14:paraId="4DA114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 </w:t>
            </w:r>
          </w:p>
          <w:p w14:paraId="26E5AE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 </w:t>
            </w:r>
          </w:p>
          <w:p w14:paraId="353E4C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 </w:t>
            </w:r>
          </w:p>
          <w:p w14:paraId="63A406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 </w:t>
            </w:r>
          </w:p>
          <w:p w14:paraId="0D07FB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局行政审批股</w:t>
            </w:r>
          </w:p>
        </w:tc>
        <w:tc>
          <w:tcPr>
            <w:tcW w:w="8841"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A38CA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农业机械安全监督管理条例》第二十八条：“当事人对农业机械事故损害赔偿有争议，请求调解的，应当自收到事故认定书之日起10个工作日内向农业机械化主管部门书面提出调解申请。调解达成协议的，农业机械化主管部门应当制作调解书送交各方当事人。调解书经各方当事人共同签字后生效。调解不能达成协议或者当事人向人民法院提起诉讼的，农业机械化主管部门应当终止调解并书面通知当事人。调解达成协议后当事人反悔的，可以向人民法院提起诉讼”。《联合收割机及驾驶人安全监理规定》第五十二条：“当事人对损害赔偿有争议的，可以在收到事故认定书之日起１０日内共同向农机监理机构提出书面调解申请，也可以直接向人民法院提起民事诉讼。农机监理机构调解的期限为１０日。调解达成协议的，应当制作调解书，经当事人共同签字后生效；调解未达成协议的，应当制作调解终结书送达当事人。”</w:t>
            </w:r>
          </w:p>
        </w:tc>
        <w:tc>
          <w:tcPr>
            <w:tcW w:w="155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784CF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保留</w:t>
            </w:r>
          </w:p>
        </w:tc>
      </w:tr>
      <w:tr w14:paraId="1E52CD1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899" w:hRule="atLeast"/>
        </w:trPr>
        <w:tc>
          <w:tcPr>
            <w:tcW w:w="594"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03FB7D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13</w:t>
            </w:r>
          </w:p>
        </w:tc>
        <w:tc>
          <w:tcPr>
            <w:tcW w:w="1221"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1C140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农业机械维修质量纠纷调解</w:t>
            </w:r>
          </w:p>
        </w:tc>
        <w:tc>
          <w:tcPr>
            <w:tcW w:w="1599" w:type="dxa"/>
            <w:tcBorders>
              <w:top w:val="nil"/>
              <w:left w:val="nil"/>
              <w:bottom w:val="single" w:color="auto" w:sz="8" w:space="0"/>
              <w:right w:val="single" w:color="auto" w:sz="8" w:space="0"/>
            </w:tcBorders>
            <w:shd w:val="clear"/>
            <w:tcMar>
              <w:top w:w="15" w:type="dxa"/>
              <w:left w:w="15" w:type="dxa"/>
              <w:bottom w:w="15" w:type="dxa"/>
              <w:right w:w="15" w:type="dxa"/>
            </w:tcMar>
            <w:vAlign w:val="top"/>
          </w:tcPr>
          <w:p w14:paraId="6CCC6E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 </w:t>
            </w:r>
          </w:p>
          <w:p w14:paraId="69FECE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 </w:t>
            </w:r>
          </w:p>
          <w:p w14:paraId="1176A7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 </w:t>
            </w:r>
          </w:p>
          <w:p w14:paraId="1D9391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 </w:t>
            </w:r>
          </w:p>
          <w:p w14:paraId="78F461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局行政审批股</w:t>
            </w:r>
          </w:p>
        </w:tc>
        <w:tc>
          <w:tcPr>
            <w:tcW w:w="8841"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48756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农业机械安全监督管理条例》第三十八条：“使用操作过程中发现农业机械存在产品质量、维修质量问题的，当事人可以向县级以上地方人民政府农业机械化主管部门或者县级以上地方质量监督部门、工商行政管理部门投诉。接到投诉的部门对属于职责范围内的事项，应当依法及时处理；对不属于职责范围内的事项，应当及时移交有权处理的部门，有权处理的部门应当立即处理，不得推诿。县级以上地方人民政府农业机械化主管部门和县级以上地方质量监督部门、工商行政管理部门应当定期汇总农业机械产品质量、维修质量投诉情况并逐级上报”；《农业机械维修管理规定》第十八条：“农业机械维修当事人因维修质量发生争议，可以向农业机械化主管部门投诉，或者向工商行政管理部门投诉，农业机械化主管部门和工商行政管理部门应当受理，调解质量纠纷。调解不成的，应当告知当事人向人民法院提起诉讼或者向仲裁机构申请仲裁”。</w:t>
            </w:r>
          </w:p>
        </w:tc>
        <w:tc>
          <w:tcPr>
            <w:tcW w:w="155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5CC39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保留</w:t>
            </w:r>
          </w:p>
        </w:tc>
      </w:tr>
      <w:tr w14:paraId="28F2A29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594"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2BDE5D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14</w:t>
            </w:r>
          </w:p>
        </w:tc>
        <w:tc>
          <w:tcPr>
            <w:tcW w:w="1221"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6C6518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18"/>
                <w:szCs w:val="18"/>
                <w:bdr w:val="none" w:color="auto" w:sz="0" w:space="0"/>
              </w:rPr>
              <w:t>对危及人身财产安全的农业机械进行免费实地安全检验  </w:t>
            </w:r>
            <w:r>
              <w:rPr>
                <w:rFonts w:hint="eastAsia" w:ascii="仿宋" w:hAnsi="仿宋" w:eastAsia="仿宋" w:cs="仿宋"/>
                <w:i w:val="0"/>
                <w:iCs w:val="0"/>
                <w:caps w:val="0"/>
                <w:color w:val="000000"/>
                <w:spacing w:val="0"/>
                <w:sz w:val="21"/>
                <w:szCs w:val="21"/>
                <w:bdr w:val="none" w:color="auto" w:sz="0" w:space="0"/>
              </w:rPr>
              <w:t> </w:t>
            </w:r>
          </w:p>
        </w:tc>
        <w:tc>
          <w:tcPr>
            <w:tcW w:w="159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4097EB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局行政审批股</w:t>
            </w:r>
          </w:p>
        </w:tc>
        <w:tc>
          <w:tcPr>
            <w:tcW w:w="8841"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80E98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   《农业机械安全监督管理条例》（国务院令第563号）第三十条：“县级以上地方人民政府农业机械化主管部门应当定期对危及人身财产安全的农业机械进行免费实地安全检验。但是道路交通安全法律对拖拉机的安全检验另有规定的，从其规定。”</w:t>
            </w:r>
          </w:p>
        </w:tc>
        <w:tc>
          <w:tcPr>
            <w:tcW w:w="155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7AE507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保留</w:t>
            </w:r>
          </w:p>
        </w:tc>
      </w:tr>
      <w:tr w14:paraId="74FA757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22" w:hRule="atLeast"/>
        </w:trPr>
        <w:tc>
          <w:tcPr>
            <w:tcW w:w="594"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0D507B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15</w:t>
            </w:r>
          </w:p>
        </w:tc>
        <w:tc>
          <w:tcPr>
            <w:tcW w:w="1221"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ED2D9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跨区作业联合收割机存在作业质量争议的调解    </w:t>
            </w:r>
          </w:p>
        </w:tc>
        <w:tc>
          <w:tcPr>
            <w:tcW w:w="1599" w:type="dxa"/>
            <w:tcBorders>
              <w:top w:val="nil"/>
              <w:left w:val="nil"/>
              <w:bottom w:val="single" w:color="auto" w:sz="8" w:space="0"/>
              <w:right w:val="single" w:color="auto" w:sz="8" w:space="0"/>
            </w:tcBorders>
            <w:shd w:val="clear"/>
            <w:tcMar>
              <w:top w:w="15" w:type="dxa"/>
              <w:left w:w="15" w:type="dxa"/>
              <w:bottom w:w="15" w:type="dxa"/>
              <w:right w:w="15" w:type="dxa"/>
            </w:tcMar>
            <w:vAlign w:val="top"/>
          </w:tcPr>
          <w:p w14:paraId="510FEA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 </w:t>
            </w:r>
          </w:p>
          <w:p w14:paraId="29CAE4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 </w:t>
            </w:r>
          </w:p>
          <w:p w14:paraId="795630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 </w:t>
            </w:r>
          </w:p>
          <w:p w14:paraId="0FB2B3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局行政审批股</w:t>
            </w:r>
          </w:p>
        </w:tc>
        <w:tc>
          <w:tcPr>
            <w:tcW w:w="8841"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29A3BE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18"/>
                <w:szCs w:val="18"/>
                <w:bdr w:val="none" w:color="auto" w:sz="0" w:space="0"/>
              </w:rPr>
              <w:t>《联合收割机跨区作业管理办法》（农业部令第29号）第十六条：“联合收割机驾驶员必须按照国家及地方有关农机作业质量标准或当事人双方约定的标准进行作业。当事人双方对作业质量存在异议时，可申请作业地的县级以上农机管理部门协调解决。”《河南省农业机械化促进条例》（2008年9月26日河南省第十一届人民代表大会常务委员会第五次会议通过）第二十五条：“各级人民政府及其有关部门应当支持农业机械跨行政区域作业。农业机械、公安、交通等部门应当及时对农业机械跨行政区域作业实施组织、协调和监督管理，维护作业秩序，提供通行便利和技术服务，保护作业者的人身和财产安全，并接受农业机械作业者的咨询和投诉</w:t>
            </w:r>
          </w:p>
        </w:tc>
        <w:tc>
          <w:tcPr>
            <w:tcW w:w="155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E4380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保留</w:t>
            </w:r>
          </w:p>
        </w:tc>
      </w:tr>
      <w:tr w14:paraId="6493880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945" w:hRule="atLeast"/>
        </w:trPr>
        <w:tc>
          <w:tcPr>
            <w:tcW w:w="594"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5D875F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16</w:t>
            </w:r>
          </w:p>
        </w:tc>
        <w:tc>
          <w:tcPr>
            <w:tcW w:w="1221"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49C66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跨区作业中介服务组织备案  </w:t>
            </w:r>
          </w:p>
        </w:tc>
        <w:tc>
          <w:tcPr>
            <w:tcW w:w="1599" w:type="dxa"/>
            <w:tcBorders>
              <w:top w:val="nil"/>
              <w:left w:val="nil"/>
              <w:bottom w:val="single" w:color="auto" w:sz="8" w:space="0"/>
              <w:right w:val="single" w:color="auto" w:sz="8" w:space="0"/>
            </w:tcBorders>
            <w:shd w:val="clear"/>
            <w:tcMar>
              <w:top w:w="15" w:type="dxa"/>
              <w:left w:w="15" w:type="dxa"/>
              <w:bottom w:w="15" w:type="dxa"/>
              <w:right w:w="15" w:type="dxa"/>
            </w:tcMar>
            <w:vAlign w:val="top"/>
          </w:tcPr>
          <w:p w14:paraId="4EE913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 </w:t>
            </w:r>
          </w:p>
          <w:p w14:paraId="4DD6F4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 </w:t>
            </w:r>
          </w:p>
          <w:p w14:paraId="25BE7A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 </w:t>
            </w:r>
          </w:p>
          <w:p w14:paraId="0B4634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 </w:t>
            </w:r>
          </w:p>
          <w:p w14:paraId="569B70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局行政审批股</w:t>
            </w:r>
          </w:p>
        </w:tc>
        <w:tc>
          <w:tcPr>
            <w:tcW w:w="8841"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189C64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15"/>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《联合收割机跨区作业管理办法》（农业部令第29号）第七条第二款：“跨区作业中介服务组织应当向县级以上农机管理部门备案，具体办法由各省、自治区、直辖市农机管理部门制定。”</w:t>
            </w:r>
            <w:r>
              <w:rPr>
                <w:rFonts w:hint="eastAsia" w:ascii="仿宋" w:hAnsi="仿宋" w:eastAsia="仿宋" w:cs="仿宋"/>
                <w:i w:val="0"/>
                <w:iCs w:val="0"/>
                <w:caps w:val="0"/>
                <w:color w:val="000000"/>
                <w:spacing w:val="0"/>
                <w:sz w:val="21"/>
                <w:szCs w:val="21"/>
                <w:bdr w:val="none" w:color="auto" w:sz="0" w:space="0"/>
              </w:rPr>
              <w:br w:type="textWrapping"/>
            </w:r>
            <w:r>
              <w:rPr>
                <w:rFonts w:hint="eastAsia" w:ascii="仿宋" w:hAnsi="仿宋" w:eastAsia="仿宋" w:cs="仿宋"/>
                <w:i w:val="0"/>
                <w:iCs w:val="0"/>
                <w:caps w:val="0"/>
                <w:color w:val="000000"/>
                <w:spacing w:val="0"/>
                <w:sz w:val="21"/>
                <w:szCs w:val="21"/>
                <w:bdr w:val="none" w:color="auto" w:sz="0" w:space="0"/>
              </w:rPr>
              <w:t>     《河南省农业机械化促进条例》（2008年9月26日河南省第十一届人民代表大会常务委员会第五次会议通过）第二十五条：“各级人民政府及其有关部门应当支持农业机械跨行政区域作业。农业机械、公安、交通等部门应当及时对农业机械跨行政区域作业实施组织、协调和监督管理，维护作业秩序，提供通行便利和技术服务，保护作业者的人身和财产安全，并接受农业机械作业者的咨询和投诉</w:t>
            </w:r>
          </w:p>
        </w:tc>
        <w:tc>
          <w:tcPr>
            <w:tcW w:w="155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A38B2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保留</w:t>
            </w:r>
          </w:p>
        </w:tc>
      </w:tr>
      <w:tr w14:paraId="3A144DA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57" w:hRule="atLeast"/>
        </w:trPr>
        <w:tc>
          <w:tcPr>
            <w:tcW w:w="594"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14:paraId="605F0D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17</w:t>
            </w:r>
          </w:p>
        </w:tc>
        <w:tc>
          <w:tcPr>
            <w:tcW w:w="1221"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0B329B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报请本级人民政府对疫区实行封锁</w:t>
            </w:r>
          </w:p>
        </w:tc>
        <w:tc>
          <w:tcPr>
            <w:tcW w:w="159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5DFF5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局行政审批股</w:t>
            </w:r>
          </w:p>
        </w:tc>
        <w:tc>
          <w:tcPr>
            <w:tcW w:w="8841"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5D3B55C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shd w:val="clear" w:fill="FFFFFF"/>
              </w:rPr>
              <w:t>《中华人民共和国动物防疫法》第31条:发生一类动物疫病时，应当采取下列控制和扑灭措施：</w:t>
            </w:r>
          </w:p>
          <w:p w14:paraId="791D7EA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shd w:val="clear" w:fill="FFFFFF"/>
              </w:rPr>
              <w:t>   当地县级以上地方人民政府兽医主管部门应当立即派人到现场，划定疫点、疫区、受威胁区，调查疫源，及时报请本级人民政府对疫区实行封锁。疫区范围涉及两个以上行政区域的，由有关行政区域共同的上一级人民政府对疫区实行封锁，或者由各有关行政区域的上一级人民政府共同对疫区实行封锁。必要时，上级人民政府可以责成下级人民政府对疫区实行封锁。</w:t>
            </w:r>
          </w:p>
          <w:p w14:paraId="6F658C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15"/>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 </w:t>
            </w:r>
          </w:p>
        </w:tc>
        <w:tc>
          <w:tcPr>
            <w:tcW w:w="155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14:paraId="37F231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000000"/>
                <w:spacing w:val="0"/>
                <w:sz w:val="21"/>
                <w:szCs w:val="21"/>
                <w:bdr w:val="none" w:color="auto" w:sz="0" w:space="0"/>
              </w:rPr>
              <w:t>保留</w:t>
            </w:r>
          </w:p>
        </w:tc>
      </w:tr>
    </w:tbl>
    <w:p w14:paraId="220615BA">
      <w:pPr>
        <w:pStyle w:val="3"/>
        <w:keepNext w:val="0"/>
        <w:keepLines w:val="0"/>
        <w:widowControl/>
        <w:suppressLineNumbers w:val="0"/>
        <w:spacing w:before="0" w:beforeAutospacing="0" w:after="0" w:afterAutospacing="0" w:line="280" w:lineRule="atLeast"/>
        <w:ind w:left="0" w:right="0" w:firstLine="0"/>
        <w:jc w:val="both"/>
        <w:rPr>
          <w:rFonts w:hint="default" w:ascii="Times New Roman" w:hAnsi="Times New Roman" w:cs="Times New Roman"/>
          <w:i w:val="0"/>
          <w:iCs w:val="0"/>
          <w:caps w:val="0"/>
          <w:color w:val="000000"/>
          <w:spacing w:val="0"/>
          <w:sz w:val="21"/>
          <w:szCs w:val="21"/>
        </w:rPr>
      </w:pPr>
      <w:r>
        <w:rPr>
          <w:rFonts w:hint="eastAsia" w:ascii="宋体" w:hAnsi="宋体" w:eastAsia="宋体" w:cs="宋体"/>
          <w:i w:val="0"/>
          <w:iCs w:val="0"/>
          <w:caps w:val="0"/>
          <w:color w:val="000000"/>
          <w:spacing w:val="0"/>
          <w:sz w:val="21"/>
          <w:szCs w:val="21"/>
        </w:rPr>
        <w:t> </w:t>
      </w:r>
    </w:p>
    <w:p w14:paraId="261A8A1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A054BC"/>
    <w:rsid w:val="69A05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2025-08-18T01:09:00Z</dcterms:created>
  <dc:creator>张潞潞</dc:creator>
  <cp:lastModifiedBy>张潞潞</cp:lastModifiedBy>
  <dcterms:modified xsi:type="dcterms:W3CDTF">2025-08-18T01:10:58Z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241C83C9351C4AB6971C3DC1857A5BF8_11</vt:lpwstr>
  </property>
  <property fmtid="{D5CDD505-2E9C-101B-9397-08002B2CF9AE}" pid="4" name="KSOTemplateDocerSaveRecord">
    <vt:lpwstr>eyJoZGlkIjoiNDA5NDRhNTM0NjNhOWRlNWU3ZmQ3OTk5OWNiMGQ0NmMiLCJ1c2VySWQiOiI0MzM3NzIwNDIifQ==</vt:lpwstr>
  </property>
</Properties>
</file>