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1F43DB">
      <w:pPr>
        <w:pStyle w:val="2"/>
        <w:widowControl/>
        <w:shd w:val="clear" w:color="auto" w:fill="FFFFFF"/>
        <w:spacing w:line="600" w:lineRule="atLeast"/>
        <w:jc w:val="center"/>
        <w:rPr>
          <w:rFonts w:cs="Calibri"/>
          <w:color w:val="3D3D3D"/>
          <w:sz w:val="21"/>
          <w:szCs w:val="21"/>
        </w:rPr>
      </w:pPr>
      <w:r>
        <w:rPr>
          <w:rFonts w:hint="eastAsia" w:ascii="方正小标宋简体" w:hAnsi="方正小标宋简体" w:eastAsia="方正小标宋简体" w:cs="方正小标宋简体"/>
          <w:color w:val="000000"/>
          <w:sz w:val="44"/>
          <w:szCs w:val="44"/>
          <w:shd w:val="clear" w:color="auto" w:fill="FFFFFF"/>
          <w:lang w:val="en-US" w:eastAsia="zh-CN"/>
        </w:rPr>
        <w:t>桐柏县</w:t>
      </w:r>
      <w:r>
        <w:rPr>
          <w:rFonts w:ascii="方正小标宋简体" w:hAnsi="方正小标宋简体" w:eastAsia="方正小标宋简体" w:cs="方正小标宋简体"/>
          <w:color w:val="000000"/>
          <w:sz w:val="44"/>
          <w:szCs w:val="44"/>
          <w:shd w:val="clear" w:color="auto" w:fill="FFFFFF"/>
        </w:rPr>
        <w:t>供电领域公共企事业单位信息公开目录</w:t>
      </w:r>
    </w:p>
    <w:tbl>
      <w:tblPr>
        <w:tblStyle w:val="3"/>
        <w:tblW w:w="5000" w:type="pct"/>
        <w:jc w:val="center"/>
        <w:tblLayout w:type="autofit"/>
        <w:tblCellMar>
          <w:top w:w="0" w:type="dxa"/>
          <w:left w:w="0" w:type="dxa"/>
          <w:bottom w:w="0" w:type="dxa"/>
          <w:right w:w="0" w:type="dxa"/>
        </w:tblCellMar>
      </w:tblPr>
      <w:tblGrid>
        <w:gridCol w:w="828"/>
        <w:gridCol w:w="1741"/>
        <w:gridCol w:w="1736"/>
        <w:gridCol w:w="6273"/>
        <w:gridCol w:w="3596"/>
      </w:tblGrid>
      <w:tr w14:paraId="2453ADB8">
        <w:trPr>
          <w:trHeight w:val="500" w:hRule="atLeast"/>
          <w:tblHeader/>
          <w:jc w:val="center"/>
        </w:trPr>
        <w:tc>
          <w:tcPr>
            <w:tcW w:w="292"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28379CE">
            <w:pPr>
              <w:pStyle w:val="2"/>
              <w:widowControl/>
              <w:spacing w:line="320" w:lineRule="atLeast"/>
              <w:jc w:val="center"/>
              <w:textAlignment w:val="center"/>
              <w:rPr>
                <w:rFonts w:hint="eastAsia" w:ascii="黑体" w:eastAsia="黑体" w:cs="Calibri"/>
                <w:sz w:val="21"/>
                <w:szCs w:val="21"/>
              </w:rPr>
            </w:pPr>
            <w:r>
              <w:rPr>
                <w:rFonts w:hint="eastAsia" w:ascii="黑体" w:hAnsi="方正黑体_GBK" w:eastAsia="黑体" w:cs="方正黑体_GBK"/>
                <w:color w:val="000000"/>
                <w:sz w:val="22"/>
                <w:szCs w:val="22"/>
              </w:rPr>
              <w:t>序号</w:t>
            </w:r>
          </w:p>
        </w:tc>
        <w:tc>
          <w:tcPr>
            <w:tcW w:w="614"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1C097FC">
            <w:pPr>
              <w:pStyle w:val="2"/>
              <w:widowControl/>
              <w:spacing w:line="320" w:lineRule="atLeast"/>
              <w:jc w:val="center"/>
              <w:textAlignment w:val="center"/>
              <w:rPr>
                <w:rFonts w:hint="eastAsia" w:ascii="黑体" w:eastAsia="黑体" w:cs="Calibri"/>
                <w:sz w:val="21"/>
                <w:szCs w:val="21"/>
              </w:rPr>
            </w:pPr>
            <w:r>
              <w:rPr>
                <w:rFonts w:hint="eastAsia" w:ascii="黑体" w:hAnsi="方正黑体_GBK" w:eastAsia="黑体" w:cs="方正黑体_GBK"/>
                <w:color w:val="000000"/>
                <w:sz w:val="22"/>
                <w:szCs w:val="22"/>
              </w:rPr>
              <w:t>一级事项</w:t>
            </w:r>
          </w:p>
        </w:tc>
        <w:tc>
          <w:tcPr>
            <w:tcW w:w="612"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7F602B6">
            <w:pPr>
              <w:pStyle w:val="2"/>
              <w:widowControl/>
              <w:spacing w:line="320" w:lineRule="atLeast"/>
              <w:jc w:val="center"/>
              <w:textAlignment w:val="center"/>
              <w:rPr>
                <w:rFonts w:hint="eastAsia" w:ascii="黑体" w:eastAsia="黑体" w:cs="Calibri"/>
                <w:sz w:val="21"/>
                <w:szCs w:val="21"/>
              </w:rPr>
            </w:pPr>
            <w:r>
              <w:rPr>
                <w:rFonts w:hint="eastAsia" w:ascii="黑体" w:hAnsi="方正黑体_GBK" w:eastAsia="黑体" w:cs="方正黑体_GBK"/>
                <w:color w:val="000000"/>
                <w:sz w:val="22"/>
                <w:szCs w:val="22"/>
              </w:rPr>
              <w:t>二级事项</w:t>
            </w:r>
          </w:p>
        </w:tc>
        <w:tc>
          <w:tcPr>
            <w:tcW w:w="2212"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FFCA429">
            <w:pPr>
              <w:pStyle w:val="2"/>
              <w:widowControl/>
              <w:spacing w:line="320" w:lineRule="atLeast"/>
              <w:jc w:val="center"/>
              <w:textAlignment w:val="center"/>
              <w:rPr>
                <w:rFonts w:hint="eastAsia" w:ascii="黑体" w:eastAsia="黑体" w:cs="Calibri"/>
                <w:sz w:val="21"/>
                <w:szCs w:val="21"/>
              </w:rPr>
            </w:pPr>
            <w:r>
              <w:rPr>
                <w:rFonts w:hint="eastAsia" w:ascii="黑体" w:hAnsi="方正黑体_GBK" w:eastAsia="黑体" w:cs="方正黑体_GBK"/>
                <w:color w:val="000000"/>
                <w:sz w:val="22"/>
                <w:szCs w:val="22"/>
              </w:rPr>
              <w:t>公开内容</w:t>
            </w:r>
          </w:p>
        </w:tc>
        <w:tc>
          <w:tcPr>
            <w:tcW w:w="1268"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BDA33DC">
            <w:pPr>
              <w:pStyle w:val="2"/>
              <w:widowControl/>
              <w:spacing w:line="320" w:lineRule="atLeast"/>
              <w:jc w:val="center"/>
              <w:textAlignment w:val="center"/>
              <w:rPr>
                <w:rFonts w:hint="eastAsia" w:ascii="黑体" w:eastAsia="黑体" w:cs="Calibri"/>
                <w:sz w:val="21"/>
                <w:szCs w:val="21"/>
              </w:rPr>
            </w:pPr>
            <w:r>
              <w:rPr>
                <w:rFonts w:hint="eastAsia" w:ascii="黑体" w:hAnsi="方正黑体_GBK" w:eastAsia="黑体" w:cs="方正黑体_GBK"/>
                <w:color w:val="000000"/>
                <w:sz w:val="22"/>
                <w:szCs w:val="22"/>
              </w:rPr>
              <w:t>公开主体</w:t>
            </w:r>
          </w:p>
        </w:tc>
      </w:tr>
      <w:tr w14:paraId="7C806390">
        <w:tblPrEx>
          <w:tblCellMar>
            <w:top w:w="0" w:type="dxa"/>
            <w:left w:w="0" w:type="dxa"/>
            <w:bottom w:w="0" w:type="dxa"/>
            <w:right w:w="0" w:type="dxa"/>
          </w:tblCellMar>
        </w:tblPrEx>
        <w:trPr>
          <w:trHeight w:val="501" w:hRule="atLeast"/>
          <w:jc w:val="center"/>
        </w:trPr>
        <w:tc>
          <w:tcPr>
            <w:tcW w:w="292" w:type="pct"/>
            <w:vMerge w:val="restart"/>
            <w:tcBorders>
              <w:top w:val="single" w:color="auto" w:sz="4" w:space="0"/>
              <w:left w:val="single" w:color="000000" w:sz="8" w:space="0"/>
              <w:bottom w:val="single" w:color="000000" w:sz="8" w:space="0"/>
              <w:right w:val="single" w:color="000000" w:sz="8" w:space="0"/>
            </w:tcBorders>
            <w:noWrap w:val="0"/>
            <w:tcMar>
              <w:left w:w="108" w:type="dxa"/>
              <w:right w:w="108" w:type="dxa"/>
            </w:tcMar>
            <w:vAlign w:val="center"/>
          </w:tcPr>
          <w:p w14:paraId="33D27782">
            <w:pPr>
              <w:pStyle w:val="2"/>
              <w:widowControl/>
              <w:spacing w:line="320" w:lineRule="atLeas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1</w:t>
            </w:r>
          </w:p>
        </w:tc>
        <w:tc>
          <w:tcPr>
            <w:tcW w:w="614" w:type="pct"/>
            <w:vMerge w:val="restart"/>
            <w:tcBorders>
              <w:top w:val="single" w:color="auto" w:sz="4" w:space="0"/>
              <w:left w:val="nil"/>
              <w:bottom w:val="single" w:color="000000" w:sz="8" w:space="0"/>
              <w:right w:val="single" w:color="000000" w:sz="8" w:space="0"/>
            </w:tcBorders>
            <w:noWrap w:val="0"/>
            <w:tcMar>
              <w:left w:w="108" w:type="dxa"/>
              <w:right w:w="108" w:type="dxa"/>
            </w:tcMar>
            <w:vAlign w:val="center"/>
          </w:tcPr>
          <w:p w14:paraId="60C1DC1F">
            <w:pPr>
              <w:pStyle w:val="2"/>
              <w:widowControl/>
              <w:spacing w:line="320" w:lineRule="atLeas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基本情况</w:t>
            </w:r>
          </w:p>
        </w:tc>
        <w:tc>
          <w:tcPr>
            <w:tcW w:w="612" w:type="pct"/>
            <w:tcBorders>
              <w:top w:val="single" w:color="auto" w:sz="4" w:space="0"/>
              <w:left w:val="nil"/>
              <w:bottom w:val="single" w:color="000000" w:sz="8" w:space="0"/>
              <w:right w:val="single" w:color="000000" w:sz="8" w:space="0"/>
            </w:tcBorders>
            <w:noWrap w:val="0"/>
            <w:tcMar>
              <w:left w:w="108" w:type="dxa"/>
              <w:right w:w="108" w:type="dxa"/>
            </w:tcMar>
            <w:vAlign w:val="center"/>
          </w:tcPr>
          <w:p w14:paraId="43FC6C56">
            <w:pPr>
              <w:pStyle w:val="2"/>
              <w:widowControl/>
              <w:spacing w:line="320" w:lineRule="atLeas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企业简介</w:t>
            </w:r>
          </w:p>
        </w:tc>
        <w:tc>
          <w:tcPr>
            <w:tcW w:w="2212" w:type="pct"/>
            <w:tcBorders>
              <w:top w:val="single" w:color="auto" w:sz="4" w:space="0"/>
              <w:left w:val="nil"/>
              <w:bottom w:val="single" w:color="000000" w:sz="8" w:space="0"/>
              <w:right w:val="single" w:color="000000" w:sz="8" w:space="0"/>
            </w:tcBorders>
            <w:noWrap w:val="0"/>
            <w:tcMar>
              <w:left w:w="108" w:type="dxa"/>
              <w:right w:w="108" w:type="dxa"/>
            </w:tcMar>
            <w:vAlign w:val="center"/>
          </w:tcPr>
          <w:p w14:paraId="1FEC7C9E">
            <w:pPr>
              <w:pStyle w:val="2"/>
              <w:widowControl/>
              <w:spacing w:line="320" w:lineRule="atLeast"/>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企业性质、办公地址、联系方式、供电类电力业务许可证及编号等。</w:t>
            </w:r>
          </w:p>
        </w:tc>
        <w:tc>
          <w:tcPr>
            <w:tcW w:w="1268" w:type="pct"/>
            <w:tcBorders>
              <w:top w:val="single" w:color="auto" w:sz="4" w:space="0"/>
              <w:left w:val="nil"/>
              <w:bottom w:val="single" w:color="000000" w:sz="8" w:space="0"/>
              <w:right w:val="single" w:color="000000" w:sz="8" w:space="0"/>
            </w:tcBorders>
            <w:noWrap w:val="0"/>
            <w:tcMar>
              <w:left w:w="108" w:type="dxa"/>
              <w:right w:w="108" w:type="dxa"/>
            </w:tcMar>
            <w:vAlign w:val="center"/>
          </w:tcPr>
          <w:p w14:paraId="2896FBAB">
            <w:pPr>
              <w:pStyle w:val="2"/>
              <w:widowControl/>
              <w:spacing w:line="320" w:lineRule="atLeas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各供电企业</w:t>
            </w:r>
          </w:p>
        </w:tc>
      </w:tr>
      <w:tr w14:paraId="110F4545">
        <w:tblPrEx>
          <w:tblCellMar>
            <w:top w:w="0" w:type="dxa"/>
            <w:left w:w="0" w:type="dxa"/>
            <w:bottom w:w="0" w:type="dxa"/>
            <w:right w:w="0" w:type="dxa"/>
          </w:tblCellMar>
        </w:tblPrEx>
        <w:trPr>
          <w:trHeight w:val="258" w:hRule="atLeast"/>
          <w:jc w:val="center"/>
        </w:trPr>
        <w:tc>
          <w:tcPr>
            <w:tcW w:w="292" w:type="pct"/>
            <w:vMerge w:val="continue"/>
            <w:tcBorders>
              <w:top w:val="nil"/>
              <w:left w:val="single" w:color="000000" w:sz="8" w:space="0"/>
              <w:bottom w:val="single" w:color="000000" w:sz="8" w:space="0"/>
              <w:right w:val="single" w:color="000000" w:sz="8" w:space="0"/>
            </w:tcBorders>
            <w:noWrap w:val="0"/>
            <w:tcMar>
              <w:left w:w="108" w:type="dxa"/>
              <w:right w:w="108" w:type="dxa"/>
            </w:tcMar>
            <w:vAlign w:val="center"/>
          </w:tcPr>
          <w:p w14:paraId="00027B1C">
            <w:pPr>
              <w:jc w:val="center"/>
              <w:rPr>
                <w:rFonts w:hint="eastAsia" w:ascii="仿宋_GB2312" w:hAnsi="Times New Roman" w:eastAsia="仿宋_GB2312"/>
                <w:sz w:val="20"/>
                <w:szCs w:val="20"/>
              </w:rPr>
            </w:pPr>
          </w:p>
        </w:tc>
        <w:tc>
          <w:tcPr>
            <w:tcW w:w="614" w:type="pct"/>
            <w:vMerge w:val="continue"/>
            <w:tcBorders>
              <w:top w:val="nil"/>
              <w:left w:val="nil"/>
              <w:bottom w:val="single" w:color="000000" w:sz="8" w:space="0"/>
              <w:right w:val="single" w:color="000000" w:sz="8" w:space="0"/>
            </w:tcBorders>
            <w:noWrap w:val="0"/>
            <w:tcMar>
              <w:left w:w="108" w:type="dxa"/>
              <w:right w:w="108" w:type="dxa"/>
            </w:tcMar>
            <w:vAlign w:val="center"/>
          </w:tcPr>
          <w:p w14:paraId="31A40983">
            <w:pPr>
              <w:jc w:val="center"/>
              <w:rPr>
                <w:rFonts w:hint="eastAsia" w:ascii="仿宋_GB2312" w:hAnsi="Times New Roman" w:eastAsia="仿宋_GB2312"/>
                <w:sz w:val="20"/>
                <w:szCs w:val="20"/>
              </w:rPr>
            </w:pPr>
          </w:p>
        </w:tc>
        <w:tc>
          <w:tcPr>
            <w:tcW w:w="612" w:type="pct"/>
            <w:tcBorders>
              <w:top w:val="nil"/>
              <w:left w:val="nil"/>
              <w:bottom w:val="single" w:color="000000" w:sz="8" w:space="0"/>
              <w:right w:val="single" w:color="000000" w:sz="8" w:space="0"/>
            </w:tcBorders>
            <w:noWrap w:val="0"/>
            <w:tcMar>
              <w:left w:w="108" w:type="dxa"/>
              <w:right w:w="108" w:type="dxa"/>
            </w:tcMar>
            <w:vAlign w:val="center"/>
          </w:tcPr>
          <w:p w14:paraId="29070653">
            <w:pPr>
              <w:pStyle w:val="2"/>
              <w:widowControl/>
              <w:spacing w:line="320" w:lineRule="atLeas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营业场所</w:t>
            </w:r>
          </w:p>
        </w:tc>
        <w:tc>
          <w:tcPr>
            <w:tcW w:w="2212" w:type="pct"/>
            <w:tcBorders>
              <w:top w:val="nil"/>
              <w:left w:val="nil"/>
              <w:bottom w:val="single" w:color="000000" w:sz="8" w:space="0"/>
              <w:right w:val="single" w:color="000000" w:sz="8" w:space="0"/>
            </w:tcBorders>
            <w:noWrap w:val="0"/>
            <w:tcMar>
              <w:left w:w="108" w:type="dxa"/>
              <w:right w:w="108" w:type="dxa"/>
            </w:tcMar>
            <w:vAlign w:val="center"/>
          </w:tcPr>
          <w:p w14:paraId="22CCD9A2">
            <w:pPr>
              <w:pStyle w:val="2"/>
              <w:widowControl/>
              <w:spacing w:line="320" w:lineRule="atLeast"/>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企业营业场所（网点）的名称、地址、联系方式等。</w:t>
            </w:r>
          </w:p>
        </w:tc>
        <w:tc>
          <w:tcPr>
            <w:tcW w:w="1268" w:type="pct"/>
            <w:tcBorders>
              <w:top w:val="nil"/>
              <w:left w:val="nil"/>
              <w:bottom w:val="single" w:color="000000" w:sz="8" w:space="0"/>
              <w:right w:val="single" w:color="000000" w:sz="8" w:space="0"/>
            </w:tcBorders>
            <w:noWrap w:val="0"/>
            <w:tcMar>
              <w:left w:w="108" w:type="dxa"/>
              <w:right w:w="108" w:type="dxa"/>
            </w:tcMar>
            <w:vAlign w:val="center"/>
          </w:tcPr>
          <w:p w14:paraId="4FCFDEB1">
            <w:pPr>
              <w:pStyle w:val="2"/>
              <w:widowControl/>
              <w:spacing w:line="320" w:lineRule="atLeas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各供电企业</w:t>
            </w:r>
          </w:p>
        </w:tc>
      </w:tr>
      <w:tr w14:paraId="3AC0E5AF">
        <w:tblPrEx>
          <w:tblCellMar>
            <w:top w:w="0" w:type="dxa"/>
            <w:left w:w="0" w:type="dxa"/>
            <w:bottom w:w="0" w:type="dxa"/>
            <w:right w:w="0" w:type="dxa"/>
          </w:tblCellMar>
        </w:tblPrEx>
        <w:trPr>
          <w:trHeight w:val="501" w:hRule="atLeast"/>
          <w:jc w:val="center"/>
        </w:trPr>
        <w:tc>
          <w:tcPr>
            <w:tcW w:w="292" w:type="pct"/>
            <w:vMerge w:val="restart"/>
            <w:tcBorders>
              <w:top w:val="nil"/>
              <w:left w:val="single" w:color="000000" w:sz="8" w:space="0"/>
              <w:bottom w:val="single" w:color="000000" w:sz="8" w:space="0"/>
              <w:right w:val="single" w:color="000000" w:sz="8" w:space="0"/>
            </w:tcBorders>
            <w:noWrap w:val="0"/>
            <w:tcMar>
              <w:left w:w="108" w:type="dxa"/>
              <w:right w:w="108" w:type="dxa"/>
            </w:tcMar>
            <w:vAlign w:val="center"/>
          </w:tcPr>
          <w:p w14:paraId="69153E93">
            <w:pPr>
              <w:pStyle w:val="2"/>
              <w:widowControl/>
              <w:spacing w:line="320" w:lineRule="atLeas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2</w:t>
            </w:r>
          </w:p>
        </w:tc>
        <w:tc>
          <w:tcPr>
            <w:tcW w:w="614" w:type="pct"/>
            <w:vMerge w:val="restart"/>
            <w:tcBorders>
              <w:top w:val="nil"/>
              <w:left w:val="nil"/>
              <w:bottom w:val="single" w:color="000000" w:sz="8" w:space="0"/>
              <w:right w:val="single" w:color="000000" w:sz="8" w:space="0"/>
            </w:tcBorders>
            <w:noWrap w:val="0"/>
            <w:tcMar>
              <w:left w:w="108" w:type="dxa"/>
              <w:right w:w="108" w:type="dxa"/>
            </w:tcMar>
            <w:vAlign w:val="center"/>
          </w:tcPr>
          <w:p w14:paraId="345CA378">
            <w:pPr>
              <w:pStyle w:val="2"/>
              <w:widowControl/>
              <w:spacing w:line="320" w:lineRule="atLeas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办事服务</w:t>
            </w:r>
          </w:p>
        </w:tc>
        <w:tc>
          <w:tcPr>
            <w:tcW w:w="612" w:type="pct"/>
            <w:tcBorders>
              <w:top w:val="nil"/>
              <w:left w:val="nil"/>
              <w:bottom w:val="single" w:color="000000" w:sz="8" w:space="0"/>
              <w:right w:val="single" w:color="000000" w:sz="8" w:space="0"/>
            </w:tcBorders>
            <w:noWrap w:val="0"/>
            <w:tcMar>
              <w:left w:w="108" w:type="dxa"/>
              <w:right w:w="108" w:type="dxa"/>
            </w:tcMar>
            <w:vAlign w:val="center"/>
          </w:tcPr>
          <w:p w14:paraId="5CD13F3D">
            <w:pPr>
              <w:pStyle w:val="2"/>
              <w:widowControl/>
              <w:spacing w:line="320" w:lineRule="atLeas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报装程序</w:t>
            </w:r>
          </w:p>
        </w:tc>
        <w:tc>
          <w:tcPr>
            <w:tcW w:w="2212" w:type="pct"/>
            <w:tcBorders>
              <w:top w:val="nil"/>
              <w:left w:val="nil"/>
              <w:bottom w:val="single" w:color="000000" w:sz="8" w:space="0"/>
              <w:right w:val="single" w:color="000000" w:sz="8" w:space="0"/>
            </w:tcBorders>
            <w:noWrap w:val="0"/>
            <w:tcMar>
              <w:left w:w="108" w:type="dxa"/>
              <w:right w:w="108" w:type="dxa"/>
            </w:tcMar>
            <w:vAlign w:val="center"/>
          </w:tcPr>
          <w:p w14:paraId="7DD5B492">
            <w:pPr>
              <w:pStyle w:val="2"/>
              <w:widowControl/>
              <w:spacing w:line="320" w:lineRule="atLeast"/>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各类用户办理新装、增容与变更用电性质等用电业务的工作流程、办理时限、办理环节、申请资料等信息。</w:t>
            </w:r>
          </w:p>
        </w:tc>
        <w:tc>
          <w:tcPr>
            <w:tcW w:w="1268" w:type="pct"/>
            <w:tcBorders>
              <w:top w:val="nil"/>
              <w:left w:val="nil"/>
              <w:bottom w:val="single" w:color="000000" w:sz="8" w:space="0"/>
              <w:right w:val="single" w:color="000000" w:sz="8" w:space="0"/>
            </w:tcBorders>
            <w:noWrap w:val="0"/>
            <w:tcMar>
              <w:left w:w="108" w:type="dxa"/>
              <w:right w:w="108" w:type="dxa"/>
            </w:tcMar>
            <w:vAlign w:val="center"/>
          </w:tcPr>
          <w:p w14:paraId="7E5A955C">
            <w:pPr>
              <w:pStyle w:val="2"/>
              <w:widowControl/>
              <w:spacing w:line="320" w:lineRule="atLeas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各供电企业</w:t>
            </w:r>
          </w:p>
        </w:tc>
      </w:tr>
      <w:tr w14:paraId="2DC4945D">
        <w:tblPrEx>
          <w:tblCellMar>
            <w:top w:w="0" w:type="dxa"/>
            <w:left w:w="0" w:type="dxa"/>
            <w:bottom w:w="0" w:type="dxa"/>
            <w:right w:w="0" w:type="dxa"/>
          </w:tblCellMar>
        </w:tblPrEx>
        <w:trPr>
          <w:trHeight w:val="501" w:hRule="atLeast"/>
          <w:jc w:val="center"/>
        </w:trPr>
        <w:tc>
          <w:tcPr>
            <w:tcW w:w="292" w:type="pct"/>
            <w:vMerge w:val="continue"/>
            <w:tcBorders>
              <w:top w:val="nil"/>
              <w:left w:val="single" w:color="000000" w:sz="8" w:space="0"/>
              <w:bottom w:val="single" w:color="000000" w:sz="8" w:space="0"/>
              <w:right w:val="single" w:color="000000" w:sz="8" w:space="0"/>
            </w:tcBorders>
            <w:noWrap w:val="0"/>
            <w:tcMar>
              <w:left w:w="108" w:type="dxa"/>
              <w:right w:w="108" w:type="dxa"/>
            </w:tcMar>
            <w:vAlign w:val="center"/>
          </w:tcPr>
          <w:p w14:paraId="7D21852C">
            <w:pPr>
              <w:jc w:val="center"/>
              <w:rPr>
                <w:rFonts w:hint="eastAsia" w:ascii="仿宋_GB2312" w:hAnsi="Times New Roman" w:eastAsia="仿宋_GB2312"/>
                <w:sz w:val="20"/>
                <w:szCs w:val="20"/>
              </w:rPr>
            </w:pPr>
          </w:p>
        </w:tc>
        <w:tc>
          <w:tcPr>
            <w:tcW w:w="614" w:type="pct"/>
            <w:vMerge w:val="continue"/>
            <w:tcBorders>
              <w:top w:val="nil"/>
              <w:left w:val="nil"/>
              <w:bottom w:val="single" w:color="000000" w:sz="8" w:space="0"/>
              <w:right w:val="single" w:color="000000" w:sz="8" w:space="0"/>
            </w:tcBorders>
            <w:noWrap w:val="0"/>
            <w:tcMar>
              <w:left w:w="108" w:type="dxa"/>
              <w:right w:w="108" w:type="dxa"/>
            </w:tcMar>
            <w:vAlign w:val="center"/>
          </w:tcPr>
          <w:p w14:paraId="23802DAF">
            <w:pPr>
              <w:jc w:val="center"/>
              <w:rPr>
                <w:rFonts w:hint="eastAsia" w:ascii="仿宋_GB2312" w:hAnsi="Times New Roman" w:eastAsia="仿宋_GB2312"/>
                <w:sz w:val="20"/>
                <w:szCs w:val="20"/>
              </w:rPr>
            </w:pPr>
          </w:p>
        </w:tc>
        <w:tc>
          <w:tcPr>
            <w:tcW w:w="612" w:type="pct"/>
            <w:tcBorders>
              <w:top w:val="nil"/>
              <w:left w:val="nil"/>
              <w:bottom w:val="single" w:color="000000" w:sz="8" w:space="0"/>
              <w:right w:val="single" w:color="000000" w:sz="8" w:space="0"/>
            </w:tcBorders>
            <w:noWrap w:val="0"/>
            <w:tcMar>
              <w:left w:w="108" w:type="dxa"/>
              <w:right w:w="108" w:type="dxa"/>
            </w:tcMar>
            <w:vAlign w:val="center"/>
          </w:tcPr>
          <w:p w14:paraId="4D522D56">
            <w:pPr>
              <w:pStyle w:val="2"/>
              <w:widowControl/>
              <w:spacing w:line="320" w:lineRule="atLeas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审核查验</w:t>
            </w:r>
          </w:p>
        </w:tc>
        <w:tc>
          <w:tcPr>
            <w:tcW w:w="2212" w:type="pct"/>
            <w:tcBorders>
              <w:top w:val="nil"/>
              <w:left w:val="nil"/>
              <w:bottom w:val="single" w:color="000000" w:sz="8" w:space="0"/>
              <w:right w:val="single" w:color="000000" w:sz="8" w:space="0"/>
            </w:tcBorders>
            <w:noWrap w:val="0"/>
            <w:tcMar>
              <w:left w:w="108" w:type="dxa"/>
              <w:right w:w="108" w:type="dxa"/>
            </w:tcMar>
            <w:vAlign w:val="center"/>
          </w:tcPr>
          <w:p w14:paraId="573E234D">
            <w:pPr>
              <w:pStyle w:val="2"/>
              <w:widowControl/>
              <w:spacing w:line="320" w:lineRule="atLeast"/>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业务办理环节中涉及审核查验事项的范围、明细和依据等信息。</w:t>
            </w:r>
          </w:p>
        </w:tc>
        <w:tc>
          <w:tcPr>
            <w:tcW w:w="1268" w:type="pct"/>
            <w:tcBorders>
              <w:top w:val="nil"/>
              <w:left w:val="nil"/>
              <w:bottom w:val="single" w:color="000000" w:sz="8" w:space="0"/>
              <w:right w:val="single" w:color="000000" w:sz="8" w:space="0"/>
            </w:tcBorders>
            <w:noWrap w:val="0"/>
            <w:tcMar>
              <w:left w:w="108" w:type="dxa"/>
              <w:right w:w="108" w:type="dxa"/>
            </w:tcMar>
            <w:vAlign w:val="center"/>
          </w:tcPr>
          <w:p w14:paraId="4CDF8EB0">
            <w:pPr>
              <w:pStyle w:val="2"/>
              <w:widowControl/>
              <w:spacing w:line="320" w:lineRule="atLeas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各供电企业</w:t>
            </w:r>
          </w:p>
        </w:tc>
      </w:tr>
      <w:tr w14:paraId="51BB37D8">
        <w:tblPrEx>
          <w:tblCellMar>
            <w:top w:w="0" w:type="dxa"/>
            <w:left w:w="0" w:type="dxa"/>
            <w:bottom w:w="0" w:type="dxa"/>
            <w:right w:w="0" w:type="dxa"/>
          </w:tblCellMar>
        </w:tblPrEx>
        <w:trPr>
          <w:trHeight w:val="258" w:hRule="atLeast"/>
          <w:jc w:val="center"/>
        </w:trPr>
        <w:tc>
          <w:tcPr>
            <w:tcW w:w="292" w:type="pct"/>
            <w:vMerge w:val="restart"/>
            <w:tcBorders>
              <w:top w:val="nil"/>
              <w:left w:val="single" w:color="000000" w:sz="8" w:space="0"/>
              <w:bottom w:val="single" w:color="000000" w:sz="8" w:space="0"/>
              <w:right w:val="single" w:color="000000" w:sz="8" w:space="0"/>
            </w:tcBorders>
            <w:noWrap w:val="0"/>
            <w:tcMar>
              <w:left w:w="108" w:type="dxa"/>
              <w:right w:w="108" w:type="dxa"/>
            </w:tcMar>
            <w:vAlign w:val="center"/>
          </w:tcPr>
          <w:p w14:paraId="1EE0BE7E">
            <w:pPr>
              <w:pStyle w:val="2"/>
              <w:widowControl/>
              <w:spacing w:line="320" w:lineRule="atLeas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3</w:t>
            </w:r>
          </w:p>
        </w:tc>
        <w:tc>
          <w:tcPr>
            <w:tcW w:w="614" w:type="pct"/>
            <w:vMerge w:val="restart"/>
            <w:tcBorders>
              <w:top w:val="nil"/>
              <w:left w:val="nil"/>
              <w:bottom w:val="single" w:color="000000" w:sz="8" w:space="0"/>
              <w:right w:val="single" w:color="000000" w:sz="8" w:space="0"/>
            </w:tcBorders>
            <w:noWrap w:val="0"/>
            <w:tcMar>
              <w:left w:w="108" w:type="dxa"/>
              <w:right w:w="108" w:type="dxa"/>
            </w:tcMar>
            <w:vAlign w:val="center"/>
          </w:tcPr>
          <w:p w14:paraId="787DF315">
            <w:pPr>
              <w:pStyle w:val="2"/>
              <w:widowControl/>
              <w:spacing w:line="320" w:lineRule="atLeas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电价收费</w:t>
            </w:r>
          </w:p>
        </w:tc>
        <w:tc>
          <w:tcPr>
            <w:tcW w:w="612" w:type="pct"/>
            <w:tcBorders>
              <w:top w:val="nil"/>
              <w:left w:val="nil"/>
              <w:bottom w:val="single" w:color="000000" w:sz="8" w:space="0"/>
              <w:right w:val="single" w:color="000000" w:sz="8" w:space="0"/>
            </w:tcBorders>
            <w:noWrap w:val="0"/>
            <w:tcMar>
              <w:left w:w="108" w:type="dxa"/>
              <w:right w:w="108" w:type="dxa"/>
            </w:tcMar>
            <w:vAlign w:val="center"/>
          </w:tcPr>
          <w:p w14:paraId="42BD986B">
            <w:pPr>
              <w:pStyle w:val="2"/>
              <w:widowControl/>
              <w:spacing w:line="320" w:lineRule="atLeas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收费依据</w:t>
            </w:r>
          </w:p>
        </w:tc>
        <w:tc>
          <w:tcPr>
            <w:tcW w:w="2212" w:type="pct"/>
            <w:tcBorders>
              <w:top w:val="nil"/>
              <w:left w:val="nil"/>
              <w:bottom w:val="single" w:color="000000" w:sz="8" w:space="0"/>
              <w:right w:val="single" w:color="000000" w:sz="8" w:space="0"/>
            </w:tcBorders>
            <w:noWrap w:val="0"/>
            <w:tcMar>
              <w:left w:w="108" w:type="dxa"/>
              <w:right w:w="108" w:type="dxa"/>
            </w:tcMar>
            <w:vAlign w:val="center"/>
          </w:tcPr>
          <w:p w14:paraId="05BED660">
            <w:pPr>
              <w:pStyle w:val="2"/>
              <w:widowControl/>
              <w:spacing w:line="320" w:lineRule="atLeast"/>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企业向各类用户计收电费时执行的政策文件。</w:t>
            </w:r>
          </w:p>
        </w:tc>
        <w:tc>
          <w:tcPr>
            <w:tcW w:w="1268" w:type="pct"/>
            <w:tcBorders>
              <w:top w:val="nil"/>
              <w:left w:val="nil"/>
              <w:bottom w:val="single" w:color="000000" w:sz="8" w:space="0"/>
              <w:right w:val="single" w:color="000000" w:sz="8" w:space="0"/>
            </w:tcBorders>
            <w:noWrap w:val="0"/>
            <w:tcMar>
              <w:left w:w="108" w:type="dxa"/>
              <w:right w:w="108" w:type="dxa"/>
            </w:tcMar>
            <w:vAlign w:val="center"/>
          </w:tcPr>
          <w:p w14:paraId="54C01393">
            <w:pPr>
              <w:pStyle w:val="2"/>
              <w:widowControl/>
              <w:spacing w:line="320" w:lineRule="atLeas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各供电企业</w:t>
            </w:r>
          </w:p>
        </w:tc>
      </w:tr>
      <w:tr w14:paraId="1230E8D7">
        <w:tblPrEx>
          <w:tblCellMar>
            <w:top w:w="0" w:type="dxa"/>
            <w:left w:w="0" w:type="dxa"/>
            <w:bottom w:w="0" w:type="dxa"/>
            <w:right w:w="0" w:type="dxa"/>
          </w:tblCellMar>
        </w:tblPrEx>
        <w:trPr>
          <w:trHeight w:val="258" w:hRule="atLeast"/>
          <w:jc w:val="center"/>
        </w:trPr>
        <w:tc>
          <w:tcPr>
            <w:tcW w:w="292" w:type="pct"/>
            <w:vMerge w:val="continue"/>
            <w:tcBorders>
              <w:top w:val="nil"/>
              <w:left w:val="single" w:color="000000" w:sz="8" w:space="0"/>
              <w:bottom w:val="single" w:color="000000" w:sz="8" w:space="0"/>
              <w:right w:val="single" w:color="000000" w:sz="8" w:space="0"/>
            </w:tcBorders>
            <w:noWrap w:val="0"/>
            <w:tcMar>
              <w:left w:w="108" w:type="dxa"/>
              <w:right w:w="108" w:type="dxa"/>
            </w:tcMar>
            <w:vAlign w:val="center"/>
          </w:tcPr>
          <w:p w14:paraId="4F6131C6">
            <w:pPr>
              <w:jc w:val="center"/>
              <w:rPr>
                <w:rFonts w:hint="eastAsia" w:ascii="仿宋_GB2312" w:hAnsi="Times New Roman" w:eastAsia="仿宋_GB2312"/>
                <w:sz w:val="20"/>
                <w:szCs w:val="20"/>
              </w:rPr>
            </w:pPr>
          </w:p>
        </w:tc>
        <w:tc>
          <w:tcPr>
            <w:tcW w:w="614" w:type="pct"/>
            <w:vMerge w:val="continue"/>
            <w:tcBorders>
              <w:top w:val="nil"/>
              <w:left w:val="nil"/>
              <w:bottom w:val="single" w:color="000000" w:sz="8" w:space="0"/>
              <w:right w:val="single" w:color="000000" w:sz="8" w:space="0"/>
            </w:tcBorders>
            <w:noWrap w:val="0"/>
            <w:tcMar>
              <w:left w:w="108" w:type="dxa"/>
              <w:right w:w="108" w:type="dxa"/>
            </w:tcMar>
            <w:vAlign w:val="center"/>
          </w:tcPr>
          <w:p w14:paraId="3F70A014">
            <w:pPr>
              <w:jc w:val="center"/>
              <w:rPr>
                <w:rFonts w:hint="eastAsia" w:ascii="仿宋_GB2312" w:hAnsi="Times New Roman" w:eastAsia="仿宋_GB2312"/>
                <w:sz w:val="20"/>
                <w:szCs w:val="20"/>
              </w:rPr>
            </w:pPr>
          </w:p>
        </w:tc>
        <w:tc>
          <w:tcPr>
            <w:tcW w:w="612" w:type="pct"/>
            <w:tcBorders>
              <w:top w:val="nil"/>
              <w:left w:val="nil"/>
              <w:bottom w:val="single" w:color="000000" w:sz="8" w:space="0"/>
              <w:right w:val="single" w:color="000000" w:sz="8" w:space="0"/>
            </w:tcBorders>
            <w:noWrap w:val="0"/>
            <w:tcMar>
              <w:left w:w="108" w:type="dxa"/>
              <w:right w:w="108" w:type="dxa"/>
            </w:tcMar>
            <w:vAlign w:val="center"/>
          </w:tcPr>
          <w:p w14:paraId="3772368C">
            <w:pPr>
              <w:pStyle w:val="2"/>
              <w:widowControl/>
              <w:spacing w:line="320" w:lineRule="atLeas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服务收费</w:t>
            </w:r>
          </w:p>
        </w:tc>
        <w:tc>
          <w:tcPr>
            <w:tcW w:w="2212" w:type="pct"/>
            <w:tcBorders>
              <w:top w:val="nil"/>
              <w:left w:val="nil"/>
              <w:bottom w:val="single" w:color="000000" w:sz="8" w:space="0"/>
              <w:right w:val="single" w:color="000000" w:sz="8" w:space="0"/>
            </w:tcBorders>
            <w:noWrap w:val="0"/>
            <w:tcMar>
              <w:left w:w="108" w:type="dxa"/>
              <w:right w:w="108" w:type="dxa"/>
            </w:tcMar>
            <w:vAlign w:val="center"/>
          </w:tcPr>
          <w:p w14:paraId="4B4AA780">
            <w:pPr>
              <w:pStyle w:val="2"/>
              <w:widowControl/>
              <w:spacing w:line="320" w:lineRule="atLeast"/>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企业向用户提供有偿服务时收费的项目、标准和依据等。</w:t>
            </w:r>
          </w:p>
        </w:tc>
        <w:tc>
          <w:tcPr>
            <w:tcW w:w="1268" w:type="pct"/>
            <w:tcBorders>
              <w:top w:val="nil"/>
              <w:left w:val="nil"/>
              <w:bottom w:val="single" w:color="000000" w:sz="8" w:space="0"/>
              <w:right w:val="single" w:color="000000" w:sz="8" w:space="0"/>
            </w:tcBorders>
            <w:noWrap w:val="0"/>
            <w:tcMar>
              <w:left w:w="108" w:type="dxa"/>
              <w:right w:w="108" w:type="dxa"/>
            </w:tcMar>
            <w:vAlign w:val="center"/>
          </w:tcPr>
          <w:p w14:paraId="5C84A089">
            <w:pPr>
              <w:pStyle w:val="2"/>
              <w:widowControl/>
              <w:spacing w:line="320" w:lineRule="atLeas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各供电企业</w:t>
            </w:r>
          </w:p>
        </w:tc>
      </w:tr>
      <w:tr w14:paraId="75142550">
        <w:tblPrEx>
          <w:tblCellMar>
            <w:top w:w="0" w:type="dxa"/>
            <w:left w:w="0" w:type="dxa"/>
            <w:bottom w:w="0" w:type="dxa"/>
            <w:right w:w="0" w:type="dxa"/>
          </w:tblCellMar>
        </w:tblPrEx>
        <w:trPr>
          <w:trHeight w:val="501" w:hRule="atLeast"/>
          <w:jc w:val="center"/>
        </w:trPr>
        <w:tc>
          <w:tcPr>
            <w:tcW w:w="292" w:type="pct"/>
            <w:vMerge w:val="restart"/>
            <w:tcBorders>
              <w:top w:val="nil"/>
              <w:left w:val="single" w:color="000000" w:sz="8" w:space="0"/>
              <w:bottom w:val="single" w:color="000000" w:sz="8" w:space="0"/>
              <w:right w:val="single" w:color="000000" w:sz="8" w:space="0"/>
            </w:tcBorders>
            <w:noWrap w:val="0"/>
            <w:tcMar>
              <w:left w:w="108" w:type="dxa"/>
              <w:right w:w="108" w:type="dxa"/>
            </w:tcMar>
            <w:vAlign w:val="center"/>
          </w:tcPr>
          <w:p w14:paraId="688A2908">
            <w:pPr>
              <w:pStyle w:val="2"/>
              <w:widowControl/>
              <w:spacing w:line="320" w:lineRule="atLeas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4</w:t>
            </w:r>
          </w:p>
        </w:tc>
        <w:tc>
          <w:tcPr>
            <w:tcW w:w="614" w:type="pct"/>
            <w:vMerge w:val="restart"/>
            <w:tcBorders>
              <w:top w:val="nil"/>
              <w:left w:val="nil"/>
              <w:bottom w:val="single" w:color="000000" w:sz="8" w:space="0"/>
              <w:right w:val="single" w:color="000000" w:sz="8" w:space="0"/>
            </w:tcBorders>
            <w:noWrap w:val="0"/>
            <w:tcMar>
              <w:left w:w="108" w:type="dxa"/>
              <w:right w:w="108" w:type="dxa"/>
            </w:tcMar>
            <w:vAlign w:val="center"/>
          </w:tcPr>
          <w:p w14:paraId="11CC91A2">
            <w:pPr>
              <w:pStyle w:val="2"/>
              <w:widowControl/>
              <w:spacing w:line="320" w:lineRule="atLeas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供电质量</w:t>
            </w:r>
          </w:p>
        </w:tc>
        <w:tc>
          <w:tcPr>
            <w:tcW w:w="612" w:type="pct"/>
            <w:tcBorders>
              <w:top w:val="nil"/>
              <w:left w:val="nil"/>
              <w:bottom w:val="single" w:color="000000" w:sz="8" w:space="0"/>
              <w:right w:val="single" w:color="000000" w:sz="8" w:space="0"/>
            </w:tcBorders>
            <w:noWrap w:val="0"/>
            <w:tcMar>
              <w:left w:w="108" w:type="dxa"/>
              <w:right w:w="108" w:type="dxa"/>
            </w:tcMar>
            <w:vAlign w:val="center"/>
          </w:tcPr>
          <w:p w14:paraId="4CC84E19">
            <w:pPr>
              <w:pStyle w:val="2"/>
              <w:widowControl/>
              <w:spacing w:line="320" w:lineRule="atLeas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政策标准</w:t>
            </w:r>
          </w:p>
        </w:tc>
        <w:tc>
          <w:tcPr>
            <w:tcW w:w="2212" w:type="pct"/>
            <w:tcBorders>
              <w:top w:val="nil"/>
              <w:left w:val="nil"/>
              <w:bottom w:val="single" w:color="000000" w:sz="8" w:space="0"/>
              <w:right w:val="single" w:color="000000" w:sz="8" w:space="0"/>
            </w:tcBorders>
            <w:noWrap w:val="0"/>
            <w:tcMar>
              <w:left w:w="108" w:type="dxa"/>
              <w:right w:w="108" w:type="dxa"/>
            </w:tcMar>
            <w:vAlign w:val="center"/>
          </w:tcPr>
          <w:p w14:paraId="6779FE56">
            <w:pPr>
              <w:pStyle w:val="2"/>
              <w:widowControl/>
              <w:spacing w:line="320" w:lineRule="atLeast"/>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企业执行的供电可靠性、用户受电端电压合格率等政策文件和相关标准。</w:t>
            </w:r>
          </w:p>
        </w:tc>
        <w:tc>
          <w:tcPr>
            <w:tcW w:w="1268" w:type="pct"/>
            <w:tcBorders>
              <w:top w:val="nil"/>
              <w:left w:val="nil"/>
              <w:bottom w:val="single" w:color="000000" w:sz="8" w:space="0"/>
              <w:right w:val="single" w:color="000000" w:sz="8" w:space="0"/>
            </w:tcBorders>
            <w:noWrap w:val="0"/>
            <w:tcMar>
              <w:left w:w="108" w:type="dxa"/>
              <w:right w:w="108" w:type="dxa"/>
            </w:tcMar>
            <w:vAlign w:val="center"/>
          </w:tcPr>
          <w:p w14:paraId="19FD0424">
            <w:pPr>
              <w:pStyle w:val="2"/>
              <w:widowControl/>
              <w:spacing w:line="320" w:lineRule="atLeas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各供电企业</w:t>
            </w:r>
          </w:p>
        </w:tc>
      </w:tr>
      <w:tr w14:paraId="3F242EDA">
        <w:tblPrEx>
          <w:tblCellMar>
            <w:top w:w="0" w:type="dxa"/>
            <w:left w:w="0" w:type="dxa"/>
            <w:bottom w:w="0" w:type="dxa"/>
            <w:right w:w="0" w:type="dxa"/>
          </w:tblCellMar>
        </w:tblPrEx>
        <w:trPr>
          <w:trHeight w:val="258" w:hRule="atLeast"/>
          <w:jc w:val="center"/>
        </w:trPr>
        <w:tc>
          <w:tcPr>
            <w:tcW w:w="292" w:type="pct"/>
            <w:vMerge w:val="continue"/>
            <w:tcBorders>
              <w:top w:val="nil"/>
              <w:left w:val="single" w:color="000000" w:sz="8" w:space="0"/>
              <w:bottom w:val="single" w:color="000000" w:sz="8" w:space="0"/>
              <w:right w:val="single" w:color="000000" w:sz="8" w:space="0"/>
            </w:tcBorders>
            <w:noWrap w:val="0"/>
            <w:tcMar>
              <w:left w:w="108" w:type="dxa"/>
              <w:right w:w="108" w:type="dxa"/>
            </w:tcMar>
            <w:vAlign w:val="center"/>
          </w:tcPr>
          <w:p w14:paraId="7FFD5435">
            <w:pPr>
              <w:jc w:val="center"/>
              <w:rPr>
                <w:rFonts w:hint="eastAsia" w:ascii="仿宋_GB2312" w:hAnsi="Times New Roman" w:eastAsia="仿宋_GB2312"/>
                <w:sz w:val="20"/>
                <w:szCs w:val="20"/>
              </w:rPr>
            </w:pPr>
          </w:p>
        </w:tc>
        <w:tc>
          <w:tcPr>
            <w:tcW w:w="614" w:type="pct"/>
            <w:vMerge w:val="continue"/>
            <w:tcBorders>
              <w:top w:val="nil"/>
              <w:left w:val="nil"/>
              <w:bottom w:val="single" w:color="000000" w:sz="8" w:space="0"/>
              <w:right w:val="single" w:color="000000" w:sz="8" w:space="0"/>
            </w:tcBorders>
            <w:noWrap w:val="0"/>
            <w:tcMar>
              <w:left w:w="108" w:type="dxa"/>
              <w:right w:w="108" w:type="dxa"/>
            </w:tcMar>
            <w:vAlign w:val="center"/>
          </w:tcPr>
          <w:p w14:paraId="5AD1697A">
            <w:pPr>
              <w:jc w:val="center"/>
              <w:rPr>
                <w:rFonts w:hint="eastAsia" w:ascii="仿宋_GB2312" w:hAnsi="Times New Roman" w:eastAsia="仿宋_GB2312"/>
                <w:sz w:val="20"/>
                <w:szCs w:val="20"/>
              </w:rPr>
            </w:pPr>
          </w:p>
        </w:tc>
        <w:tc>
          <w:tcPr>
            <w:tcW w:w="612" w:type="pct"/>
            <w:tcBorders>
              <w:top w:val="nil"/>
              <w:left w:val="nil"/>
              <w:bottom w:val="single" w:color="000000" w:sz="8" w:space="0"/>
              <w:right w:val="single" w:color="000000" w:sz="8" w:space="0"/>
            </w:tcBorders>
            <w:noWrap w:val="0"/>
            <w:tcMar>
              <w:left w:w="108" w:type="dxa"/>
              <w:right w:w="108" w:type="dxa"/>
            </w:tcMar>
            <w:vAlign w:val="center"/>
          </w:tcPr>
          <w:p w14:paraId="68CAF0F1">
            <w:pPr>
              <w:pStyle w:val="2"/>
              <w:widowControl/>
              <w:spacing w:line="320" w:lineRule="atLeas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指标发布</w:t>
            </w:r>
          </w:p>
        </w:tc>
        <w:tc>
          <w:tcPr>
            <w:tcW w:w="2212" w:type="pct"/>
            <w:tcBorders>
              <w:top w:val="nil"/>
              <w:left w:val="nil"/>
              <w:bottom w:val="single" w:color="000000" w:sz="8" w:space="0"/>
              <w:right w:val="single" w:color="000000" w:sz="8" w:space="0"/>
            </w:tcBorders>
            <w:noWrap w:val="0"/>
            <w:tcMar>
              <w:left w:w="108" w:type="dxa"/>
              <w:right w:w="108" w:type="dxa"/>
            </w:tcMar>
            <w:vAlign w:val="center"/>
          </w:tcPr>
          <w:p w14:paraId="45F88D40">
            <w:pPr>
              <w:pStyle w:val="2"/>
              <w:widowControl/>
              <w:spacing w:line="320" w:lineRule="atLeast"/>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企业电压合格率和供电可靠性指标，按季度发布。</w:t>
            </w:r>
          </w:p>
        </w:tc>
        <w:tc>
          <w:tcPr>
            <w:tcW w:w="1268" w:type="pct"/>
            <w:tcBorders>
              <w:top w:val="nil"/>
              <w:left w:val="nil"/>
              <w:bottom w:val="single" w:color="000000" w:sz="8" w:space="0"/>
              <w:right w:val="single" w:color="000000" w:sz="8" w:space="0"/>
            </w:tcBorders>
            <w:noWrap w:val="0"/>
            <w:tcMar>
              <w:left w:w="108" w:type="dxa"/>
              <w:right w:w="108" w:type="dxa"/>
            </w:tcMar>
            <w:vAlign w:val="center"/>
          </w:tcPr>
          <w:p w14:paraId="5CBF87E2">
            <w:pPr>
              <w:pStyle w:val="2"/>
              <w:widowControl/>
              <w:spacing w:line="320" w:lineRule="atLeas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各供电企业</w:t>
            </w:r>
          </w:p>
        </w:tc>
      </w:tr>
      <w:tr w14:paraId="78C27B31">
        <w:tblPrEx>
          <w:tblCellMar>
            <w:top w:w="0" w:type="dxa"/>
            <w:left w:w="0" w:type="dxa"/>
            <w:bottom w:w="0" w:type="dxa"/>
            <w:right w:w="0" w:type="dxa"/>
          </w:tblCellMar>
        </w:tblPrEx>
        <w:trPr>
          <w:trHeight w:val="501" w:hRule="atLeast"/>
          <w:jc w:val="center"/>
        </w:trPr>
        <w:tc>
          <w:tcPr>
            <w:tcW w:w="292" w:type="pct"/>
            <w:tcBorders>
              <w:top w:val="nil"/>
              <w:left w:val="single" w:color="000000" w:sz="8" w:space="0"/>
              <w:bottom w:val="single" w:color="000000" w:sz="8" w:space="0"/>
              <w:right w:val="single" w:color="000000" w:sz="8" w:space="0"/>
            </w:tcBorders>
            <w:noWrap w:val="0"/>
            <w:tcMar>
              <w:left w:w="108" w:type="dxa"/>
              <w:right w:w="108" w:type="dxa"/>
            </w:tcMar>
            <w:vAlign w:val="center"/>
          </w:tcPr>
          <w:p w14:paraId="12219EF1">
            <w:pPr>
              <w:pStyle w:val="2"/>
              <w:widowControl/>
              <w:spacing w:line="320" w:lineRule="atLeas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5</w:t>
            </w:r>
          </w:p>
        </w:tc>
        <w:tc>
          <w:tcPr>
            <w:tcW w:w="614" w:type="pct"/>
            <w:tcBorders>
              <w:top w:val="nil"/>
              <w:left w:val="nil"/>
              <w:bottom w:val="single" w:color="000000" w:sz="8" w:space="0"/>
              <w:right w:val="single" w:color="000000" w:sz="8" w:space="0"/>
            </w:tcBorders>
            <w:noWrap w:val="0"/>
            <w:tcMar>
              <w:left w:w="108" w:type="dxa"/>
              <w:right w:w="108" w:type="dxa"/>
            </w:tcMar>
            <w:vAlign w:val="center"/>
          </w:tcPr>
          <w:p w14:paraId="2BA69065">
            <w:pPr>
              <w:pStyle w:val="2"/>
              <w:widowControl/>
              <w:spacing w:line="320" w:lineRule="atLeas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停限电情况</w:t>
            </w:r>
          </w:p>
        </w:tc>
        <w:tc>
          <w:tcPr>
            <w:tcW w:w="612" w:type="pct"/>
            <w:tcBorders>
              <w:top w:val="nil"/>
              <w:left w:val="nil"/>
              <w:bottom w:val="single" w:color="000000" w:sz="8" w:space="0"/>
              <w:right w:val="single" w:color="000000" w:sz="8" w:space="0"/>
            </w:tcBorders>
            <w:noWrap w:val="0"/>
            <w:tcMar>
              <w:left w:w="108" w:type="dxa"/>
              <w:right w:w="108" w:type="dxa"/>
            </w:tcMar>
            <w:vAlign w:val="center"/>
          </w:tcPr>
          <w:p w14:paraId="1CAB770D">
            <w:pPr>
              <w:pStyle w:val="2"/>
              <w:widowControl/>
              <w:spacing w:line="320" w:lineRule="atLeas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便民公告</w:t>
            </w:r>
          </w:p>
        </w:tc>
        <w:tc>
          <w:tcPr>
            <w:tcW w:w="2212" w:type="pct"/>
            <w:tcBorders>
              <w:top w:val="nil"/>
              <w:left w:val="nil"/>
              <w:bottom w:val="single" w:color="000000" w:sz="8" w:space="0"/>
              <w:right w:val="single" w:color="000000" w:sz="8" w:space="0"/>
            </w:tcBorders>
            <w:noWrap w:val="0"/>
            <w:tcMar>
              <w:left w:w="108" w:type="dxa"/>
              <w:right w:w="108" w:type="dxa"/>
            </w:tcMar>
            <w:vAlign w:val="center"/>
          </w:tcPr>
          <w:p w14:paraId="127B0871">
            <w:pPr>
              <w:pStyle w:val="2"/>
              <w:widowControl/>
              <w:spacing w:line="320" w:lineRule="atLeast"/>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停电原因、停电区域、停电线路、停电起止时间及供电营业区有序用电方案、限电序位等信息。</w:t>
            </w:r>
          </w:p>
        </w:tc>
        <w:tc>
          <w:tcPr>
            <w:tcW w:w="1268" w:type="pct"/>
            <w:tcBorders>
              <w:top w:val="nil"/>
              <w:left w:val="nil"/>
              <w:bottom w:val="single" w:color="000000" w:sz="8" w:space="0"/>
              <w:right w:val="single" w:color="000000" w:sz="8" w:space="0"/>
            </w:tcBorders>
            <w:noWrap w:val="0"/>
            <w:tcMar>
              <w:left w:w="108" w:type="dxa"/>
              <w:right w:w="108" w:type="dxa"/>
            </w:tcMar>
            <w:vAlign w:val="center"/>
          </w:tcPr>
          <w:p w14:paraId="627FA76B">
            <w:pPr>
              <w:pStyle w:val="2"/>
              <w:widowControl/>
              <w:spacing w:line="320" w:lineRule="atLeas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各供电企业</w:t>
            </w:r>
          </w:p>
        </w:tc>
      </w:tr>
      <w:tr w14:paraId="5EB6D47D">
        <w:tblPrEx>
          <w:tblCellMar>
            <w:top w:w="0" w:type="dxa"/>
            <w:left w:w="0" w:type="dxa"/>
            <w:bottom w:w="0" w:type="dxa"/>
            <w:right w:w="0" w:type="dxa"/>
          </w:tblCellMar>
        </w:tblPrEx>
        <w:trPr>
          <w:trHeight w:val="501" w:hRule="atLeast"/>
          <w:jc w:val="center"/>
        </w:trPr>
        <w:tc>
          <w:tcPr>
            <w:tcW w:w="292" w:type="pct"/>
            <w:tcBorders>
              <w:top w:val="nil"/>
              <w:left w:val="single" w:color="000000" w:sz="8" w:space="0"/>
              <w:bottom w:val="single" w:color="000000" w:sz="8" w:space="0"/>
              <w:right w:val="single" w:color="000000" w:sz="8" w:space="0"/>
            </w:tcBorders>
            <w:noWrap w:val="0"/>
            <w:tcMar>
              <w:left w:w="108" w:type="dxa"/>
              <w:right w:w="108" w:type="dxa"/>
            </w:tcMar>
            <w:vAlign w:val="center"/>
          </w:tcPr>
          <w:p w14:paraId="6A24B2E6">
            <w:pPr>
              <w:pStyle w:val="2"/>
              <w:widowControl/>
              <w:spacing w:line="320" w:lineRule="atLeas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6</w:t>
            </w:r>
          </w:p>
        </w:tc>
        <w:tc>
          <w:tcPr>
            <w:tcW w:w="614" w:type="pct"/>
            <w:tcBorders>
              <w:top w:val="nil"/>
              <w:left w:val="nil"/>
              <w:bottom w:val="single" w:color="000000" w:sz="8" w:space="0"/>
              <w:right w:val="single" w:color="000000" w:sz="8" w:space="0"/>
            </w:tcBorders>
            <w:noWrap w:val="0"/>
            <w:tcMar>
              <w:left w:w="108" w:type="dxa"/>
              <w:right w:w="108" w:type="dxa"/>
            </w:tcMar>
            <w:vAlign w:val="center"/>
          </w:tcPr>
          <w:p w14:paraId="0187A20F">
            <w:pPr>
              <w:pStyle w:val="2"/>
              <w:widowControl/>
              <w:spacing w:line="320" w:lineRule="atLeas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法规标准</w:t>
            </w:r>
          </w:p>
        </w:tc>
        <w:tc>
          <w:tcPr>
            <w:tcW w:w="612" w:type="pct"/>
            <w:tcBorders>
              <w:top w:val="nil"/>
              <w:left w:val="nil"/>
              <w:bottom w:val="single" w:color="000000" w:sz="8" w:space="0"/>
              <w:right w:val="single" w:color="000000" w:sz="8" w:space="0"/>
            </w:tcBorders>
            <w:noWrap w:val="0"/>
            <w:tcMar>
              <w:left w:w="108" w:type="dxa"/>
              <w:right w:w="108" w:type="dxa"/>
            </w:tcMar>
            <w:vAlign w:val="center"/>
          </w:tcPr>
          <w:p w14:paraId="47AE348A">
            <w:pPr>
              <w:pStyle w:val="2"/>
              <w:widowControl/>
              <w:spacing w:line="320" w:lineRule="atLeas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法规标准</w:t>
            </w:r>
          </w:p>
        </w:tc>
        <w:tc>
          <w:tcPr>
            <w:tcW w:w="2212" w:type="pct"/>
            <w:tcBorders>
              <w:top w:val="nil"/>
              <w:left w:val="nil"/>
              <w:bottom w:val="single" w:color="000000" w:sz="8" w:space="0"/>
              <w:right w:val="single" w:color="000000" w:sz="8" w:space="0"/>
            </w:tcBorders>
            <w:noWrap w:val="0"/>
            <w:tcMar>
              <w:left w:w="108" w:type="dxa"/>
              <w:right w:w="108" w:type="dxa"/>
            </w:tcMar>
            <w:vAlign w:val="center"/>
          </w:tcPr>
          <w:p w14:paraId="20E5AFDE">
            <w:pPr>
              <w:pStyle w:val="2"/>
              <w:widowControl/>
              <w:spacing w:line="320" w:lineRule="atLeast"/>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企业供电服务所执行的法律法规以及供电企业制定的涉及用户利益的有关管理制度和技术标准。</w:t>
            </w:r>
          </w:p>
        </w:tc>
        <w:tc>
          <w:tcPr>
            <w:tcW w:w="1268" w:type="pct"/>
            <w:tcBorders>
              <w:top w:val="nil"/>
              <w:left w:val="nil"/>
              <w:bottom w:val="single" w:color="000000" w:sz="8" w:space="0"/>
              <w:right w:val="single" w:color="000000" w:sz="8" w:space="0"/>
            </w:tcBorders>
            <w:noWrap w:val="0"/>
            <w:tcMar>
              <w:left w:w="108" w:type="dxa"/>
              <w:right w:w="108" w:type="dxa"/>
            </w:tcMar>
            <w:vAlign w:val="center"/>
          </w:tcPr>
          <w:p w14:paraId="160771E5">
            <w:pPr>
              <w:pStyle w:val="2"/>
              <w:widowControl/>
              <w:spacing w:line="320" w:lineRule="atLeas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各供电企业</w:t>
            </w:r>
          </w:p>
        </w:tc>
      </w:tr>
      <w:tr w14:paraId="557C7265">
        <w:tblPrEx>
          <w:tblCellMar>
            <w:top w:w="0" w:type="dxa"/>
            <w:left w:w="0" w:type="dxa"/>
            <w:bottom w:w="0" w:type="dxa"/>
            <w:right w:w="0" w:type="dxa"/>
          </w:tblCellMar>
        </w:tblPrEx>
        <w:trPr>
          <w:trHeight w:val="501" w:hRule="atLeast"/>
          <w:jc w:val="center"/>
        </w:trPr>
        <w:tc>
          <w:tcPr>
            <w:tcW w:w="292" w:type="pct"/>
            <w:vMerge w:val="restart"/>
            <w:tcBorders>
              <w:top w:val="nil"/>
              <w:left w:val="single" w:color="000000" w:sz="8" w:space="0"/>
              <w:right w:val="single" w:color="000000" w:sz="8" w:space="0"/>
            </w:tcBorders>
            <w:noWrap w:val="0"/>
            <w:tcMar>
              <w:left w:w="108" w:type="dxa"/>
              <w:right w:w="108" w:type="dxa"/>
            </w:tcMar>
            <w:vAlign w:val="center"/>
          </w:tcPr>
          <w:p w14:paraId="1D68088D">
            <w:pPr>
              <w:pStyle w:val="2"/>
              <w:widowControl/>
              <w:spacing w:line="320" w:lineRule="atLeas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7</w:t>
            </w:r>
          </w:p>
        </w:tc>
        <w:tc>
          <w:tcPr>
            <w:tcW w:w="614" w:type="pct"/>
            <w:vMerge w:val="restart"/>
            <w:tcBorders>
              <w:top w:val="nil"/>
              <w:left w:val="nil"/>
              <w:right w:val="single" w:color="000000" w:sz="8" w:space="0"/>
            </w:tcBorders>
            <w:noWrap w:val="0"/>
            <w:tcMar>
              <w:left w:w="108" w:type="dxa"/>
              <w:right w:w="108" w:type="dxa"/>
            </w:tcMar>
            <w:vAlign w:val="center"/>
          </w:tcPr>
          <w:p w14:paraId="42B2CFB6">
            <w:pPr>
              <w:pStyle w:val="2"/>
              <w:widowControl/>
              <w:spacing w:line="320" w:lineRule="atLeas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便民服务</w:t>
            </w:r>
          </w:p>
        </w:tc>
        <w:tc>
          <w:tcPr>
            <w:tcW w:w="612" w:type="pct"/>
            <w:tcBorders>
              <w:top w:val="nil"/>
              <w:left w:val="nil"/>
              <w:bottom w:val="single" w:color="000000" w:sz="8" w:space="0"/>
              <w:right w:val="single" w:color="000000" w:sz="8" w:space="0"/>
            </w:tcBorders>
            <w:noWrap w:val="0"/>
            <w:tcMar>
              <w:left w:w="108" w:type="dxa"/>
              <w:right w:w="108" w:type="dxa"/>
            </w:tcMar>
            <w:vAlign w:val="center"/>
          </w:tcPr>
          <w:p w14:paraId="370E0033">
            <w:pPr>
              <w:pStyle w:val="2"/>
              <w:widowControl/>
              <w:spacing w:line="320" w:lineRule="atLeas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咨询投诉</w:t>
            </w:r>
          </w:p>
        </w:tc>
        <w:tc>
          <w:tcPr>
            <w:tcW w:w="2212" w:type="pct"/>
            <w:tcBorders>
              <w:top w:val="nil"/>
              <w:left w:val="nil"/>
              <w:bottom w:val="single" w:color="000000" w:sz="8" w:space="0"/>
              <w:right w:val="single" w:color="000000" w:sz="8" w:space="0"/>
            </w:tcBorders>
            <w:noWrap w:val="0"/>
            <w:tcMar>
              <w:left w:w="108" w:type="dxa"/>
              <w:right w:w="108" w:type="dxa"/>
            </w:tcMar>
            <w:vAlign w:val="center"/>
          </w:tcPr>
          <w:p w14:paraId="7D5C9AA2">
            <w:pPr>
              <w:pStyle w:val="2"/>
              <w:widowControl/>
              <w:spacing w:line="320" w:lineRule="atLeast"/>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企业供电服务承诺以及供电服务热线、12398能源监管热线等投诉渠道，咨询投诉线下受理地点。</w:t>
            </w:r>
          </w:p>
        </w:tc>
        <w:tc>
          <w:tcPr>
            <w:tcW w:w="1268" w:type="pct"/>
            <w:tcBorders>
              <w:top w:val="nil"/>
              <w:left w:val="nil"/>
              <w:bottom w:val="single" w:color="000000" w:sz="8" w:space="0"/>
              <w:right w:val="single" w:color="000000" w:sz="8" w:space="0"/>
            </w:tcBorders>
            <w:noWrap w:val="0"/>
            <w:tcMar>
              <w:left w:w="108" w:type="dxa"/>
              <w:right w:w="108" w:type="dxa"/>
            </w:tcMar>
            <w:vAlign w:val="center"/>
          </w:tcPr>
          <w:p w14:paraId="6EA1EACC">
            <w:pPr>
              <w:pStyle w:val="2"/>
              <w:widowControl/>
              <w:spacing w:line="320" w:lineRule="atLeas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各供电企业</w:t>
            </w:r>
          </w:p>
        </w:tc>
      </w:tr>
      <w:tr w14:paraId="58D74721">
        <w:tblPrEx>
          <w:tblCellMar>
            <w:top w:w="0" w:type="dxa"/>
            <w:left w:w="0" w:type="dxa"/>
            <w:bottom w:w="0" w:type="dxa"/>
            <w:right w:w="0" w:type="dxa"/>
          </w:tblCellMar>
        </w:tblPrEx>
        <w:trPr>
          <w:trHeight w:val="501" w:hRule="atLeast"/>
          <w:jc w:val="center"/>
        </w:trPr>
        <w:tc>
          <w:tcPr>
            <w:tcW w:w="292" w:type="pct"/>
            <w:vMerge w:val="continue"/>
            <w:tcBorders>
              <w:left w:val="single" w:color="000000" w:sz="8" w:space="0"/>
              <w:bottom w:val="single" w:color="000000" w:sz="8" w:space="0"/>
              <w:right w:val="single" w:color="000000" w:sz="8" w:space="0"/>
            </w:tcBorders>
            <w:noWrap w:val="0"/>
            <w:tcMar>
              <w:left w:w="108" w:type="dxa"/>
              <w:right w:w="108" w:type="dxa"/>
            </w:tcMar>
            <w:vAlign w:val="center"/>
          </w:tcPr>
          <w:p w14:paraId="7BF3DC20">
            <w:pPr>
              <w:pStyle w:val="2"/>
              <w:widowControl/>
              <w:spacing w:line="320" w:lineRule="atLeast"/>
              <w:jc w:val="center"/>
              <w:textAlignment w:val="center"/>
              <w:rPr>
                <w:rFonts w:hint="eastAsia" w:ascii="仿宋_GB2312" w:hAnsi="宋体" w:eastAsia="仿宋_GB2312" w:cs="宋体"/>
                <w:color w:val="000000"/>
                <w:sz w:val="22"/>
                <w:szCs w:val="22"/>
              </w:rPr>
            </w:pPr>
          </w:p>
        </w:tc>
        <w:tc>
          <w:tcPr>
            <w:tcW w:w="614" w:type="pct"/>
            <w:vMerge w:val="continue"/>
            <w:tcBorders>
              <w:left w:val="nil"/>
              <w:bottom w:val="single" w:color="000000" w:sz="8" w:space="0"/>
              <w:right w:val="single" w:color="000000" w:sz="8" w:space="0"/>
            </w:tcBorders>
            <w:noWrap w:val="0"/>
            <w:tcMar>
              <w:left w:w="108" w:type="dxa"/>
              <w:right w:w="108" w:type="dxa"/>
            </w:tcMar>
            <w:vAlign w:val="center"/>
          </w:tcPr>
          <w:p w14:paraId="638A8D61">
            <w:pPr>
              <w:pStyle w:val="2"/>
              <w:widowControl/>
              <w:spacing w:line="320" w:lineRule="atLeast"/>
              <w:jc w:val="center"/>
              <w:textAlignment w:val="center"/>
              <w:rPr>
                <w:rFonts w:hint="eastAsia" w:ascii="仿宋_GB2312" w:hAnsi="宋体" w:eastAsia="仿宋_GB2312" w:cs="宋体"/>
                <w:color w:val="000000"/>
                <w:sz w:val="22"/>
                <w:szCs w:val="22"/>
              </w:rPr>
            </w:pPr>
          </w:p>
        </w:tc>
        <w:tc>
          <w:tcPr>
            <w:tcW w:w="612" w:type="pct"/>
            <w:tcBorders>
              <w:top w:val="nil"/>
              <w:left w:val="nil"/>
              <w:bottom w:val="single" w:color="000000" w:sz="8" w:space="0"/>
              <w:right w:val="single" w:color="000000" w:sz="8" w:space="0"/>
            </w:tcBorders>
            <w:noWrap w:val="0"/>
            <w:tcMar>
              <w:left w:w="108" w:type="dxa"/>
              <w:right w:w="108" w:type="dxa"/>
            </w:tcMar>
            <w:vAlign w:val="center"/>
          </w:tcPr>
          <w:p w14:paraId="3D12C70E">
            <w:pPr>
              <w:pStyle w:val="2"/>
              <w:widowControl/>
              <w:spacing w:line="320" w:lineRule="atLeast"/>
              <w:ind w:left="0" w:leftChars="0" w:right="0" w:rightChars="0"/>
              <w:jc w:val="center"/>
              <w:textAlignment w:val="center"/>
              <w:rPr>
                <w:rFonts w:hint="eastAsia" w:ascii="仿宋_GB2312" w:hAnsi="宋体" w:eastAsia="仿宋_GB2312" w:cs="宋体"/>
                <w:color w:val="000000"/>
                <w:sz w:val="22"/>
                <w:szCs w:val="22"/>
              </w:rPr>
            </w:pPr>
            <w:r>
              <w:rPr>
                <w:rFonts w:hint="eastAsia" w:ascii="仿宋_GB2312" w:hAnsi="宋体" w:eastAsia="仿宋_GB2312" w:cs="宋体"/>
                <w:color w:val="000000"/>
                <w:sz w:val="22"/>
                <w:szCs w:val="22"/>
              </w:rPr>
              <w:t>安全警示</w:t>
            </w:r>
          </w:p>
        </w:tc>
        <w:tc>
          <w:tcPr>
            <w:tcW w:w="2212" w:type="pct"/>
            <w:tcBorders>
              <w:top w:val="nil"/>
              <w:left w:val="nil"/>
              <w:bottom w:val="single" w:color="000000" w:sz="8" w:space="0"/>
              <w:right w:val="single" w:color="000000" w:sz="8" w:space="0"/>
            </w:tcBorders>
            <w:noWrap w:val="0"/>
            <w:tcMar>
              <w:left w:w="108" w:type="dxa"/>
              <w:right w:w="108" w:type="dxa"/>
            </w:tcMar>
            <w:vAlign w:val="center"/>
          </w:tcPr>
          <w:p w14:paraId="7840C0E4">
            <w:pPr>
              <w:pStyle w:val="2"/>
              <w:widowControl/>
              <w:spacing w:line="320" w:lineRule="atLeast"/>
              <w:ind w:left="0" w:leftChars="0" w:right="0" w:rightChars="0"/>
              <w:jc w:val="both"/>
              <w:textAlignment w:val="center"/>
              <w:rPr>
                <w:rFonts w:hint="eastAsia" w:ascii="仿宋_GB2312" w:hAnsi="宋体" w:eastAsia="仿宋_GB2312" w:cs="宋体"/>
                <w:color w:val="000000"/>
                <w:sz w:val="22"/>
                <w:szCs w:val="22"/>
              </w:rPr>
            </w:pPr>
            <w:r>
              <w:rPr>
                <w:rFonts w:hint="eastAsia" w:ascii="仿宋_GB2312" w:hAnsi="宋体" w:eastAsia="仿宋_GB2312" w:cs="宋体"/>
                <w:color w:val="000000"/>
                <w:sz w:val="22"/>
                <w:szCs w:val="22"/>
              </w:rPr>
              <w:t>及时公开</w:t>
            </w:r>
            <w:r>
              <w:rPr>
                <w:rFonts w:hint="eastAsia" w:ascii="仿宋_GB2312" w:hAnsi="宋体" w:eastAsia="仿宋_GB2312" w:cs="宋体"/>
                <w:color w:val="000000"/>
                <w:sz w:val="22"/>
                <w:szCs w:val="22"/>
                <w:lang w:val="en-US" w:eastAsia="zh-CN"/>
              </w:rPr>
              <w:t>用电</w:t>
            </w:r>
            <w:r>
              <w:rPr>
                <w:rFonts w:hint="eastAsia" w:ascii="仿宋_GB2312" w:hAnsi="宋体" w:eastAsia="仿宋_GB2312" w:cs="宋体"/>
                <w:color w:val="000000"/>
                <w:sz w:val="22"/>
                <w:szCs w:val="22"/>
              </w:rPr>
              <w:t>使用常识和安全风险、隐患信息，应急措施、避险措施。</w:t>
            </w:r>
          </w:p>
        </w:tc>
        <w:tc>
          <w:tcPr>
            <w:tcW w:w="1268" w:type="pct"/>
            <w:tcBorders>
              <w:top w:val="nil"/>
              <w:left w:val="nil"/>
              <w:bottom w:val="single" w:color="000000" w:sz="8" w:space="0"/>
              <w:right w:val="single" w:color="000000" w:sz="8" w:space="0"/>
            </w:tcBorders>
            <w:noWrap w:val="0"/>
            <w:tcMar>
              <w:left w:w="108" w:type="dxa"/>
              <w:right w:w="108" w:type="dxa"/>
            </w:tcMar>
            <w:vAlign w:val="center"/>
          </w:tcPr>
          <w:p w14:paraId="2944E37B">
            <w:pPr>
              <w:pStyle w:val="2"/>
              <w:widowControl/>
              <w:spacing w:line="320" w:lineRule="atLeast"/>
              <w:ind w:left="0" w:leftChars="0" w:right="0" w:rightChars="0"/>
              <w:jc w:val="center"/>
              <w:textAlignment w:val="center"/>
              <w:rPr>
                <w:rFonts w:hint="eastAsia" w:ascii="仿宋_GB2312" w:hAnsi="宋体" w:eastAsia="仿宋_GB2312" w:cs="宋体"/>
                <w:color w:val="000000"/>
                <w:sz w:val="22"/>
                <w:szCs w:val="22"/>
              </w:rPr>
            </w:pPr>
            <w:r>
              <w:rPr>
                <w:rFonts w:hint="eastAsia" w:ascii="仿宋_GB2312" w:hAnsi="宋体" w:eastAsia="仿宋_GB2312" w:cs="宋体"/>
                <w:color w:val="000000"/>
                <w:sz w:val="22"/>
                <w:szCs w:val="22"/>
              </w:rPr>
              <w:t>各供电企业</w:t>
            </w:r>
          </w:p>
        </w:tc>
      </w:tr>
      <w:tr w14:paraId="566E79FA">
        <w:tblPrEx>
          <w:tblCellMar>
            <w:top w:w="0" w:type="dxa"/>
            <w:left w:w="0" w:type="dxa"/>
            <w:bottom w:w="0" w:type="dxa"/>
            <w:right w:w="0" w:type="dxa"/>
          </w:tblCellMar>
        </w:tblPrEx>
        <w:trPr>
          <w:trHeight w:val="501" w:hRule="atLeast"/>
          <w:jc w:val="center"/>
        </w:trPr>
        <w:tc>
          <w:tcPr>
            <w:tcW w:w="292" w:type="pct"/>
            <w:tcBorders>
              <w:top w:val="nil"/>
              <w:left w:val="single" w:color="000000" w:sz="8" w:space="0"/>
              <w:bottom w:val="single" w:color="000000" w:sz="8" w:space="0"/>
              <w:right w:val="single" w:color="000000" w:sz="8" w:space="0"/>
            </w:tcBorders>
            <w:noWrap w:val="0"/>
            <w:tcMar>
              <w:left w:w="108" w:type="dxa"/>
              <w:right w:w="108" w:type="dxa"/>
            </w:tcMar>
            <w:vAlign w:val="center"/>
          </w:tcPr>
          <w:p w14:paraId="7488C5E1">
            <w:pPr>
              <w:pStyle w:val="2"/>
              <w:widowControl/>
              <w:spacing w:line="320" w:lineRule="atLeas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8</w:t>
            </w:r>
          </w:p>
        </w:tc>
        <w:tc>
          <w:tcPr>
            <w:tcW w:w="614" w:type="pct"/>
            <w:tcBorders>
              <w:top w:val="nil"/>
              <w:left w:val="nil"/>
              <w:bottom w:val="single" w:color="000000" w:sz="8" w:space="0"/>
              <w:right w:val="single" w:color="000000" w:sz="8" w:space="0"/>
            </w:tcBorders>
            <w:noWrap w:val="0"/>
            <w:tcMar>
              <w:left w:w="108" w:type="dxa"/>
              <w:right w:w="108" w:type="dxa"/>
            </w:tcMar>
            <w:vAlign w:val="center"/>
          </w:tcPr>
          <w:p w14:paraId="77A20984">
            <w:pPr>
              <w:pStyle w:val="2"/>
              <w:widowControl/>
              <w:spacing w:line="320" w:lineRule="atLeas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用户受电工程市场公平开放</w:t>
            </w:r>
          </w:p>
        </w:tc>
        <w:tc>
          <w:tcPr>
            <w:tcW w:w="612" w:type="pct"/>
            <w:tcBorders>
              <w:top w:val="nil"/>
              <w:left w:val="nil"/>
              <w:bottom w:val="single" w:color="000000" w:sz="8" w:space="0"/>
              <w:right w:val="single" w:color="000000" w:sz="8" w:space="0"/>
            </w:tcBorders>
            <w:noWrap w:val="0"/>
            <w:tcMar>
              <w:left w:w="108" w:type="dxa"/>
              <w:right w:w="108" w:type="dxa"/>
            </w:tcMar>
            <w:vAlign w:val="center"/>
          </w:tcPr>
          <w:p w14:paraId="671B745D">
            <w:pPr>
              <w:pStyle w:val="2"/>
              <w:widowControl/>
              <w:spacing w:line="320" w:lineRule="atLeas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制度文件</w:t>
            </w:r>
          </w:p>
        </w:tc>
        <w:tc>
          <w:tcPr>
            <w:tcW w:w="2212" w:type="pct"/>
            <w:tcBorders>
              <w:top w:val="nil"/>
              <w:left w:val="nil"/>
              <w:bottom w:val="single" w:color="000000" w:sz="8" w:space="0"/>
              <w:right w:val="single" w:color="000000" w:sz="8" w:space="0"/>
            </w:tcBorders>
            <w:noWrap w:val="0"/>
            <w:tcMar>
              <w:left w:w="108" w:type="dxa"/>
              <w:right w:w="108" w:type="dxa"/>
            </w:tcMar>
            <w:vAlign w:val="center"/>
          </w:tcPr>
          <w:p w14:paraId="1AC048E9">
            <w:pPr>
              <w:pStyle w:val="2"/>
              <w:widowControl/>
              <w:spacing w:line="320" w:lineRule="atLeast"/>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企业执行的规范用户受电工程市场行为的政策文件和制定的相关制度文件。</w:t>
            </w:r>
          </w:p>
        </w:tc>
        <w:tc>
          <w:tcPr>
            <w:tcW w:w="1268" w:type="pct"/>
            <w:tcBorders>
              <w:top w:val="nil"/>
              <w:left w:val="nil"/>
              <w:bottom w:val="single" w:color="000000" w:sz="8" w:space="0"/>
              <w:right w:val="single" w:color="000000" w:sz="8" w:space="0"/>
            </w:tcBorders>
            <w:noWrap w:val="0"/>
            <w:tcMar>
              <w:left w:w="108" w:type="dxa"/>
              <w:right w:w="108" w:type="dxa"/>
            </w:tcMar>
            <w:vAlign w:val="center"/>
          </w:tcPr>
          <w:p w14:paraId="47910F36">
            <w:pPr>
              <w:pStyle w:val="2"/>
              <w:widowControl/>
              <w:spacing w:line="320" w:lineRule="atLeas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各供电企业</w:t>
            </w:r>
          </w:p>
        </w:tc>
      </w:tr>
      <w:tr w14:paraId="65EE5F21">
        <w:tblPrEx>
          <w:tblCellMar>
            <w:top w:w="0" w:type="dxa"/>
            <w:left w:w="0" w:type="dxa"/>
            <w:bottom w:w="0" w:type="dxa"/>
            <w:right w:w="0" w:type="dxa"/>
          </w:tblCellMar>
        </w:tblPrEx>
        <w:trPr>
          <w:trHeight w:val="501" w:hRule="atLeast"/>
          <w:jc w:val="center"/>
        </w:trPr>
        <w:tc>
          <w:tcPr>
            <w:tcW w:w="292" w:type="pct"/>
            <w:tcBorders>
              <w:top w:val="nil"/>
              <w:left w:val="single" w:color="000000" w:sz="8" w:space="0"/>
              <w:bottom w:val="single" w:color="000000" w:sz="8" w:space="0"/>
              <w:right w:val="single" w:color="000000" w:sz="8" w:space="0"/>
            </w:tcBorders>
            <w:noWrap w:val="0"/>
            <w:tcMar>
              <w:left w:w="108" w:type="dxa"/>
              <w:right w:w="108" w:type="dxa"/>
            </w:tcMar>
            <w:vAlign w:val="center"/>
          </w:tcPr>
          <w:p w14:paraId="100A55B0">
            <w:pPr>
              <w:pStyle w:val="2"/>
              <w:widowControl/>
              <w:spacing w:line="320" w:lineRule="atLeas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9</w:t>
            </w:r>
          </w:p>
        </w:tc>
        <w:tc>
          <w:tcPr>
            <w:tcW w:w="1226" w:type="pct"/>
            <w:gridSpan w:val="2"/>
            <w:tcBorders>
              <w:top w:val="nil"/>
              <w:left w:val="nil"/>
              <w:bottom w:val="single" w:color="000000" w:sz="8" w:space="0"/>
              <w:right w:val="single" w:color="000000" w:sz="8" w:space="0"/>
            </w:tcBorders>
            <w:noWrap w:val="0"/>
            <w:tcMar>
              <w:left w:w="108" w:type="dxa"/>
              <w:right w:w="108" w:type="dxa"/>
            </w:tcMar>
            <w:vAlign w:val="center"/>
          </w:tcPr>
          <w:p w14:paraId="60A9A672">
            <w:pPr>
              <w:pStyle w:val="2"/>
              <w:widowControl/>
              <w:spacing w:line="320" w:lineRule="atLeas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可开放容量</w:t>
            </w:r>
          </w:p>
        </w:tc>
        <w:tc>
          <w:tcPr>
            <w:tcW w:w="2212" w:type="pct"/>
            <w:tcBorders>
              <w:top w:val="nil"/>
              <w:left w:val="nil"/>
              <w:bottom w:val="single" w:color="000000" w:sz="8" w:space="0"/>
              <w:right w:val="single" w:color="000000" w:sz="8" w:space="0"/>
            </w:tcBorders>
            <w:noWrap w:val="0"/>
            <w:tcMar>
              <w:left w:w="108" w:type="dxa"/>
              <w:right w:w="108" w:type="dxa"/>
            </w:tcMar>
            <w:vAlign w:val="center"/>
          </w:tcPr>
          <w:p w14:paraId="144482D5">
            <w:pPr>
              <w:pStyle w:val="2"/>
              <w:widowControl/>
              <w:spacing w:line="320" w:lineRule="atLeast"/>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本地区配电网接入能力和容量受限情况，相关情况按季度更新。</w:t>
            </w:r>
          </w:p>
        </w:tc>
        <w:tc>
          <w:tcPr>
            <w:tcW w:w="1268" w:type="pct"/>
            <w:tcBorders>
              <w:top w:val="nil"/>
              <w:left w:val="nil"/>
              <w:bottom w:val="single" w:color="000000" w:sz="8" w:space="0"/>
              <w:right w:val="single" w:color="000000" w:sz="8" w:space="0"/>
            </w:tcBorders>
            <w:noWrap w:val="0"/>
            <w:tcMar>
              <w:left w:w="108" w:type="dxa"/>
              <w:right w:w="108" w:type="dxa"/>
            </w:tcMar>
            <w:vAlign w:val="center"/>
          </w:tcPr>
          <w:p w14:paraId="530F3E36">
            <w:pPr>
              <w:pStyle w:val="2"/>
              <w:widowControl/>
              <w:spacing w:line="320" w:lineRule="atLeas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各供电企业</w:t>
            </w:r>
          </w:p>
        </w:tc>
      </w:tr>
      <w:tr w14:paraId="56E1EB60">
        <w:tblPrEx>
          <w:tblCellMar>
            <w:top w:w="0" w:type="dxa"/>
            <w:left w:w="0" w:type="dxa"/>
            <w:bottom w:w="0" w:type="dxa"/>
            <w:right w:w="0" w:type="dxa"/>
          </w:tblCellMar>
        </w:tblPrEx>
        <w:trPr>
          <w:trHeight w:val="258" w:hRule="atLeast"/>
          <w:jc w:val="center"/>
        </w:trPr>
        <w:tc>
          <w:tcPr>
            <w:tcW w:w="292" w:type="pct"/>
            <w:vMerge w:val="restart"/>
            <w:tcBorders>
              <w:top w:val="nil"/>
              <w:left w:val="single" w:color="000000" w:sz="8" w:space="0"/>
              <w:bottom w:val="single" w:color="000000" w:sz="8" w:space="0"/>
              <w:right w:val="single" w:color="000000" w:sz="8" w:space="0"/>
            </w:tcBorders>
            <w:noWrap w:val="0"/>
            <w:tcMar>
              <w:left w:w="108" w:type="dxa"/>
              <w:right w:w="108" w:type="dxa"/>
            </w:tcMar>
            <w:vAlign w:val="center"/>
          </w:tcPr>
          <w:p w14:paraId="79CBBBB7">
            <w:pPr>
              <w:pStyle w:val="2"/>
              <w:widowControl/>
              <w:spacing w:line="320" w:lineRule="atLeast"/>
              <w:jc w:val="center"/>
              <w:textAlignment w:val="center"/>
              <w:rPr>
                <w:rFonts w:hint="eastAsia" w:ascii="仿宋_GB2312" w:eastAsia="仿宋_GB2312" w:cs="Calibri"/>
                <w:sz w:val="21"/>
                <w:szCs w:val="21"/>
              </w:rPr>
            </w:pPr>
            <w:bookmarkStart w:id="0" w:name="_GoBack" w:colFirst="0" w:colLast="3"/>
            <w:r>
              <w:rPr>
                <w:rFonts w:hint="eastAsia" w:ascii="仿宋_GB2312" w:hAnsi="宋体" w:eastAsia="仿宋_GB2312" w:cs="宋体"/>
                <w:color w:val="000000"/>
                <w:sz w:val="22"/>
                <w:szCs w:val="22"/>
              </w:rPr>
              <w:t>10</w:t>
            </w:r>
          </w:p>
        </w:tc>
        <w:tc>
          <w:tcPr>
            <w:tcW w:w="614" w:type="pct"/>
            <w:vMerge w:val="restart"/>
            <w:tcBorders>
              <w:top w:val="nil"/>
              <w:left w:val="nil"/>
              <w:bottom w:val="single" w:color="000000" w:sz="8" w:space="0"/>
              <w:right w:val="single" w:color="000000" w:sz="8" w:space="0"/>
            </w:tcBorders>
            <w:noWrap w:val="0"/>
            <w:tcMar>
              <w:left w:w="108" w:type="dxa"/>
              <w:right w:w="108" w:type="dxa"/>
            </w:tcMar>
            <w:vAlign w:val="center"/>
          </w:tcPr>
          <w:p w14:paraId="37F8127D">
            <w:pPr>
              <w:pStyle w:val="2"/>
              <w:widowControl/>
              <w:spacing w:line="320" w:lineRule="atLeas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信息公开目录、指南和年报</w:t>
            </w:r>
          </w:p>
        </w:tc>
        <w:tc>
          <w:tcPr>
            <w:tcW w:w="612" w:type="pct"/>
            <w:tcBorders>
              <w:top w:val="nil"/>
              <w:left w:val="nil"/>
              <w:bottom w:val="single" w:color="000000" w:sz="8" w:space="0"/>
              <w:right w:val="single" w:color="000000" w:sz="8" w:space="0"/>
            </w:tcBorders>
            <w:noWrap w:val="0"/>
            <w:tcMar>
              <w:left w:w="108" w:type="dxa"/>
              <w:right w:w="108" w:type="dxa"/>
            </w:tcMar>
            <w:vAlign w:val="center"/>
          </w:tcPr>
          <w:p w14:paraId="5170937A">
            <w:pPr>
              <w:pStyle w:val="2"/>
              <w:widowControl/>
              <w:spacing w:line="320" w:lineRule="atLeas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信息公开目录</w:t>
            </w:r>
          </w:p>
        </w:tc>
        <w:tc>
          <w:tcPr>
            <w:tcW w:w="2212" w:type="pct"/>
            <w:tcBorders>
              <w:top w:val="nil"/>
              <w:left w:val="nil"/>
              <w:bottom w:val="single" w:color="000000" w:sz="8" w:space="0"/>
              <w:right w:val="single" w:color="000000" w:sz="8" w:space="0"/>
            </w:tcBorders>
            <w:noWrap w:val="0"/>
            <w:tcMar>
              <w:left w:w="108" w:type="dxa"/>
              <w:right w:w="108" w:type="dxa"/>
            </w:tcMar>
            <w:vAlign w:val="center"/>
          </w:tcPr>
          <w:p w14:paraId="5BB80618">
            <w:pPr>
              <w:pStyle w:val="2"/>
              <w:widowControl/>
              <w:spacing w:line="320" w:lineRule="atLeast"/>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编制并公布本企业信息公开目录</w:t>
            </w:r>
          </w:p>
        </w:tc>
        <w:tc>
          <w:tcPr>
            <w:tcW w:w="1268" w:type="pct"/>
            <w:tcBorders>
              <w:top w:val="single" w:color="000000" w:sz="8" w:space="0"/>
              <w:left w:val="nil"/>
              <w:bottom w:val="single" w:color="000000" w:sz="8" w:space="0"/>
              <w:right w:val="single" w:color="000000" w:sz="8" w:space="0"/>
            </w:tcBorders>
            <w:noWrap w:val="0"/>
            <w:tcMar>
              <w:left w:w="108" w:type="dxa"/>
              <w:right w:w="108" w:type="dxa"/>
            </w:tcMar>
            <w:vAlign w:val="center"/>
          </w:tcPr>
          <w:p w14:paraId="736DC034">
            <w:pPr>
              <w:pStyle w:val="2"/>
              <w:widowControl/>
              <w:spacing w:line="320" w:lineRule="atLeas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各供电企业</w:t>
            </w:r>
          </w:p>
        </w:tc>
      </w:tr>
      <w:tr w14:paraId="3B508F98">
        <w:tblPrEx>
          <w:tblCellMar>
            <w:top w:w="0" w:type="dxa"/>
            <w:left w:w="0" w:type="dxa"/>
            <w:bottom w:w="0" w:type="dxa"/>
            <w:right w:w="0" w:type="dxa"/>
          </w:tblCellMar>
        </w:tblPrEx>
        <w:trPr>
          <w:trHeight w:val="258" w:hRule="atLeast"/>
          <w:jc w:val="center"/>
        </w:trPr>
        <w:tc>
          <w:tcPr>
            <w:tcW w:w="292" w:type="pct"/>
            <w:vMerge w:val="continue"/>
            <w:tcBorders>
              <w:top w:val="nil"/>
              <w:left w:val="single" w:color="000000" w:sz="8" w:space="0"/>
              <w:bottom w:val="single" w:color="000000" w:sz="8" w:space="0"/>
              <w:right w:val="single" w:color="000000" w:sz="8" w:space="0"/>
            </w:tcBorders>
            <w:noWrap w:val="0"/>
            <w:tcMar>
              <w:left w:w="108" w:type="dxa"/>
              <w:right w:w="108" w:type="dxa"/>
            </w:tcMar>
            <w:vAlign w:val="center"/>
          </w:tcPr>
          <w:p w14:paraId="721D2EE6">
            <w:pPr>
              <w:jc w:val="center"/>
              <w:rPr>
                <w:rFonts w:hint="eastAsia" w:ascii="仿宋_GB2312" w:hAnsi="Times New Roman" w:eastAsia="仿宋_GB2312"/>
                <w:sz w:val="20"/>
                <w:szCs w:val="20"/>
              </w:rPr>
            </w:pPr>
          </w:p>
        </w:tc>
        <w:tc>
          <w:tcPr>
            <w:tcW w:w="614" w:type="pct"/>
            <w:vMerge w:val="continue"/>
            <w:tcBorders>
              <w:top w:val="nil"/>
              <w:left w:val="nil"/>
              <w:bottom w:val="single" w:color="000000" w:sz="8" w:space="0"/>
              <w:right w:val="single" w:color="000000" w:sz="8" w:space="0"/>
            </w:tcBorders>
            <w:noWrap w:val="0"/>
            <w:tcMar>
              <w:left w:w="108" w:type="dxa"/>
              <w:right w:w="108" w:type="dxa"/>
            </w:tcMar>
            <w:vAlign w:val="center"/>
          </w:tcPr>
          <w:p w14:paraId="7B0C0844">
            <w:pPr>
              <w:jc w:val="center"/>
              <w:rPr>
                <w:rFonts w:hint="eastAsia" w:ascii="仿宋_GB2312" w:hAnsi="Times New Roman" w:eastAsia="仿宋_GB2312"/>
                <w:sz w:val="20"/>
                <w:szCs w:val="20"/>
              </w:rPr>
            </w:pPr>
          </w:p>
        </w:tc>
        <w:tc>
          <w:tcPr>
            <w:tcW w:w="612" w:type="pct"/>
            <w:tcBorders>
              <w:top w:val="nil"/>
              <w:left w:val="nil"/>
              <w:bottom w:val="single" w:color="000000" w:sz="8" w:space="0"/>
              <w:right w:val="single" w:color="000000" w:sz="8" w:space="0"/>
            </w:tcBorders>
            <w:noWrap w:val="0"/>
            <w:tcMar>
              <w:left w:w="108" w:type="dxa"/>
              <w:right w:w="108" w:type="dxa"/>
            </w:tcMar>
            <w:vAlign w:val="center"/>
          </w:tcPr>
          <w:p w14:paraId="4C6B5562">
            <w:pPr>
              <w:pStyle w:val="2"/>
              <w:widowControl/>
              <w:spacing w:line="320" w:lineRule="atLeas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信息公开指南</w:t>
            </w:r>
          </w:p>
        </w:tc>
        <w:tc>
          <w:tcPr>
            <w:tcW w:w="2212" w:type="pct"/>
            <w:tcBorders>
              <w:top w:val="nil"/>
              <w:left w:val="nil"/>
              <w:bottom w:val="single" w:color="000000" w:sz="8" w:space="0"/>
              <w:right w:val="single" w:color="000000" w:sz="8" w:space="0"/>
            </w:tcBorders>
            <w:noWrap w:val="0"/>
            <w:tcMar>
              <w:left w:w="108" w:type="dxa"/>
              <w:right w:w="108" w:type="dxa"/>
            </w:tcMar>
            <w:vAlign w:val="center"/>
          </w:tcPr>
          <w:p w14:paraId="5C4BCEAF">
            <w:pPr>
              <w:pStyle w:val="2"/>
              <w:widowControl/>
              <w:spacing w:line="320" w:lineRule="atLeast"/>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发布并及时更新本企业信息公开指南</w:t>
            </w:r>
          </w:p>
        </w:tc>
        <w:tc>
          <w:tcPr>
            <w:tcW w:w="1268" w:type="pct"/>
            <w:tcBorders>
              <w:top w:val="nil"/>
              <w:left w:val="nil"/>
              <w:bottom w:val="single" w:color="000000" w:sz="8" w:space="0"/>
              <w:right w:val="single" w:color="000000" w:sz="8" w:space="0"/>
            </w:tcBorders>
            <w:noWrap w:val="0"/>
            <w:tcMar>
              <w:left w:w="108" w:type="dxa"/>
              <w:right w:w="108" w:type="dxa"/>
            </w:tcMar>
            <w:vAlign w:val="center"/>
          </w:tcPr>
          <w:p w14:paraId="6A9FD112">
            <w:pPr>
              <w:pStyle w:val="2"/>
              <w:widowControl/>
              <w:spacing w:line="320" w:lineRule="atLeas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各供电企业</w:t>
            </w:r>
          </w:p>
        </w:tc>
      </w:tr>
      <w:bookmarkEnd w:id="0"/>
      <w:tr w14:paraId="42BCC39C">
        <w:tblPrEx>
          <w:tblCellMar>
            <w:top w:w="0" w:type="dxa"/>
            <w:left w:w="0" w:type="dxa"/>
            <w:bottom w:w="0" w:type="dxa"/>
            <w:right w:w="0" w:type="dxa"/>
          </w:tblCellMar>
        </w:tblPrEx>
        <w:trPr>
          <w:trHeight w:val="274" w:hRule="atLeast"/>
          <w:jc w:val="center"/>
        </w:trPr>
        <w:tc>
          <w:tcPr>
            <w:tcW w:w="292" w:type="pct"/>
            <w:vMerge w:val="continue"/>
            <w:tcBorders>
              <w:top w:val="nil"/>
              <w:left w:val="single" w:color="000000" w:sz="8" w:space="0"/>
              <w:bottom w:val="single" w:color="000000" w:sz="8" w:space="0"/>
              <w:right w:val="single" w:color="000000" w:sz="8" w:space="0"/>
            </w:tcBorders>
            <w:noWrap w:val="0"/>
            <w:tcMar>
              <w:left w:w="108" w:type="dxa"/>
              <w:right w:w="108" w:type="dxa"/>
            </w:tcMar>
            <w:vAlign w:val="center"/>
          </w:tcPr>
          <w:p w14:paraId="1BE2AAE6">
            <w:pPr>
              <w:jc w:val="center"/>
              <w:rPr>
                <w:rFonts w:hint="eastAsia" w:ascii="仿宋_GB2312" w:hAnsi="Times New Roman" w:eastAsia="仿宋_GB2312"/>
                <w:sz w:val="20"/>
                <w:szCs w:val="20"/>
              </w:rPr>
            </w:pPr>
          </w:p>
        </w:tc>
        <w:tc>
          <w:tcPr>
            <w:tcW w:w="614" w:type="pct"/>
            <w:vMerge w:val="continue"/>
            <w:tcBorders>
              <w:top w:val="nil"/>
              <w:left w:val="nil"/>
              <w:bottom w:val="single" w:color="000000" w:sz="8" w:space="0"/>
              <w:right w:val="single" w:color="000000" w:sz="8" w:space="0"/>
            </w:tcBorders>
            <w:noWrap w:val="0"/>
            <w:tcMar>
              <w:left w:w="108" w:type="dxa"/>
              <w:right w:w="108" w:type="dxa"/>
            </w:tcMar>
            <w:vAlign w:val="center"/>
          </w:tcPr>
          <w:p w14:paraId="1C717EC2">
            <w:pPr>
              <w:jc w:val="center"/>
              <w:rPr>
                <w:rFonts w:hint="eastAsia" w:ascii="仿宋_GB2312" w:hAnsi="Times New Roman" w:eastAsia="仿宋_GB2312"/>
                <w:sz w:val="20"/>
                <w:szCs w:val="20"/>
              </w:rPr>
            </w:pPr>
          </w:p>
        </w:tc>
        <w:tc>
          <w:tcPr>
            <w:tcW w:w="612" w:type="pct"/>
            <w:tcBorders>
              <w:top w:val="nil"/>
              <w:left w:val="nil"/>
              <w:bottom w:val="single" w:color="000000" w:sz="8" w:space="0"/>
              <w:right w:val="single" w:color="000000" w:sz="8" w:space="0"/>
            </w:tcBorders>
            <w:noWrap w:val="0"/>
            <w:tcMar>
              <w:left w:w="108" w:type="dxa"/>
              <w:right w:w="108" w:type="dxa"/>
            </w:tcMar>
            <w:vAlign w:val="center"/>
          </w:tcPr>
          <w:p w14:paraId="63FBDAA3">
            <w:pPr>
              <w:pStyle w:val="2"/>
              <w:widowControl/>
              <w:spacing w:line="320" w:lineRule="atLeas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信息公开年报</w:t>
            </w:r>
          </w:p>
        </w:tc>
        <w:tc>
          <w:tcPr>
            <w:tcW w:w="2212" w:type="pct"/>
            <w:tcBorders>
              <w:top w:val="nil"/>
              <w:left w:val="nil"/>
              <w:bottom w:val="single" w:color="000000" w:sz="8" w:space="0"/>
              <w:right w:val="single" w:color="000000" w:sz="8" w:space="0"/>
            </w:tcBorders>
            <w:noWrap w:val="0"/>
            <w:tcMar>
              <w:left w:w="108" w:type="dxa"/>
              <w:right w:w="108" w:type="dxa"/>
            </w:tcMar>
            <w:vAlign w:val="center"/>
          </w:tcPr>
          <w:p w14:paraId="71D5789D">
            <w:pPr>
              <w:pStyle w:val="2"/>
              <w:widowControl/>
              <w:spacing w:line="320" w:lineRule="atLeast"/>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编制和发布本企业上一年度信息公开年报</w:t>
            </w:r>
          </w:p>
        </w:tc>
        <w:tc>
          <w:tcPr>
            <w:tcW w:w="1268" w:type="pct"/>
            <w:tcBorders>
              <w:top w:val="nil"/>
              <w:left w:val="nil"/>
              <w:bottom w:val="single" w:color="000000" w:sz="8" w:space="0"/>
              <w:right w:val="single" w:color="000000" w:sz="8" w:space="0"/>
            </w:tcBorders>
            <w:noWrap w:val="0"/>
            <w:tcMar>
              <w:left w:w="108" w:type="dxa"/>
              <w:right w:w="108" w:type="dxa"/>
            </w:tcMar>
            <w:vAlign w:val="center"/>
          </w:tcPr>
          <w:p w14:paraId="0A74462D">
            <w:pPr>
              <w:pStyle w:val="2"/>
              <w:widowControl/>
              <w:spacing w:line="320" w:lineRule="atLeast"/>
              <w:jc w:val="center"/>
              <w:textAlignment w:val="center"/>
              <w:rPr>
                <w:rFonts w:hint="eastAsia" w:ascii="仿宋_GB2312" w:eastAsia="仿宋_GB2312" w:cs="Calibri"/>
                <w:sz w:val="21"/>
                <w:szCs w:val="21"/>
              </w:rPr>
            </w:pPr>
            <w:r>
              <w:rPr>
                <w:rFonts w:hint="eastAsia" w:ascii="仿宋_GB2312" w:hAnsi="宋体" w:eastAsia="仿宋_GB2312" w:cs="宋体"/>
                <w:color w:val="000000"/>
                <w:sz w:val="22"/>
                <w:szCs w:val="22"/>
              </w:rPr>
              <w:t>各供电企业</w:t>
            </w:r>
          </w:p>
        </w:tc>
      </w:tr>
    </w:tbl>
    <w:p w14:paraId="09F52A32">
      <w:pPr>
        <w:spacing w:line="56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bCs/>
          <w:color w:val="000000"/>
          <w:kern w:val="0"/>
          <w:sz w:val="28"/>
          <w:szCs w:val="28"/>
          <w:lang w:bidi="ar"/>
        </w:rPr>
        <w:t>政策依据：</w:t>
      </w:r>
      <w:r>
        <w:rPr>
          <w:rFonts w:hint="eastAsia" w:ascii="仿宋_GB2312" w:hAnsi="仿宋_GB2312" w:eastAsia="仿宋_GB2312" w:cs="仿宋_GB2312"/>
          <w:color w:val="000000"/>
          <w:kern w:val="0"/>
          <w:sz w:val="28"/>
          <w:szCs w:val="28"/>
          <w:lang w:bidi="ar"/>
        </w:rPr>
        <w:t>《供电企业信息公开实施办法》（国能发监管规〔2021〕56号)；</w:t>
      </w:r>
      <w:r>
        <w:rPr>
          <w:rFonts w:hint="eastAsia" w:ascii="仿宋_GB2312" w:hAnsi="仿宋_GB2312" w:eastAsia="仿宋_GB2312" w:cs="仿宋_GB2312"/>
          <w:bCs/>
          <w:color w:val="000000"/>
          <w:sz w:val="28"/>
          <w:szCs w:val="28"/>
        </w:rPr>
        <w:t>公开时限：</w:t>
      </w:r>
      <w:r>
        <w:rPr>
          <w:rFonts w:hint="eastAsia" w:ascii="仿宋_GB2312" w:hAnsi="仿宋_GB2312" w:eastAsia="仿宋_GB2312" w:cs="仿宋_GB2312"/>
          <w:color w:val="000000"/>
          <w:sz w:val="28"/>
          <w:szCs w:val="28"/>
        </w:rPr>
        <w:t>停电信息形成之日起1个工作日内，信息公开年报每年3月31日前公开，其余信息形成或者变更之日起20个工作日内；</w:t>
      </w:r>
      <w:r>
        <w:rPr>
          <w:rFonts w:hint="eastAsia" w:ascii="仿宋_GB2312" w:hAnsi="仿宋_GB2312" w:eastAsia="仿宋_GB2312" w:cs="仿宋_GB2312"/>
          <w:bCs/>
          <w:color w:val="000000"/>
          <w:sz w:val="28"/>
          <w:szCs w:val="28"/>
        </w:rPr>
        <w:t>公开渠道和载体：</w:t>
      </w:r>
      <w:r>
        <w:rPr>
          <w:rFonts w:hint="eastAsia" w:ascii="仿宋_GB2312" w:hAnsi="仿宋_GB2312" w:eastAsia="仿宋_GB2312" w:cs="仿宋_GB2312"/>
          <w:color w:val="000000"/>
          <w:sz w:val="28"/>
          <w:szCs w:val="28"/>
        </w:rPr>
        <w:t>各地政府网站“公共企事业单位信息公开专栏”为信息公开的第一平台，各供电企业官网或微信公众号同步公开。</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5E0F88"/>
    <w:rsid w:val="0147254C"/>
    <w:rsid w:val="031907C3"/>
    <w:rsid w:val="0549735A"/>
    <w:rsid w:val="071D2A91"/>
    <w:rsid w:val="0BFB3BBA"/>
    <w:rsid w:val="0C097510"/>
    <w:rsid w:val="10BC3B9A"/>
    <w:rsid w:val="11EE7340"/>
    <w:rsid w:val="12DF7C70"/>
    <w:rsid w:val="14C33D46"/>
    <w:rsid w:val="1A8F5EE6"/>
    <w:rsid w:val="1E577B77"/>
    <w:rsid w:val="20F539ED"/>
    <w:rsid w:val="22AA741A"/>
    <w:rsid w:val="23442A18"/>
    <w:rsid w:val="250924B7"/>
    <w:rsid w:val="25B62495"/>
    <w:rsid w:val="29843161"/>
    <w:rsid w:val="29D52151"/>
    <w:rsid w:val="2A323CB5"/>
    <w:rsid w:val="2CCB7CD9"/>
    <w:rsid w:val="2F624703"/>
    <w:rsid w:val="30766C17"/>
    <w:rsid w:val="32834BD7"/>
    <w:rsid w:val="34110098"/>
    <w:rsid w:val="3415516B"/>
    <w:rsid w:val="34421AE6"/>
    <w:rsid w:val="360061AA"/>
    <w:rsid w:val="37652B62"/>
    <w:rsid w:val="38520ED4"/>
    <w:rsid w:val="38A57DE8"/>
    <w:rsid w:val="3A697DFB"/>
    <w:rsid w:val="3ABE62BF"/>
    <w:rsid w:val="3E72150E"/>
    <w:rsid w:val="3FBF0B0B"/>
    <w:rsid w:val="465A5837"/>
    <w:rsid w:val="4702573F"/>
    <w:rsid w:val="47734F8D"/>
    <w:rsid w:val="47A82D20"/>
    <w:rsid w:val="482F7FBA"/>
    <w:rsid w:val="495E0F88"/>
    <w:rsid w:val="49BA4800"/>
    <w:rsid w:val="4D9C39AF"/>
    <w:rsid w:val="4F595497"/>
    <w:rsid w:val="514B25B2"/>
    <w:rsid w:val="547273E0"/>
    <w:rsid w:val="55970C6F"/>
    <w:rsid w:val="59A2428F"/>
    <w:rsid w:val="5A4A1D19"/>
    <w:rsid w:val="5CDA4255"/>
    <w:rsid w:val="5D951AB7"/>
    <w:rsid w:val="5E0021DD"/>
    <w:rsid w:val="5EFB6CC7"/>
    <w:rsid w:val="5F5439CB"/>
    <w:rsid w:val="61DC42C5"/>
    <w:rsid w:val="62851C30"/>
    <w:rsid w:val="64DF4A68"/>
    <w:rsid w:val="68B56CD3"/>
    <w:rsid w:val="699321B2"/>
    <w:rsid w:val="6A005884"/>
    <w:rsid w:val="6C1026DE"/>
    <w:rsid w:val="6C191E16"/>
    <w:rsid w:val="707E1F97"/>
    <w:rsid w:val="70FB5371"/>
    <w:rsid w:val="71BD715D"/>
    <w:rsid w:val="767F0A97"/>
    <w:rsid w:val="7ADB4758"/>
    <w:rsid w:val="7B703948"/>
    <w:rsid w:val="7CD31EAE"/>
    <w:rsid w:val="7D017DA9"/>
    <w:rsid w:val="7E616B0E"/>
    <w:rsid w:val="7F0E0A8E"/>
    <w:rsid w:val="7F341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901</Words>
  <Characters>912</Characters>
  <Lines>0</Lines>
  <Paragraphs>0</Paragraphs>
  <TotalTime>0</TotalTime>
  <ScaleCrop>false</ScaleCrop>
  <LinksUpToDate>false</LinksUpToDate>
  <CharactersWithSpaces>912</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2023-08-17T02:55:00Z</dcterms:created>
  <dc:creator>李科</dc:creator>
  <cp:lastModifiedBy>回忆</cp:lastModifiedBy>
  <dcterms:modified xsi:type="dcterms:W3CDTF">2025-08-02T02:12:55Z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eyJoZGlkIjoiZDY4ZWQwZTExNTQ0ZTRjNGZkMmFmMWUwMzU5OGQ1Y2IiLCJ1c2VySWQiOiIxMDc3NDYzODI2In0=</vt:lpwstr>
  </property>
  <property fmtid="{D5CDD505-2E9C-101B-9397-08002B2CF9AE}" pid="4" name="ICV">
    <vt:lpwstr>928E437A97E647D3A8B1C49A73930470_12</vt:lpwstr>
  </property>
</Properties>
</file>