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DFE15C" w14:textId="505830B0" w:rsidR="00CB7611" w:rsidRPr="00CB7611" w:rsidRDefault="00CB7611" w:rsidP="00CB7611">
      <w:pPr>
        <w:spacing w:line="578" w:lineRule="exact"/>
        <w:jc w:val="left"/>
        <w:rPr>
          <w:rFonts w:ascii="黑体" w:eastAsia="黑体" w:hAnsi="黑体" w:cs="方正小标宋_GBK" w:hint="eastAsia"/>
          <w:bCs/>
          <w:sz w:val="32"/>
          <w:szCs w:val="32"/>
        </w:rPr>
      </w:pPr>
      <w:r w:rsidRPr="00CB7611">
        <w:rPr>
          <w:rFonts w:ascii="黑体" w:eastAsia="黑体" w:hAnsi="黑体" w:cs="方正小标宋_GBK" w:hint="eastAsia"/>
          <w:bCs/>
          <w:sz w:val="32"/>
          <w:szCs w:val="32"/>
        </w:rPr>
        <w:t>附件：</w:t>
      </w:r>
    </w:p>
    <w:p w14:paraId="09F6CD3D" w14:textId="35E24E3A" w:rsidR="008A7DD1" w:rsidRPr="00CB7611" w:rsidRDefault="00000000">
      <w:pPr>
        <w:spacing w:line="578" w:lineRule="exact"/>
        <w:jc w:val="center"/>
        <w:rPr>
          <w:rFonts w:ascii="黑体" w:eastAsia="黑体" w:hAnsi="黑体" w:cs="方正小标宋_GBK" w:hint="eastAsia"/>
          <w:bCs/>
          <w:sz w:val="44"/>
          <w:szCs w:val="44"/>
        </w:rPr>
      </w:pPr>
      <w:r w:rsidRPr="00CB7611">
        <w:rPr>
          <w:rFonts w:ascii="黑体" w:eastAsia="黑体" w:hAnsi="黑体" w:cs="方正小标宋_GBK" w:hint="eastAsia"/>
          <w:bCs/>
          <w:sz w:val="44"/>
          <w:szCs w:val="44"/>
        </w:rPr>
        <w:t>桐柏县自然资源局</w:t>
      </w:r>
    </w:p>
    <w:p w14:paraId="57B58FA4" w14:textId="7C32897E" w:rsidR="008A7DD1" w:rsidRPr="00CB7611" w:rsidRDefault="00000000">
      <w:pPr>
        <w:spacing w:line="578" w:lineRule="exact"/>
        <w:jc w:val="center"/>
        <w:rPr>
          <w:rFonts w:ascii="黑体" w:eastAsia="黑体" w:hAnsi="黑体" w:cs="方正小标宋_GBK" w:hint="eastAsia"/>
          <w:bCs/>
          <w:sz w:val="44"/>
          <w:szCs w:val="44"/>
        </w:rPr>
      </w:pPr>
      <w:r w:rsidRPr="00CB7611">
        <w:rPr>
          <w:rFonts w:ascii="黑体" w:eastAsia="黑体" w:hAnsi="黑体" w:cs="方正小标宋_GBK" w:hint="eastAsia"/>
          <w:bCs/>
          <w:sz w:val="44"/>
          <w:szCs w:val="44"/>
        </w:rPr>
        <w:t>关于2024年度</w:t>
      </w:r>
      <w:r w:rsidR="00A7336D" w:rsidRPr="00CB7611">
        <w:rPr>
          <w:rFonts w:ascii="黑体" w:eastAsia="黑体" w:hAnsi="黑体" w:cs="方正小标宋_GBK" w:hint="eastAsia"/>
          <w:bCs/>
          <w:sz w:val="44"/>
          <w:szCs w:val="44"/>
        </w:rPr>
        <w:t>桐柏县</w:t>
      </w:r>
      <w:r w:rsidRPr="00CB7611">
        <w:rPr>
          <w:rFonts w:ascii="黑体" w:eastAsia="黑体" w:hAnsi="黑体" w:cs="方正小标宋_GBK" w:hint="eastAsia"/>
          <w:bCs/>
          <w:sz w:val="44"/>
          <w:szCs w:val="44"/>
        </w:rPr>
        <w:t>耕地资源分区分类评价更新</w:t>
      </w:r>
      <w:r w:rsidR="00A7336D" w:rsidRPr="00CB7611">
        <w:rPr>
          <w:rFonts w:ascii="黑体" w:eastAsia="黑体" w:hAnsi="黑体" w:cs="方正小标宋_GBK" w:hint="eastAsia"/>
          <w:bCs/>
          <w:sz w:val="44"/>
          <w:szCs w:val="44"/>
        </w:rPr>
        <w:t>项目</w:t>
      </w:r>
      <w:r w:rsidR="00D53BCE" w:rsidRPr="00CB7611">
        <w:rPr>
          <w:rFonts w:ascii="黑体" w:eastAsia="黑体" w:hAnsi="黑体" w:cs="方正小标宋_GBK" w:hint="eastAsia"/>
          <w:bCs/>
          <w:sz w:val="44"/>
          <w:szCs w:val="44"/>
        </w:rPr>
        <w:t>采购需求</w:t>
      </w:r>
    </w:p>
    <w:p w14:paraId="59D4316A" w14:textId="77777777" w:rsidR="008A7DD1" w:rsidRDefault="008A7DD1">
      <w:pPr>
        <w:spacing w:line="578" w:lineRule="exact"/>
        <w:jc w:val="center"/>
        <w:rPr>
          <w:rFonts w:ascii="宋体" w:hAnsi="宋体" w:hint="eastAsia"/>
          <w:b/>
          <w:sz w:val="36"/>
          <w:szCs w:val="36"/>
        </w:rPr>
      </w:pPr>
    </w:p>
    <w:p w14:paraId="52482E4C" w14:textId="624C9A67" w:rsidR="008A7DD1" w:rsidRDefault="00000000">
      <w:pPr>
        <w:widowControl/>
        <w:spacing w:line="578" w:lineRule="exact"/>
        <w:ind w:firstLineChars="200" w:firstLine="640"/>
        <w:rPr>
          <w:rFonts w:ascii="仿宋_GB2312" w:eastAsia="仿宋_GB2312" w:hAnsi="仿宋_GB2312" w:cs="仿宋_GB2312" w:hint="eastAsia"/>
          <w:sz w:val="32"/>
          <w:szCs w:val="32"/>
        </w:rPr>
      </w:pPr>
      <w:bookmarkStart w:id="0" w:name="OLE_LINK3"/>
      <w:r>
        <w:rPr>
          <w:rFonts w:ascii="仿宋_GB2312" w:eastAsia="仿宋_GB2312" w:hAnsi="仿宋_GB2312" w:cs="仿宋_GB2312" w:hint="eastAsia"/>
          <w:color w:val="000000"/>
          <w:kern w:val="0"/>
          <w:sz w:val="32"/>
          <w:szCs w:val="32"/>
          <w:lang w:bidi="ar"/>
        </w:rPr>
        <w:t>按照</w:t>
      </w:r>
      <w:r>
        <w:rPr>
          <w:rFonts w:ascii="仿宋_GB2312" w:eastAsia="仿宋_GB2312" w:hAnsi="仿宋_GB2312" w:cs="仿宋_GB2312" w:hint="eastAsia"/>
          <w:sz w:val="32"/>
          <w:szCs w:val="32"/>
        </w:rPr>
        <w:t>《自然资源部办公厅关于开展2024年度全国国土变更调查工作的通知》(自然资办发〔2024〕44号)、《河南省自然资源厅办公室关于开展2024年度耕地资源分区分类评价更新工作的通知》（豫自然资办发〔2025〕21号）的安排，桐柏县自然资源局拟按要求开展桐柏县2024年度耕地资源分区分类评价更新工作。</w:t>
      </w:r>
      <w:r>
        <w:rPr>
          <w:rFonts w:ascii="仿宋_GB2312" w:eastAsia="仿宋_GB2312" w:hAnsi="仿宋_GB2312" w:cs="仿宋_GB2312" w:hint="eastAsia"/>
          <w:color w:val="000000"/>
          <w:kern w:val="0"/>
          <w:sz w:val="32"/>
          <w:szCs w:val="32"/>
          <w:lang w:bidi="ar"/>
        </w:rPr>
        <w:t>因</w:t>
      </w:r>
      <w:r>
        <w:rPr>
          <w:rFonts w:ascii="仿宋_GB2312" w:eastAsia="仿宋_GB2312" w:hAnsi="仿宋_GB2312" w:cs="仿宋_GB2312" w:hint="eastAsia"/>
          <w:sz w:val="32"/>
          <w:szCs w:val="32"/>
        </w:rPr>
        <w:t>该项工作技术含量和要求高，需完成外业调查、数据处理及评价、数据库建设及化验分析等工作。</w:t>
      </w:r>
      <w:r>
        <w:rPr>
          <w:rFonts w:ascii="仿宋_GB2312" w:eastAsia="仿宋_GB2312" w:hAnsi="仿宋_GB2312" w:cs="仿宋_GB2312" w:hint="eastAsia"/>
          <w:color w:val="000000"/>
          <w:kern w:val="0"/>
          <w:sz w:val="32"/>
          <w:szCs w:val="32"/>
          <w:lang w:bidi="ar"/>
        </w:rPr>
        <w:t>为确保桐柏县2024年度耕地资源分区分类评价更新工作的顺利开展，</w:t>
      </w:r>
      <w:r>
        <w:rPr>
          <w:rFonts w:ascii="仿宋_GB2312" w:eastAsia="仿宋_GB2312" w:hAnsi="仿宋_GB2312" w:cs="仿宋_GB2312" w:hint="eastAsia"/>
          <w:sz w:val="32"/>
          <w:szCs w:val="32"/>
        </w:rPr>
        <w:t>本着节约、合理的原则，我局编制了“2024年度</w:t>
      </w:r>
      <w:r w:rsidR="00A7336D">
        <w:rPr>
          <w:rFonts w:ascii="仿宋_GB2312" w:eastAsia="仿宋_GB2312" w:hAnsi="仿宋_GB2312" w:cs="仿宋_GB2312" w:hint="eastAsia"/>
          <w:sz w:val="32"/>
          <w:szCs w:val="32"/>
        </w:rPr>
        <w:t>桐柏县</w:t>
      </w:r>
      <w:r>
        <w:rPr>
          <w:rFonts w:ascii="仿宋_GB2312" w:eastAsia="仿宋_GB2312" w:hAnsi="仿宋_GB2312" w:cs="仿宋_GB2312" w:hint="eastAsia"/>
          <w:sz w:val="32"/>
          <w:szCs w:val="32"/>
        </w:rPr>
        <w:t>耕地资源分区分类评价更新</w:t>
      </w:r>
      <w:r w:rsidR="00A7336D">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经费预算”，共需经费20.5万元。</w:t>
      </w:r>
    </w:p>
    <w:p w14:paraId="269571C8" w14:textId="77777777" w:rsidR="008A7DD1" w:rsidRDefault="00000000">
      <w:pPr>
        <w:spacing w:line="578" w:lineRule="exact"/>
        <w:ind w:firstLineChars="200" w:firstLine="640"/>
        <w:jc w:val="left"/>
        <w:rPr>
          <w:rFonts w:ascii="黑体" w:eastAsia="黑体" w:hAnsi="黑体" w:cs="黑体" w:hint="eastAsia"/>
          <w:bCs/>
          <w:sz w:val="32"/>
          <w:szCs w:val="32"/>
        </w:rPr>
      </w:pPr>
      <w:r>
        <w:rPr>
          <w:rFonts w:ascii="黑体" w:eastAsia="黑体" w:hAnsi="黑体" w:cs="黑体" w:hint="eastAsia"/>
          <w:bCs/>
          <w:sz w:val="32"/>
          <w:szCs w:val="32"/>
        </w:rPr>
        <w:t>一、预算依据</w:t>
      </w:r>
    </w:p>
    <w:p w14:paraId="66A2F56D" w14:textId="77777777" w:rsidR="008A7DD1" w:rsidRDefault="00000000">
      <w:pPr>
        <w:widowControl/>
        <w:spacing w:line="578"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1.《新增建设用地土地有偿使用费资金使用管理办法》</w:t>
      </w:r>
    </w:p>
    <w:p w14:paraId="28FBCFE3" w14:textId="77777777" w:rsidR="008A7DD1" w:rsidRDefault="00000000">
      <w:pPr>
        <w:widowControl/>
        <w:spacing w:line="578" w:lineRule="exac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（财建〔2012〕151号）</w:t>
      </w:r>
    </w:p>
    <w:p w14:paraId="472D6E9B" w14:textId="77777777" w:rsidR="008A7DD1" w:rsidRDefault="00000000">
      <w:pPr>
        <w:widowControl/>
        <w:spacing w:line="578"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2.《土地开发整理项目预算定额标准》（豫财综〔2014〕</w:t>
      </w:r>
    </w:p>
    <w:p w14:paraId="7F1AFAC5" w14:textId="77777777" w:rsidR="008A7DD1" w:rsidRDefault="00000000">
      <w:pPr>
        <w:widowControl/>
        <w:spacing w:line="578" w:lineRule="exac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80号）</w:t>
      </w:r>
    </w:p>
    <w:p w14:paraId="2F1ABF63" w14:textId="77777777" w:rsidR="008A7DD1" w:rsidRDefault="00000000">
      <w:pPr>
        <w:widowControl/>
        <w:spacing w:line="578"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3.《河南省科技计划项目经费管理暂行办法》（豫财教〔2012〕434号）</w:t>
      </w:r>
    </w:p>
    <w:p w14:paraId="3DCE4D20" w14:textId="77777777" w:rsidR="008A7DD1" w:rsidRDefault="00000000">
      <w:pPr>
        <w:widowControl/>
        <w:spacing w:line="578"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4.《河南省土地整理中心关于落实耕地质量等别年度更新评价和监测评价工作经费的指导意见》（豫土整理文〔2015〕2号）</w:t>
      </w:r>
    </w:p>
    <w:p w14:paraId="0F3E203E" w14:textId="77777777" w:rsidR="008A7DD1" w:rsidRDefault="00000000">
      <w:pPr>
        <w:widowControl/>
        <w:spacing w:line="578"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5.《河南省土地整理中心关于落实耕地质量定级与农用地估价试点工作经费的指导意见》（豫土整理函〔2017〕16号）</w:t>
      </w:r>
    </w:p>
    <w:p w14:paraId="579B96D8" w14:textId="77777777" w:rsidR="008A7DD1" w:rsidRDefault="00000000">
      <w:pPr>
        <w:widowControl/>
        <w:spacing w:line="578"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6.部分采用了近年来经济社会市场价格，并参照政府采购协议价格进行测算</w:t>
      </w:r>
    </w:p>
    <w:p w14:paraId="327AC105" w14:textId="77777777" w:rsidR="008A7DD1" w:rsidRDefault="00000000">
      <w:pPr>
        <w:spacing w:line="578" w:lineRule="exact"/>
        <w:ind w:firstLineChars="200" w:firstLine="640"/>
        <w:jc w:val="left"/>
        <w:rPr>
          <w:rFonts w:ascii="黑体" w:eastAsia="黑体" w:hAnsi="黑体" w:cs="黑体" w:hint="eastAsia"/>
          <w:bCs/>
          <w:sz w:val="32"/>
          <w:szCs w:val="32"/>
        </w:rPr>
      </w:pPr>
      <w:r>
        <w:rPr>
          <w:rFonts w:ascii="黑体" w:eastAsia="黑体" w:hAnsi="黑体" w:cs="黑体" w:hint="eastAsia"/>
          <w:bCs/>
          <w:sz w:val="32"/>
          <w:szCs w:val="32"/>
        </w:rPr>
        <w:t>二、工作内容</w:t>
      </w:r>
    </w:p>
    <w:p w14:paraId="4DF10790" w14:textId="77777777" w:rsidR="008A7DD1" w:rsidRDefault="00000000">
      <w:pPr>
        <w:spacing w:line="578"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（一）外业资料收集</w:t>
      </w:r>
    </w:p>
    <w:p w14:paraId="608A4829" w14:textId="77777777" w:rsidR="008A7DD1" w:rsidRDefault="00000000">
      <w:pPr>
        <w:spacing w:line="578"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收集整理自然资源部门、农业部门、水利部门、生态环境部门的基础资料（包括：县级“三调”变更数据、生态系统修复项目、一般土地整治项目、开发补充耕地、提质改造、重大工程项目、城乡建设用地增减挂钩项目、工矿废弃地复垦项目、高标准农田项目、农田水利项目资料、耕地地力调查、土壤肥力普查、测土配方施肥成果），调查耕地质量状况，掌握评价所需基础数据和图件资料。</w:t>
      </w:r>
    </w:p>
    <w:p w14:paraId="487D9493" w14:textId="77777777" w:rsidR="008A7DD1" w:rsidRDefault="00000000">
      <w:pPr>
        <w:spacing w:line="578"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（二）外业资料整理与分析</w:t>
      </w:r>
    </w:p>
    <w:p w14:paraId="136C27E6" w14:textId="77777777" w:rsidR="008A7DD1" w:rsidRDefault="00000000">
      <w:pPr>
        <w:snapToGrid w:val="0"/>
        <w:spacing w:line="578"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根据外业收集资料，结合省厅下发底图，经过数据分析，确定桐柏县更新样点。</w:t>
      </w:r>
    </w:p>
    <w:p w14:paraId="7E0F4417" w14:textId="77777777" w:rsidR="008A7DD1" w:rsidRDefault="00000000">
      <w:pPr>
        <w:spacing w:line="578"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（三）外业采样及样点化验</w:t>
      </w:r>
    </w:p>
    <w:p w14:paraId="27E9A8F7" w14:textId="77777777" w:rsidR="008A7DD1" w:rsidRDefault="00000000">
      <w:pPr>
        <w:spacing w:line="578" w:lineRule="exact"/>
        <w:ind w:firstLineChars="200" w:firstLine="640"/>
        <w:jc w:val="left"/>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根据外业资料的收集及整理分析，对年度更新桐柏县范围内的新增耕地、新增恢复地类、二级类变化类、质量建设类进行更新采样。</w:t>
      </w:r>
    </w:p>
    <w:p w14:paraId="1A1B1468" w14:textId="77777777" w:rsidR="008A7DD1" w:rsidRDefault="00000000">
      <w:pPr>
        <w:spacing w:line="578"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（四）内业工作</w:t>
      </w:r>
    </w:p>
    <w:p w14:paraId="46D78422" w14:textId="77777777" w:rsidR="008A7DD1" w:rsidRDefault="00000000">
      <w:pPr>
        <w:spacing w:line="578" w:lineRule="exact"/>
        <w:ind w:firstLine="567"/>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1.工作资料及图件的处理。根据技术要求对所有收集资料进行</w:t>
      </w:r>
      <w:r>
        <w:rPr>
          <w:rFonts w:ascii="仿宋_GB2312" w:eastAsia="仿宋_GB2312" w:hAnsi="仿宋_GB2312" w:cs="仿宋_GB2312" w:hint="eastAsia"/>
          <w:color w:val="000000"/>
          <w:kern w:val="0"/>
          <w:sz w:val="32"/>
          <w:szCs w:val="32"/>
          <w:lang w:bidi="ar"/>
        </w:rPr>
        <w:lastRenderedPageBreak/>
        <w:t>处理，根据省厅下发的工作图斑，对比新增、减少、二级类变化、可恢复农用地及质量建设耕地图斑，形成年度更新分析工作底图，并将数据转换至可落到县级１∶１万耕地资源分区分类数据库上的数据格式。</w:t>
      </w:r>
    </w:p>
    <w:p w14:paraId="6CCB7FCF" w14:textId="77777777" w:rsidR="008A7DD1" w:rsidRDefault="00000000">
      <w:pPr>
        <w:spacing w:line="578" w:lineRule="exact"/>
        <w:ind w:firstLine="567"/>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2.信息系统数据库建设</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lang w:bidi="ar"/>
        </w:rPr>
        <w:t>按照工作方案的要求及外业调查资料，分别获取对减少耕地、新增耕地、二级类变化、可恢复农用地及质量建设耕地建设前后图斑分类信息，按照耕地资源分区分类评价更新数据包结构定义，建立桐柏县耕地资源分区分类评价更新数据库。</w:t>
      </w:r>
    </w:p>
    <w:p w14:paraId="442FEA3C" w14:textId="77777777" w:rsidR="008A7DD1" w:rsidRDefault="00000000">
      <w:pPr>
        <w:spacing w:line="578"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（五）数据成果提交</w:t>
      </w:r>
    </w:p>
    <w:p w14:paraId="37BE168F" w14:textId="77777777" w:rsidR="008A7DD1" w:rsidRDefault="00000000">
      <w:pPr>
        <w:spacing w:line="578"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提交成果包括县级耕地资源分区分类评价更新数据库、耕地资源分区分类评价更新数据库、耕地资源分区分类评价更新数据库，县级耕地资源分区分类结果汇总表、县级耕地资源分区分类评价更新分析报告等。</w:t>
      </w:r>
    </w:p>
    <w:p w14:paraId="49F30732" w14:textId="77777777" w:rsidR="008A7DD1" w:rsidRDefault="00000000">
      <w:pPr>
        <w:spacing w:line="578" w:lineRule="exact"/>
        <w:ind w:firstLineChars="200" w:firstLine="640"/>
        <w:jc w:val="left"/>
        <w:rPr>
          <w:rFonts w:ascii="黑体" w:eastAsia="黑体" w:hAnsi="黑体" w:cs="黑体" w:hint="eastAsia"/>
          <w:bCs/>
          <w:sz w:val="32"/>
          <w:szCs w:val="32"/>
        </w:rPr>
      </w:pPr>
      <w:r>
        <w:rPr>
          <w:rFonts w:ascii="黑体" w:eastAsia="黑体" w:hAnsi="黑体" w:cs="黑体" w:hint="eastAsia"/>
          <w:bCs/>
          <w:sz w:val="32"/>
          <w:szCs w:val="32"/>
        </w:rPr>
        <w:t>三、经费预算</w:t>
      </w:r>
    </w:p>
    <w:p w14:paraId="01EFF96C" w14:textId="77777777" w:rsidR="008A7DD1" w:rsidRDefault="00000000">
      <w:pPr>
        <w:spacing w:line="578" w:lineRule="exact"/>
        <w:ind w:firstLine="567"/>
        <w:rPr>
          <w:rFonts w:ascii="仿宋_GB2312" w:eastAsia="仿宋_GB2312" w:hAnsi="仿宋_GB2312" w:cs="仿宋_GB2312" w:hint="eastAsia"/>
          <w:color w:val="000000"/>
          <w:kern w:val="0"/>
          <w:sz w:val="32"/>
          <w:szCs w:val="32"/>
          <w:lang w:bidi="ar"/>
        </w:rPr>
      </w:pPr>
      <w:bookmarkStart w:id="1" w:name="_Toc306996142"/>
      <w:bookmarkStart w:id="2" w:name="_Toc306995912"/>
      <w:r>
        <w:rPr>
          <w:rFonts w:ascii="仿宋_GB2312" w:eastAsia="仿宋_GB2312" w:hAnsi="仿宋_GB2312" w:cs="仿宋_GB2312" w:hint="eastAsia"/>
          <w:color w:val="000000"/>
          <w:kern w:val="0"/>
          <w:sz w:val="32"/>
          <w:szCs w:val="32"/>
          <w:lang w:bidi="ar"/>
        </w:rPr>
        <w:t>桐柏县2024年度耕地资源分区分类评价更新工作经费主要有专业技术协作费（含外业采样和化验）、工作组织费组成，总经费约需20.5万元，其中专业技术协作费18万元、工作组织费2.5万元。（具体见附表）</w:t>
      </w:r>
    </w:p>
    <w:bookmarkEnd w:id="1"/>
    <w:bookmarkEnd w:id="2"/>
    <w:p w14:paraId="1C5F424F" w14:textId="77777777" w:rsidR="008A7DD1" w:rsidRDefault="00000000">
      <w:pPr>
        <w:spacing w:line="578"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（一）技术协作费用18万元</w:t>
      </w:r>
    </w:p>
    <w:p w14:paraId="50F1F3FF" w14:textId="77777777" w:rsidR="008A7DD1" w:rsidRDefault="00000000">
      <w:pPr>
        <w:spacing w:line="578" w:lineRule="exact"/>
        <w:ind w:firstLine="567"/>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1.完成桐柏县2024年度耕地资源分区分类评价更新项目实施方案和技术方案编制工作，费用预计2万元。</w:t>
      </w:r>
    </w:p>
    <w:p w14:paraId="05868318" w14:textId="77777777" w:rsidR="008A7DD1" w:rsidRDefault="00000000">
      <w:pPr>
        <w:spacing w:line="578" w:lineRule="exact"/>
        <w:ind w:firstLine="567"/>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2.完成外业采样和化验。合理组织工作部署和实施，对年度更</w:t>
      </w:r>
      <w:r>
        <w:rPr>
          <w:rFonts w:ascii="仿宋_GB2312" w:eastAsia="仿宋_GB2312" w:hAnsi="仿宋_GB2312" w:cs="仿宋_GB2312" w:hint="eastAsia"/>
          <w:color w:val="000000"/>
          <w:kern w:val="0"/>
          <w:sz w:val="32"/>
          <w:szCs w:val="32"/>
          <w:lang w:bidi="ar"/>
        </w:rPr>
        <w:lastRenderedPageBreak/>
        <w:t>新工作技术方案进行外业采样并化验，依据前期收集的各种资料进行分析，确定外业采样点，然后进行化验。此项费用预计6万元。</w:t>
      </w:r>
    </w:p>
    <w:p w14:paraId="042D2331" w14:textId="77777777" w:rsidR="008A7DD1" w:rsidRDefault="00000000">
      <w:pPr>
        <w:spacing w:line="578" w:lineRule="exact"/>
        <w:ind w:firstLine="567"/>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3.完成2024年度数据库建库和自检。按照工作方案的要求及外业调查资料，分别获取对减少耕地、新增耕地、二级类变化、可恢复农用地及质量建设耕地建设前后图斑分类信息，按照耕地资源分区分类评价更新数据包结构定义，建立桐柏县2024年度耕地资源分区分类评价更新数据库，此项费用预计3万元，并完成县级数据成果自检，此项费用预计2万元。小计费用5万元。</w:t>
      </w:r>
    </w:p>
    <w:p w14:paraId="7BCA50F8" w14:textId="77777777" w:rsidR="008A7DD1" w:rsidRDefault="00000000">
      <w:pPr>
        <w:spacing w:line="578" w:lineRule="exact"/>
        <w:ind w:firstLine="567"/>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4.完成2024年度更新成果的汇总分析。分析、总结耕地资源质量分类利用更新情况，形成县级耕地资质量分类年度更新分析报告，整理、制作相关图件、数据库和文字成果，编制县级耕地资源分区分类评价更新评价分析报告，此项费用预计5万元。</w:t>
      </w:r>
    </w:p>
    <w:p w14:paraId="7682B10A" w14:textId="77777777" w:rsidR="008A7DD1" w:rsidRDefault="00000000">
      <w:pPr>
        <w:spacing w:line="578"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（二）工作组织经费2.5万元</w:t>
      </w:r>
    </w:p>
    <w:p w14:paraId="0F73CE4F" w14:textId="77777777" w:rsidR="008A7DD1" w:rsidRDefault="00000000">
      <w:pPr>
        <w:spacing w:line="578" w:lineRule="exact"/>
        <w:ind w:firstLine="567"/>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用于在组织该项工作时的各项支出，如成立工作领导小组和技术小组、工作开展的组织协调、组织开展技术培训、确定权重因素、专家会议、更新与检测成果的初步论证、更新成果与检测的上报验收和备案等内容。</w:t>
      </w:r>
    </w:p>
    <w:p w14:paraId="50D0D6E4" w14:textId="77777777" w:rsidR="008A7DD1" w:rsidRDefault="008A7DD1">
      <w:pPr>
        <w:spacing w:line="578" w:lineRule="exact"/>
        <w:ind w:firstLineChars="1700" w:firstLine="5440"/>
        <w:rPr>
          <w:rFonts w:ascii="仿宋_GB2312" w:eastAsia="仿宋_GB2312" w:hAnsi="仿宋_GB2312" w:cs="仿宋_GB2312" w:hint="eastAsia"/>
          <w:color w:val="000000"/>
          <w:kern w:val="0"/>
          <w:sz w:val="32"/>
          <w:szCs w:val="32"/>
          <w:lang w:bidi="ar"/>
        </w:rPr>
      </w:pPr>
    </w:p>
    <w:p w14:paraId="72364C3F" w14:textId="2851EE99" w:rsidR="008A7DD1" w:rsidRPr="00560D6B" w:rsidRDefault="00560D6B">
      <w:pPr>
        <w:spacing w:line="578" w:lineRule="exact"/>
        <w:ind w:firstLineChars="1700" w:firstLine="54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桐柏县自然资源局</w:t>
      </w:r>
    </w:p>
    <w:p w14:paraId="026677A1" w14:textId="77777777" w:rsidR="008A7DD1" w:rsidRDefault="00000000" w:rsidP="00560D6B">
      <w:pPr>
        <w:spacing w:line="578" w:lineRule="exact"/>
        <w:ind w:firstLineChars="1800" w:firstLine="5760"/>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2025年7月</w:t>
      </w:r>
    </w:p>
    <w:p w14:paraId="69F48111" w14:textId="77777777" w:rsidR="008A7DD1" w:rsidRDefault="00000000">
      <w:pP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br w:type="page"/>
      </w:r>
    </w:p>
    <w:p w14:paraId="688F84C0" w14:textId="63CD8EC4" w:rsidR="008A7DD1" w:rsidRDefault="008A7DD1">
      <w:pPr>
        <w:spacing w:line="578" w:lineRule="exact"/>
        <w:rPr>
          <w:rFonts w:ascii="黑体" w:eastAsia="黑体" w:hAnsi="黑体" w:cs="黑体" w:hint="eastAsia"/>
          <w:sz w:val="32"/>
          <w:szCs w:val="32"/>
        </w:rPr>
      </w:pPr>
    </w:p>
    <w:p w14:paraId="4BA4C3F4" w14:textId="77777777" w:rsidR="008A7DD1" w:rsidRDefault="00000000">
      <w:pPr>
        <w:spacing w:line="578" w:lineRule="exact"/>
        <w:ind w:leftChars="-50" w:left="-105" w:rightChars="-50" w:right="-105"/>
        <w:jc w:val="center"/>
        <w:rPr>
          <w:rFonts w:ascii="仿宋_GB2312" w:eastAsia="仿宋_GB2312" w:hAnsi="仿宋_GB2312" w:cs="仿宋_GB2312" w:hint="eastAsia"/>
          <w:sz w:val="28"/>
          <w:szCs w:val="28"/>
        </w:rPr>
      </w:pPr>
      <w:r>
        <w:rPr>
          <w:rFonts w:ascii="黑体" w:eastAsia="黑体" w:hAnsi="黑体" w:cs="黑体" w:hint="eastAsia"/>
          <w:sz w:val="32"/>
          <w:szCs w:val="32"/>
        </w:rPr>
        <w:t>桐柏县2024年度耕地资源分区分类评价更新工作经费预算表</w:t>
      </w:r>
    </w:p>
    <w:tbl>
      <w:tblPr>
        <w:tblStyle w:val="a3"/>
        <w:tblW w:w="8809" w:type="dxa"/>
        <w:jc w:val="center"/>
        <w:tblLook w:val="04A0" w:firstRow="1" w:lastRow="0" w:firstColumn="1" w:lastColumn="0" w:noHBand="0" w:noVBand="1"/>
      </w:tblPr>
      <w:tblGrid>
        <w:gridCol w:w="1549"/>
        <w:gridCol w:w="4281"/>
        <w:gridCol w:w="2979"/>
      </w:tblGrid>
      <w:tr w:rsidR="008A7DD1" w14:paraId="73A2A8EA" w14:textId="77777777">
        <w:trPr>
          <w:trHeight w:hRule="exact" w:val="537"/>
          <w:jc w:val="center"/>
        </w:trPr>
        <w:tc>
          <w:tcPr>
            <w:tcW w:w="1549" w:type="dxa"/>
          </w:tcPr>
          <w:p w14:paraId="7A9D938D" w14:textId="77777777" w:rsidR="008A7DD1" w:rsidRDefault="00000000">
            <w:pPr>
              <w:widowControl/>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color w:val="000000"/>
                <w:kern w:val="0"/>
                <w:sz w:val="28"/>
                <w:szCs w:val="28"/>
                <w:lang w:bidi="ar"/>
              </w:rPr>
              <w:t>序号</w:t>
            </w:r>
          </w:p>
        </w:tc>
        <w:tc>
          <w:tcPr>
            <w:tcW w:w="4281" w:type="dxa"/>
          </w:tcPr>
          <w:p w14:paraId="5A886A2B" w14:textId="77777777" w:rsidR="008A7DD1"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项目内容</w:t>
            </w:r>
          </w:p>
        </w:tc>
        <w:tc>
          <w:tcPr>
            <w:tcW w:w="2979" w:type="dxa"/>
          </w:tcPr>
          <w:p w14:paraId="2F1B520F" w14:textId="77777777" w:rsidR="008A7DD1"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预算费用（万元）</w:t>
            </w:r>
          </w:p>
        </w:tc>
      </w:tr>
      <w:tr w:rsidR="008A7DD1" w14:paraId="0B4F8846" w14:textId="77777777">
        <w:trPr>
          <w:trHeight w:hRule="exact" w:val="567"/>
          <w:jc w:val="center"/>
        </w:trPr>
        <w:tc>
          <w:tcPr>
            <w:tcW w:w="1549" w:type="dxa"/>
          </w:tcPr>
          <w:p w14:paraId="0BCD4C33" w14:textId="77777777" w:rsidR="008A7DD1" w:rsidRDefault="00000000">
            <w:pPr>
              <w:widowControl/>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color w:val="000000"/>
                <w:kern w:val="0"/>
                <w:sz w:val="28"/>
                <w:szCs w:val="28"/>
                <w:lang w:bidi="ar"/>
              </w:rPr>
              <w:t>（一）</w:t>
            </w:r>
          </w:p>
        </w:tc>
        <w:tc>
          <w:tcPr>
            <w:tcW w:w="4281" w:type="dxa"/>
          </w:tcPr>
          <w:p w14:paraId="1EBD4AA5" w14:textId="77777777" w:rsidR="008A7DD1"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技术协作费用</w:t>
            </w:r>
          </w:p>
        </w:tc>
        <w:tc>
          <w:tcPr>
            <w:tcW w:w="2979" w:type="dxa"/>
          </w:tcPr>
          <w:p w14:paraId="6FDC4497" w14:textId="77777777" w:rsidR="008A7DD1"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18</w:t>
            </w:r>
          </w:p>
        </w:tc>
      </w:tr>
      <w:bookmarkEnd w:id="0"/>
      <w:tr w:rsidR="008A7DD1" w14:paraId="1498AE6C" w14:textId="77777777">
        <w:trPr>
          <w:trHeight w:hRule="exact" w:val="567"/>
          <w:jc w:val="center"/>
        </w:trPr>
        <w:tc>
          <w:tcPr>
            <w:tcW w:w="1549" w:type="dxa"/>
          </w:tcPr>
          <w:p w14:paraId="78FC1B36" w14:textId="77777777" w:rsidR="008A7DD1"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1</w:t>
            </w:r>
          </w:p>
        </w:tc>
        <w:tc>
          <w:tcPr>
            <w:tcW w:w="4281" w:type="dxa"/>
          </w:tcPr>
          <w:p w14:paraId="0F9AE197" w14:textId="77777777" w:rsidR="008A7DD1" w:rsidRDefault="00000000">
            <w:pPr>
              <w:widowControl/>
              <w:jc w:val="center"/>
              <w:rPr>
                <w:rFonts w:ascii="仿宋_GB2312" w:eastAsia="仿宋_GB2312" w:hAnsi="仿宋_GB2312" w:cs="仿宋_GB2312" w:hint="eastAsia"/>
                <w:b/>
                <w:bCs/>
                <w:sz w:val="28"/>
                <w:szCs w:val="28"/>
              </w:rPr>
            </w:pPr>
            <w:r>
              <w:rPr>
                <w:rFonts w:ascii="仿宋_GB2312" w:eastAsia="仿宋_GB2312" w:hAnsi="仿宋_GB2312" w:cs="仿宋_GB2312" w:hint="eastAsia"/>
                <w:color w:val="000000"/>
                <w:kern w:val="0"/>
                <w:sz w:val="28"/>
                <w:szCs w:val="28"/>
                <w:lang w:bidi="ar"/>
              </w:rPr>
              <w:t>编制工作方案和技术方案</w:t>
            </w:r>
          </w:p>
        </w:tc>
        <w:tc>
          <w:tcPr>
            <w:tcW w:w="2979" w:type="dxa"/>
          </w:tcPr>
          <w:p w14:paraId="4AF85B31" w14:textId="77777777" w:rsidR="008A7DD1"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w:t>
            </w:r>
          </w:p>
        </w:tc>
      </w:tr>
      <w:tr w:rsidR="008A7DD1" w14:paraId="0D9B5A4E" w14:textId="77777777">
        <w:trPr>
          <w:trHeight w:hRule="exact" w:val="567"/>
          <w:jc w:val="center"/>
        </w:trPr>
        <w:tc>
          <w:tcPr>
            <w:tcW w:w="1549" w:type="dxa"/>
          </w:tcPr>
          <w:p w14:paraId="16723B87" w14:textId="77777777" w:rsidR="008A7DD1"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2</w:t>
            </w:r>
          </w:p>
        </w:tc>
        <w:tc>
          <w:tcPr>
            <w:tcW w:w="4281" w:type="dxa"/>
          </w:tcPr>
          <w:p w14:paraId="58AED335" w14:textId="77777777" w:rsidR="008A7DD1" w:rsidRDefault="00000000">
            <w:pPr>
              <w:widowControl/>
              <w:jc w:val="center"/>
              <w:rPr>
                <w:rFonts w:ascii="仿宋_GB2312" w:eastAsia="仿宋_GB2312" w:hAnsi="仿宋_GB2312" w:cs="仿宋_GB2312" w:hint="eastAsia"/>
                <w:b/>
                <w:bCs/>
                <w:sz w:val="28"/>
                <w:szCs w:val="28"/>
              </w:rPr>
            </w:pPr>
            <w:r>
              <w:rPr>
                <w:rFonts w:ascii="仿宋_GB2312" w:eastAsia="仿宋_GB2312" w:hAnsi="仿宋_GB2312" w:cs="仿宋_GB2312" w:hint="eastAsia"/>
                <w:color w:val="000000"/>
                <w:kern w:val="0"/>
                <w:sz w:val="28"/>
                <w:szCs w:val="28"/>
                <w:lang w:bidi="ar"/>
              </w:rPr>
              <w:t>外业采样和化验</w:t>
            </w:r>
          </w:p>
        </w:tc>
        <w:tc>
          <w:tcPr>
            <w:tcW w:w="2979" w:type="dxa"/>
          </w:tcPr>
          <w:p w14:paraId="5A978BAF" w14:textId="77777777" w:rsidR="008A7DD1"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w:t>
            </w:r>
          </w:p>
        </w:tc>
      </w:tr>
      <w:tr w:rsidR="008A7DD1" w14:paraId="687C60E6" w14:textId="77777777">
        <w:trPr>
          <w:trHeight w:hRule="exact" w:val="567"/>
          <w:jc w:val="center"/>
        </w:trPr>
        <w:tc>
          <w:tcPr>
            <w:tcW w:w="1549" w:type="dxa"/>
          </w:tcPr>
          <w:p w14:paraId="25AD5C26" w14:textId="77777777" w:rsidR="008A7DD1"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3</w:t>
            </w:r>
          </w:p>
        </w:tc>
        <w:tc>
          <w:tcPr>
            <w:tcW w:w="4281" w:type="dxa"/>
          </w:tcPr>
          <w:p w14:paraId="76B8A019" w14:textId="77777777" w:rsidR="008A7DD1" w:rsidRDefault="00000000">
            <w:pPr>
              <w:widowControl/>
              <w:jc w:val="center"/>
              <w:rPr>
                <w:rFonts w:ascii="仿宋_GB2312" w:eastAsia="仿宋_GB2312" w:hAnsi="仿宋_GB2312" w:cs="仿宋_GB2312" w:hint="eastAsia"/>
                <w:b/>
                <w:bCs/>
                <w:sz w:val="28"/>
                <w:szCs w:val="28"/>
              </w:rPr>
            </w:pPr>
            <w:r>
              <w:rPr>
                <w:rFonts w:ascii="仿宋_GB2312" w:eastAsia="仿宋_GB2312" w:hAnsi="仿宋_GB2312" w:cs="仿宋_GB2312" w:hint="eastAsia"/>
                <w:color w:val="000000"/>
                <w:kern w:val="0"/>
                <w:sz w:val="28"/>
                <w:szCs w:val="28"/>
                <w:lang w:bidi="ar"/>
              </w:rPr>
              <w:t>完成数据库建库和自检</w:t>
            </w:r>
          </w:p>
        </w:tc>
        <w:tc>
          <w:tcPr>
            <w:tcW w:w="2979" w:type="dxa"/>
          </w:tcPr>
          <w:p w14:paraId="0C98F248" w14:textId="77777777" w:rsidR="008A7DD1"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w:t>
            </w:r>
          </w:p>
        </w:tc>
      </w:tr>
      <w:tr w:rsidR="008A7DD1" w14:paraId="6B0B1A88" w14:textId="77777777">
        <w:trPr>
          <w:trHeight w:hRule="exact" w:val="567"/>
          <w:jc w:val="center"/>
        </w:trPr>
        <w:tc>
          <w:tcPr>
            <w:tcW w:w="1549" w:type="dxa"/>
          </w:tcPr>
          <w:p w14:paraId="41CA88D5" w14:textId="77777777" w:rsidR="008A7DD1"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4</w:t>
            </w:r>
          </w:p>
        </w:tc>
        <w:tc>
          <w:tcPr>
            <w:tcW w:w="4281" w:type="dxa"/>
          </w:tcPr>
          <w:p w14:paraId="58DDCF71" w14:textId="77777777" w:rsidR="008A7DD1" w:rsidRDefault="00000000">
            <w:pPr>
              <w:widowControl/>
              <w:jc w:val="center"/>
              <w:rPr>
                <w:rFonts w:ascii="仿宋_GB2312" w:eastAsia="仿宋_GB2312" w:hAnsi="仿宋_GB2312" w:cs="仿宋_GB2312" w:hint="eastAsia"/>
                <w:b/>
                <w:bCs/>
                <w:sz w:val="28"/>
                <w:szCs w:val="28"/>
              </w:rPr>
            </w:pPr>
            <w:r>
              <w:rPr>
                <w:rFonts w:ascii="仿宋_GB2312" w:eastAsia="仿宋_GB2312" w:hAnsi="仿宋_GB2312" w:cs="仿宋_GB2312" w:hint="eastAsia"/>
                <w:color w:val="000000"/>
                <w:kern w:val="0"/>
                <w:sz w:val="28"/>
                <w:szCs w:val="28"/>
                <w:lang w:bidi="ar"/>
              </w:rPr>
              <w:t>成果汇总分析</w:t>
            </w:r>
          </w:p>
        </w:tc>
        <w:tc>
          <w:tcPr>
            <w:tcW w:w="2979" w:type="dxa"/>
          </w:tcPr>
          <w:p w14:paraId="0FC3076F" w14:textId="77777777" w:rsidR="008A7DD1" w:rsidRDefault="00000000">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w:t>
            </w:r>
          </w:p>
        </w:tc>
      </w:tr>
      <w:tr w:rsidR="008A7DD1" w14:paraId="6917BEA4" w14:textId="77777777">
        <w:trPr>
          <w:trHeight w:hRule="exact" w:val="567"/>
          <w:jc w:val="center"/>
        </w:trPr>
        <w:tc>
          <w:tcPr>
            <w:tcW w:w="1549" w:type="dxa"/>
          </w:tcPr>
          <w:p w14:paraId="0479BB1C" w14:textId="77777777" w:rsidR="008A7DD1"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color w:val="000000"/>
                <w:kern w:val="0"/>
                <w:sz w:val="28"/>
                <w:szCs w:val="28"/>
                <w:lang w:bidi="ar"/>
              </w:rPr>
              <w:t>（二）</w:t>
            </w:r>
          </w:p>
        </w:tc>
        <w:tc>
          <w:tcPr>
            <w:tcW w:w="4281" w:type="dxa"/>
          </w:tcPr>
          <w:p w14:paraId="59EE5F14" w14:textId="77777777" w:rsidR="008A7DD1" w:rsidRDefault="00000000">
            <w:pPr>
              <w:widowControl/>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color w:val="000000"/>
                <w:kern w:val="0"/>
                <w:sz w:val="28"/>
                <w:szCs w:val="28"/>
                <w:lang w:bidi="ar"/>
              </w:rPr>
              <w:t>工作组织费</w:t>
            </w:r>
          </w:p>
        </w:tc>
        <w:tc>
          <w:tcPr>
            <w:tcW w:w="2979" w:type="dxa"/>
          </w:tcPr>
          <w:p w14:paraId="44F8480F" w14:textId="77777777" w:rsidR="008A7DD1"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2.5</w:t>
            </w:r>
          </w:p>
        </w:tc>
      </w:tr>
      <w:tr w:rsidR="008A7DD1" w14:paraId="0B1267E7" w14:textId="77777777">
        <w:trPr>
          <w:trHeight w:hRule="exact" w:val="567"/>
          <w:jc w:val="center"/>
        </w:trPr>
        <w:tc>
          <w:tcPr>
            <w:tcW w:w="5830" w:type="dxa"/>
            <w:gridSpan w:val="2"/>
          </w:tcPr>
          <w:p w14:paraId="7C17E3ED" w14:textId="77777777" w:rsidR="008A7DD1"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合计</w:t>
            </w:r>
          </w:p>
        </w:tc>
        <w:tc>
          <w:tcPr>
            <w:tcW w:w="2979" w:type="dxa"/>
          </w:tcPr>
          <w:p w14:paraId="71DC6976" w14:textId="77777777" w:rsidR="008A7DD1" w:rsidRDefault="00000000">
            <w:pPr>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20.5</w:t>
            </w:r>
          </w:p>
        </w:tc>
      </w:tr>
    </w:tbl>
    <w:p w14:paraId="2D7BB17E" w14:textId="77777777" w:rsidR="008A7DD1" w:rsidRDefault="008A7DD1">
      <w:pPr>
        <w:spacing w:line="578" w:lineRule="exact"/>
        <w:rPr>
          <w:rFonts w:ascii="仿宋" w:eastAsia="仿宋" w:hAnsi="仿宋" w:cs="仿宋" w:hint="eastAsia"/>
          <w:color w:val="000000"/>
          <w:kern w:val="0"/>
          <w:sz w:val="32"/>
          <w:szCs w:val="32"/>
          <w:lang w:bidi="ar"/>
        </w:rPr>
      </w:pPr>
    </w:p>
    <w:p w14:paraId="1EFC87C9" w14:textId="77777777" w:rsidR="008A7DD1" w:rsidRDefault="008A7DD1">
      <w:pPr>
        <w:spacing w:line="578" w:lineRule="exact"/>
        <w:rPr>
          <w:rFonts w:ascii="仿宋" w:eastAsia="仿宋" w:hAnsi="仿宋" w:cs="仿宋" w:hint="eastAsia"/>
          <w:color w:val="000000"/>
          <w:kern w:val="0"/>
          <w:sz w:val="32"/>
          <w:szCs w:val="32"/>
          <w:lang w:bidi="ar"/>
        </w:rPr>
      </w:pPr>
    </w:p>
    <w:sectPr w:rsidR="008A7DD1">
      <w:pgSz w:w="11906" w:h="16838"/>
      <w:pgMar w:top="1984" w:right="1417" w:bottom="1417"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U5ZTk0N2ExOWUxNGY3ZTBhNThkNTY2NzEzNjI0NDcifQ=="/>
  </w:docVars>
  <w:rsids>
    <w:rsidRoot w:val="006F3663"/>
    <w:rsid w:val="0001628F"/>
    <w:rsid w:val="000C0587"/>
    <w:rsid w:val="000C2DA7"/>
    <w:rsid w:val="000E4072"/>
    <w:rsid w:val="00170EC4"/>
    <w:rsid w:val="001E2CB5"/>
    <w:rsid w:val="00332774"/>
    <w:rsid w:val="003E3370"/>
    <w:rsid w:val="005445B7"/>
    <w:rsid w:val="0055283A"/>
    <w:rsid w:val="00560D6B"/>
    <w:rsid w:val="006F3663"/>
    <w:rsid w:val="00700A54"/>
    <w:rsid w:val="007431DB"/>
    <w:rsid w:val="00836A3C"/>
    <w:rsid w:val="008A11F7"/>
    <w:rsid w:val="008A7DD1"/>
    <w:rsid w:val="008E77F6"/>
    <w:rsid w:val="00927A4D"/>
    <w:rsid w:val="009865D4"/>
    <w:rsid w:val="00993E1B"/>
    <w:rsid w:val="00A7336D"/>
    <w:rsid w:val="00B07BC1"/>
    <w:rsid w:val="00B228D9"/>
    <w:rsid w:val="00B25EEF"/>
    <w:rsid w:val="00B541FB"/>
    <w:rsid w:val="00BA7F7D"/>
    <w:rsid w:val="00BD4A66"/>
    <w:rsid w:val="00CB7611"/>
    <w:rsid w:val="00CC3069"/>
    <w:rsid w:val="00CC38B0"/>
    <w:rsid w:val="00D53BCE"/>
    <w:rsid w:val="00DF3E21"/>
    <w:rsid w:val="00E02498"/>
    <w:rsid w:val="00E10698"/>
    <w:rsid w:val="00F16570"/>
    <w:rsid w:val="00F77FF2"/>
    <w:rsid w:val="00F95AD9"/>
    <w:rsid w:val="00FB2CC9"/>
    <w:rsid w:val="00FE4B55"/>
    <w:rsid w:val="020C62E0"/>
    <w:rsid w:val="036068E4"/>
    <w:rsid w:val="0412437A"/>
    <w:rsid w:val="044A71C2"/>
    <w:rsid w:val="04EA3EDF"/>
    <w:rsid w:val="04F33767"/>
    <w:rsid w:val="076369A2"/>
    <w:rsid w:val="08CF616B"/>
    <w:rsid w:val="09E238CF"/>
    <w:rsid w:val="0B097014"/>
    <w:rsid w:val="0BB6658D"/>
    <w:rsid w:val="0CF93AD9"/>
    <w:rsid w:val="10AB1254"/>
    <w:rsid w:val="115C0E8E"/>
    <w:rsid w:val="12B91B6C"/>
    <w:rsid w:val="13A25509"/>
    <w:rsid w:val="13C92A03"/>
    <w:rsid w:val="14ED0345"/>
    <w:rsid w:val="15BA1E98"/>
    <w:rsid w:val="16B5619C"/>
    <w:rsid w:val="1A2F6BB8"/>
    <w:rsid w:val="1A372A80"/>
    <w:rsid w:val="1E331470"/>
    <w:rsid w:val="1F4743DE"/>
    <w:rsid w:val="1FBD4F3E"/>
    <w:rsid w:val="225E3617"/>
    <w:rsid w:val="26B40D3F"/>
    <w:rsid w:val="2978293C"/>
    <w:rsid w:val="2D9275CC"/>
    <w:rsid w:val="2DF513B0"/>
    <w:rsid w:val="2F041F69"/>
    <w:rsid w:val="32A93554"/>
    <w:rsid w:val="33B23E75"/>
    <w:rsid w:val="33E43199"/>
    <w:rsid w:val="34337579"/>
    <w:rsid w:val="36636130"/>
    <w:rsid w:val="37D0060B"/>
    <w:rsid w:val="3983705E"/>
    <w:rsid w:val="39884D7C"/>
    <w:rsid w:val="39F00538"/>
    <w:rsid w:val="3BB23479"/>
    <w:rsid w:val="3FBC6C43"/>
    <w:rsid w:val="3FF81676"/>
    <w:rsid w:val="40736F4F"/>
    <w:rsid w:val="41EF0BD1"/>
    <w:rsid w:val="42375933"/>
    <w:rsid w:val="42DA2408"/>
    <w:rsid w:val="4992488F"/>
    <w:rsid w:val="4A2E5426"/>
    <w:rsid w:val="4B847DFE"/>
    <w:rsid w:val="4C0F1007"/>
    <w:rsid w:val="4CF3456F"/>
    <w:rsid w:val="4EA14A8D"/>
    <w:rsid w:val="56AE2EBF"/>
    <w:rsid w:val="575907F5"/>
    <w:rsid w:val="60817AAF"/>
    <w:rsid w:val="6146003C"/>
    <w:rsid w:val="618741B1"/>
    <w:rsid w:val="65257301"/>
    <w:rsid w:val="657333CA"/>
    <w:rsid w:val="6C807A41"/>
    <w:rsid w:val="6D6A23F4"/>
    <w:rsid w:val="7008577C"/>
    <w:rsid w:val="701859C6"/>
    <w:rsid w:val="734C3E8B"/>
    <w:rsid w:val="74493C73"/>
    <w:rsid w:val="75C630A2"/>
    <w:rsid w:val="77115D57"/>
    <w:rsid w:val="7BF94115"/>
    <w:rsid w:val="7BFFA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82497"/>
  <w15:docId w15:val="{524B3971-3FBE-4086-8391-CE94712B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1014</Words>
  <Characters>1065</Characters>
  <Application>Microsoft Office Word</Application>
  <DocSecurity>0</DocSecurity>
  <Lines>62</Lines>
  <Paragraphs>61</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建 魏</cp:lastModifiedBy>
  <cp:revision>5</cp:revision>
  <cp:lastPrinted>2024-05-20T11:40:00Z</cp:lastPrinted>
  <dcterms:created xsi:type="dcterms:W3CDTF">2025-07-16T02:59:00Z</dcterms:created>
  <dcterms:modified xsi:type="dcterms:W3CDTF">2025-07-16T08:10:00Z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CAED15DA8C354534A000027087CA4042_13</vt:lpwstr>
  </property>
  <property fmtid="{D5CDD505-2E9C-101B-9397-08002B2CF9AE}" pid="4" name="KSOTemplateDocerSaveRecord">
    <vt:lpwstr>eyJoZGlkIjoiN2ZkN2U0NTE2ZWZjNGNkOGYwMTY5ODIwZjEyYjUxNGMiLCJ1c2VySWQiOiIxMjgzOTA1NjgzIn0=</vt:lpwstr>
  </property>
</Properties>
</file>