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因修建水利建设工程需要占用、挖掘普通公路用地审批   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  <w:lang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（</w:t>
      </w:r>
      <w:r>
        <w:rPr>
          <w:rFonts w:hint="eastAsia" w:ascii="仿宋_GB2312" w:hAnsi="宋体" w:eastAsia="仿宋_GB2312"/>
          <w:sz w:val="24"/>
          <w:szCs w:val="24"/>
        </w:rPr>
        <w:t>该事项承诺时限不含上级批准时间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）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11CC539A"/>
    <w:rsid w:val="197D01DD"/>
    <w:rsid w:val="303F7446"/>
    <w:rsid w:val="46C4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311</Characters>
  <Lines>0</Lines>
  <Paragraphs>0</Paragraphs>
  <TotalTime>1</TotalTime>
  <ScaleCrop>false</ScaleCrop>
  <LinksUpToDate>false</LinksUpToDate>
  <CharactersWithSpaces>550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2022-03-11T08:46:00Z</dcterms:created>
  <dc:creator>Administrator</dc:creator>
  <cp:lastModifiedBy>ziguang</cp:lastModifiedBy>
  <dcterms:modified xsi:type="dcterms:W3CDTF">2023-07-07T01:17:12Z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D01E8454505D457BB84CBB5F044CACED</vt:lpwstr>
  </property>
</Properties>
</file>