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4" w:lineRule="exact"/>
        <w:ind w:firstLine="2560" w:firstLineChars="800"/>
        <w:jc w:val="both"/>
        <w:textAlignment w:val="auto"/>
        <w:rPr>
          <w:rFonts w:hint="eastAsia" w:ascii="仿宋_GB2312" w:hAnsi="宋体" w:eastAsia="仿宋_GB2312"/>
          <w:sz w:val="32"/>
          <w:szCs w:val="24"/>
          <w:u w:val="none"/>
          <w:lang w:val="en-US" w:eastAsia="zh-CN"/>
        </w:rPr>
      </w:pPr>
      <w:r>
        <w:rPr>
          <w:rFonts w:hint="eastAsia" w:ascii="仿宋_GB2312" w:hAnsi="宋体" w:eastAsia="仿宋_GB2312"/>
          <w:sz w:val="32"/>
          <w:szCs w:val="24"/>
          <w:u w:val="none"/>
          <w:lang w:val="en-US" w:eastAsia="zh-CN"/>
        </w:rPr>
        <w:t>利用普通公路桥梁铺设电缆设施许可</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申请材料：</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1、河南省公路涉路施工许可申请书</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按申请书内容填写并加盖公章。</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2、</w:t>
      </w:r>
      <w:r>
        <w:rPr>
          <w:rFonts w:ascii="Times New Roman" w:hAnsi="Times New Roman" w:eastAsia="仿宋_GB2312" w:cs="仿宋_GB2312"/>
          <w:color w:val="000000"/>
          <w:sz w:val="32"/>
          <w:szCs w:val="28"/>
        </w:rPr>
        <w:t>关于XXX建设工程的批复文件</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原件或复制件一份。可通过河南政务服务网申报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3、营业执照</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此项材料可以根据电子证照库和共享库调用</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bookmarkStart w:id="0" w:name="_GoBack"/>
      <w:bookmarkEnd w:id="0"/>
      <w:r>
        <w:rPr>
          <w:rFonts w:hint="eastAsia" w:ascii="Times New Roman" w:hAnsi="Times New Roman" w:eastAsia="仿宋_GB2312" w:cs="仿宋_GB2312"/>
          <w:color w:val="000000"/>
          <w:sz w:val="32"/>
          <w:szCs w:val="28"/>
        </w:rPr>
        <w:t>4、中华人民共和国居民身份证</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法定代表人身份证复制件一份。如委托办理需提供授权委托书原件一份、受委托人身份证复制件一份。可通过河南政务服务网申报。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5、符合技术标准、规范要求的设计和施工方案</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 xml:space="preserve">设计方案，包括设计单位营业执照、资质证书、设计说明、设计图纸（平面位置图、立面图），涉路设施结构图、安全防护和排水设计。申请人提供。 </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施工方案，包括施工单位营业执照、资质证书、施工组织、施工组织方案、交通组织方案及保通措施，申请人提供。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3</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设计方案原件一份、施工方案原件一份。可通过河南政务服务网申报。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16" w:firstLineChars="200"/>
        <w:jc w:val="both"/>
        <w:textAlignment w:val="auto"/>
        <w:rPr>
          <w:rFonts w:hint="eastAsia" w:ascii="Times New Roman" w:hAnsi="Times New Roman" w:eastAsia="仿宋_GB2312" w:cs="仿宋_GB2312"/>
          <w:color w:val="000000"/>
          <w:spacing w:val="-6"/>
          <w:sz w:val="32"/>
          <w:szCs w:val="28"/>
        </w:rPr>
      </w:pPr>
      <w:r>
        <w:rPr>
          <w:rFonts w:hint="eastAsia" w:ascii="Times New Roman" w:hAnsi="Times New Roman" w:eastAsia="仿宋_GB2312" w:cs="仿宋_GB2312"/>
          <w:color w:val="000000"/>
          <w:spacing w:val="-6"/>
          <w:sz w:val="32"/>
          <w:szCs w:val="28"/>
        </w:rPr>
        <w:t>6、保障公路、公路附属设施质量和安全的技术评价报告</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1）安全技术评价报告包括评价单位营业执照、资质证书。条理清楚、结构完整、引用标准规范科学、准确、全面。名称和形式符合规范要求。申请人提供。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原件一份。可通过河南政务服务网申报。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7、处置施工险情和意外事故的应急方案</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处置施工险情和意外事故的应急方案包括建设工程涉路部分施工险情、意外事故应急措施、安全保护措施、组织机构、应急响应程序、情况设置、处置措施、装备队伍等情况；公路路面上空坠物、公路路面塌陷或沉降的应急处理方案。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olor w:val="000000"/>
          <w:sz w:val="32"/>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原件一份。可通过河南政务服务网申报。</w:t>
      </w:r>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yMDNiY2I3YjBhZGE3Y2JiYTA0MzY3NGVkODYzZjEifQ=="/>
  </w:docVars>
  <w:rsids>
    <w:rsidRoot w:val="41B55F66"/>
    <w:rsid w:val="41B55F66"/>
    <w:rsid w:val="62582E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2023-01-17T01:42:00Z</dcterms:created>
  <dc:creator>Administrator</dc:creator>
  <cp:lastModifiedBy>ziguang</cp:lastModifiedBy>
  <dcterms:modified xsi:type="dcterms:W3CDTF">2023-07-07T07:25:46Z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ICV">
    <vt:lpwstr>3E7806E71B374EFB9866A8A5B4F2293E</vt:lpwstr>
  </property>
</Properties>
</file>