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80" w:lineRule="exact"/>
        <w:ind w:firstLine="0" w:firstLineChars="0"/>
        <w:jc w:val="center"/>
        <w:textAlignment w:val="auto"/>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在普通公路用地范围内埋设电缆设施许可</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jc w:val="both"/>
        <w:textAlignment w:val="auto"/>
        <w:rPr>
          <w:rFonts w:ascii="Times New Roman" w:hAnsi="Times New Roman" w:eastAsia="仿宋_GB2312" w:cs="仿宋_GB2312"/>
          <w:color w:val="000000"/>
          <w:sz w:val="32"/>
          <w:szCs w:val="28"/>
        </w:rPr>
      </w:pP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申请材料：</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1、河南省公路涉路施工许可申请书</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按申请书内容填写并加盖公章。</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2、</w:t>
      </w:r>
      <w:r>
        <w:rPr>
          <w:rFonts w:ascii="Times New Roman" w:hAnsi="Times New Roman" w:eastAsia="仿宋_GB2312" w:cs="仿宋_GB2312"/>
          <w:color w:val="000000"/>
          <w:sz w:val="32"/>
          <w:szCs w:val="28"/>
        </w:rPr>
        <w:t>关于XXX建设工程的批复文件</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原件或复制件一份。可通过河南政务服务网申报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3、营业执照</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此项材料可以根据电子证照库和共享库调用</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bookmarkStart w:id="0" w:name="_GoBack"/>
      <w:bookmarkEnd w:id="0"/>
      <w:r>
        <w:rPr>
          <w:rFonts w:hint="eastAsia" w:ascii="Times New Roman" w:hAnsi="Times New Roman" w:eastAsia="仿宋_GB2312" w:cs="仿宋_GB2312"/>
          <w:color w:val="000000"/>
          <w:sz w:val="32"/>
          <w:szCs w:val="28"/>
        </w:rPr>
        <w:t>4、中华人民共和国居民身份证</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ascii="Times New Roman" w:hAnsi="Times New Roman" w:eastAsia="仿宋_GB2312" w:cs="仿宋_GB2312"/>
          <w:color w:val="000000"/>
          <w:sz w:val="32"/>
          <w:szCs w:val="28"/>
        </w:rPr>
        <w:t>法定代表人身份证复制件一份。如委托办理需提供授权委托书原件一份、受委托人身份证复制件一份。可通过河南政务服务网申报。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5、符合技术标准、规范要求的设计和施工方案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 xml:space="preserve">设计方案，包括设计单位营业执照、资质证书、设计说明、设计图纸（平面位置图、立面图），涉路设施结构图、安全防护和排水设计。申请人提供。 </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施工方案，包括施工单位营业执照、资质证书、施工组织、施工组织方案、交通组织方案及保通措施，申请人提供。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3</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设计方案原件一份、施工方案原件一份。可通过河南政务服务网申报。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16" w:firstLineChars="200"/>
        <w:jc w:val="both"/>
        <w:textAlignment w:val="auto"/>
        <w:rPr>
          <w:rFonts w:hint="eastAsia" w:ascii="Times New Roman" w:hAnsi="Times New Roman" w:eastAsia="仿宋_GB2312" w:cs="仿宋_GB2312"/>
          <w:color w:val="000000"/>
          <w:spacing w:val="-6"/>
          <w:sz w:val="32"/>
          <w:szCs w:val="28"/>
        </w:rPr>
      </w:pPr>
      <w:r>
        <w:rPr>
          <w:rFonts w:hint="eastAsia" w:ascii="Times New Roman" w:hAnsi="Times New Roman" w:eastAsia="仿宋_GB2312" w:cs="仿宋_GB2312"/>
          <w:color w:val="000000"/>
          <w:spacing w:val="-6"/>
          <w:sz w:val="32"/>
          <w:szCs w:val="28"/>
        </w:rPr>
        <w:t>6、保障公路、公路附属设施质量和安全的技术评价报告</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1）安全技术评价报告包括评价单位营业执照、资质证书。条理清楚、结构完整、引用标准规范科学、准确、全面。名称和形式符合规范要求。申请人提供。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原件一份。可通过河南政务服务网申报。</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7、处置施工险情和意外事故的应急方案</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hint="eastAsia"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rPr>
        <w:t>审查要点：</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1</w:t>
      </w:r>
      <w:r>
        <w:rPr>
          <w:rFonts w:hint="eastAsia" w:ascii="Times New Roman" w:hAnsi="Times New Roman" w:eastAsia="仿宋_GB2312" w:cs="仿宋_GB2312"/>
          <w:color w:val="000000"/>
          <w:sz w:val="32"/>
          <w:szCs w:val="28"/>
        </w:rPr>
        <w:t>）</w:t>
      </w:r>
      <w:r>
        <w:rPr>
          <w:rFonts w:ascii="Times New Roman" w:hAnsi="Times New Roman" w:eastAsia="仿宋_GB2312" w:cs="仿宋_GB2312"/>
          <w:color w:val="000000"/>
          <w:sz w:val="32"/>
          <w:szCs w:val="28"/>
        </w:rPr>
        <w:t>处置施工险情和意外事故的应急方案包括建设工程涉路部分施工险情、意外事故应急措施、安全保护措施、组织机构、应急响应程序、情况设置、处置措施、装备队伍等情况；公路路面上空坠物、公路路面塌陷或沉降的应急处理方案。申请人提供。</w:t>
      </w:r>
    </w:p>
    <w:p>
      <w:pPr>
        <w:keepNext w:val="0"/>
        <w:keepLines w:val="0"/>
        <w:pageBreakBefore w:val="0"/>
        <w:widowControl w:val="0"/>
        <w:kinsoku/>
        <w:wordWrap/>
        <w:overflowPunct/>
        <w:topLinePunct w:val="0"/>
        <w:autoSpaceDE/>
        <w:autoSpaceDN/>
        <w:bidi w:val="0"/>
        <w:adjustRightInd/>
        <w:snapToGrid/>
        <w:spacing w:line="604" w:lineRule="exact"/>
        <w:ind w:firstLine="640" w:firstLineChars="200"/>
        <w:jc w:val="both"/>
        <w:textAlignment w:val="auto"/>
        <w:rPr>
          <w:rFonts w:ascii="Times New Roman" w:hAnsi="Times New Roman" w:eastAsia="仿宋_GB2312" w:cs="仿宋_GB2312"/>
          <w:color w:val="000000"/>
          <w:sz w:val="32"/>
          <w:szCs w:val="28"/>
        </w:rPr>
      </w:pPr>
      <w:r>
        <w:rPr>
          <w:rFonts w:hint="eastAsia" w:ascii="Times New Roman" w:hAnsi="Times New Roman" w:eastAsia="仿宋_GB2312" w:cs="仿宋_GB2312"/>
          <w:color w:val="000000"/>
          <w:sz w:val="32"/>
          <w:szCs w:val="28"/>
          <w:lang w:eastAsia="zh-CN"/>
        </w:rPr>
        <w:t>（</w:t>
      </w:r>
      <w:r>
        <w:rPr>
          <w:rFonts w:hint="eastAsia" w:ascii="Times New Roman" w:hAnsi="Times New Roman" w:eastAsia="仿宋_GB2312" w:cs="仿宋_GB2312"/>
          <w:color w:val="000000"/>
          <w:sz w:val="32"/>
          <w:szCs w:val="28"/>
        </w:rPr>
        <w:t>2</w:t>
      </w:r>
      <w:r>
        <w:rPr>
          <w:rFonts w:hint="eastAsia" w:ascii="Times New Roman" w:hAnsi="Times New Roman" w:eastAsia="仿宋_GB2312" w:cs="仿宋_GB2312"/>
          <w:color w:val="000000"/>
          <w:sz w:val="32"/>
          <w:szCs w:val="28"/>
          <w:lang w:eastAsia="zh-CN"/>
        </w:rPr>
        <w:t>）</w:t>
      </w:r>
      <w:r>
        <w:rPr>
          <w:rFonts w:ascii="Times New Roman" w:hAnsi="Times New Roman" w:eastAsia="仿宋_GB2312" w:cs="仿宋_GB2312"/>
          <w:color w:val="000000"/>
          <w:sz w:val="32"/>
          <w:szCs w:val="28"/>
        </w:rPr>
        <w:t>原件一份。可通过河南政务服务网申报。</w:t>
      </w: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Y2ZmYzBmODJmMzYzNDAxNDNjOGRlZjkwNTUzYzYifQ=="/>
  </w:docVars>
  <w:rsids>
    <w:rsidRoot w:val="00000000"/>
    <w:rsid w:val="4AED6CC5"/>
    <w:rsid w:val="6AA76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727</Words>
  <Characters>729</Characters>
  <Lines>0</Lines>
  <Paragraphs>0</Paragraphs>
  <TotalTime>0</TotalTime>
  <ScaleCrop>false</ScaleCrop>
  <LinksUpToDate>false</LinksUpToDate>
  <CharactersWithSpaces>730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2022-03-14T01:18:00Z</dcterms:created>
  <dc:creator>Administrator</dc:creator>
  <cp:lastModifiedBy>Administrator</cp:lastModifiedBy>
  <dcterms:modified xsi:type="dcterms:W3CDTF">2023-07-07T03:17:04Z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FA368204F6474D10871734A97D657680_12</vt:lpwstr>
  </property>
</Properties>
</file>