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480" w:firstLine="1546" w:firstLineChars="700"/>
        <w:rPr>
          <w:rFonts w:ascii="仿宋" w:hAnsi="仿宋" w:eastAsia="仿宋" w:cs="仿宋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i w:val="0"/>
          <w:color w:val="000000" w:themeColor="text1"/>
          <w:kern w:val="0"/>
          <w:sz w:val="22"/>
          <w:szCs w:val="2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裁决客运站经营者发车时间安排纠纷</w:t>
      </w:r>
    </w:p>
    <w:bookmarkEnd w:id="0"/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ind w:firstLine="1680" w:firstLineChars="7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</w:rPr>
        <w:t>道路运输行政裁定申请书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审查要点：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材料真实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4924"/>
    <w:rsid w:val="005651A2"/>
    <w:rsid w:val="007B4752"/>
    <w:rsid w:val="00A54924"/>
    <w:rsid w:val="00B93F9A"/>
    <w:rsid w:val="00D40030"/>
    <w:rsid w:val="00DA2C3C"/>
    <w:rsid w:val="493D02A6"/>
    <w:rsid w:val="6863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91</Characters>
  <Lines>1</Lines>
  <Paragraphs>1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2023-07-20T07:58:00Z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