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申请县际道路旅客运输包车客运许可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申请县际道路旅客运输包车客运许可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8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1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1834"/>
        <w:gridCol w:w="2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8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201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8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</w:rPr>
              <w:t>非必要</w:t>
            </w:r>
          </w:p>
        </w:tc>
        <w:tc>
          <w:tcPr>
            <w:tcW w:w="20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30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20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</w:tr>
    </w:tbl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48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  <w:bookmarkStart w:id="0" w:name="_GoBack"/>
      <w:bookmarkEnd w:id="0"/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48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E444CB"/>
    <w:rsid w:val="00130E9C"/>
    <w:rsid w:val="00324CFF"/>
    <w:rsid w:val="00E444CB"/>
    <w:rsid w:val="2ACB43B3"/>
    <w:rsid w:val="2E98401E"/>
    <w:rsid w:val="43B816FA"/>
    <w:rsid w:val="4ABE7A9A"/>
    <w:rsid w:val="60762CD4"/>
    <w:rsid w:val="635B76B5"/>
    <w:rsid w:val="6BE7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864</Words>
  <Characters>905</Characters>
  <Lines>8</Lines>
  <Paragraphs>2</Paragraphs>
  <TotalTime>0</TotalTime>
  <ScaleCrop>false</ScaleCrop>
  <LinksUpToDate>false</LinksUpToDate>
  <CharactersWithSpaces>1129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2023-07-17T10:46:36Z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B4EE00F730FC4ADCBBC12C7D2B3C6B45</vt:lpwstr>
  </property>
</Properties>
</file>