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bidi w:val="0"/>
        <w:adjustRightInd/>
        <w:snapToGrid/>
        <w:spacing w:before="0" w:beforeAutospacing="0" w:after="0" w:afterAutospacing="0" w:line="520" w:lineRule="exact"/>
        <w:ind w:left="0" w:leftChars="0" w:right="0" w:rightChars="0" w:firstLine="0" w:firstLineChars="0"/>
        <w:jc w:val="center"/>
        <w:rPr>
          <w:rFonts w:hint="default" w:ascii="宋体" w:hAnsi="宋体" w:eastAsia="宋体"/>
          <w:b w:val="0"/>
          <w:i w:val="0"/>
          <w:color w:val="000000"/>
          <w:sz w:val="22"/>
          <w:u w:val="none"/>
          <w:lang w:eastAsia="zh-CN"/>
        </w:rPr>
      </w:pPr>
      <w:r>
        <w:rPr>
          <w:rFonts w:hint="eastAsia"/>
          <w:b/>
          <w:bCs w:val="0"/>
          <w:lang w:val="en-US" w:eastAsia="zh-CN"/>
        </w:rPr>
        <w:t>桐柏县财政局行政职权目录</w:t>
      </w:r>
    </w:p>
    <w:p>
      <w:pPr>
        <w:keepNext w:val="0"/>
        <w:keepLines w:val="0"/>
        <w:pageBreakBefore w:val="0"/>
        <w:widowControl w:val="0"/>
        <w:kinsoku/>
        <w:wordWrap/>
        <w:overflowPunct/>
        <w:topLinePunct w:val="0"/>
        <w:autoSpaceDE/>
        <w:bidi w:val="0"/>
        <w:adjustRightInd/>
        <w:snapToGrid/>
        <w:spacing w:beforeAutospacing="0" w:afterAutospacing="0" w:line="520" w:lineRule="exact"/>
        <w:ind w:left="0" w:leftChars="0" w:right="0" w:rightChars="0"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（共57项）</w:t>
      </w:r>
    </w:p>
    <w:tbl>
      <w:tblPr>
        <w:tblStyle w:val="16"/>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blHeader/>
        </w:trPr>
        <w:tc>
          <w:tcPr>
            <w:tcW w:w="735" w:type="dxa"/>
            <w:vAlign w:val="center"/>
          </w:tcPr>
          <w:p>
            <w:pPr>
              <w:jc w:val="center"/>
              <w:rPr>
                <w:b w:val="0"/>
                <w:bCs w:val="0"/>
                <w:color w:val="auto"/>
                <w:sz w:val="24"/>
                <w:szCs w:val="24"/>
              </w:rPr>
            </w:pPr>
            <w:r>
              <w:rPr>
                <w:rFonts w:hint="eastAsia" w:ascii="黑体" w:hAnsi="黑体" w:eastAsia="黑体" w:cs="黑体"/>
                <w:b w:val="0"/>
                <w:bCs w:val="0"/>
                <w:color w:val="auto"/>
                <w:sz w:val="24"/>
                <w:szCs w:val="24"/>
                <w:lang w:val="en-US" w:eastAsia="zh-CN"/>
              </w:rPr>
              <w:t>序号</w:t>
            </w:r>
          </w:p>
        </w:tc>
        <w:tc>
          <w:tcPr>
            <w:tcW w:w="6690" w:type="dxa"/>
            <w:vAlign w:val="center"/>
          </w:tcPr>
          <w:p>
            <w:pPr>
              <w:jc w:val="center"/>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365" w:type="dxa"/>
            <w:vAlign w:val="center"/>
          </w:tcPr>
          <w:p>
            <w:pPr>
              <w:jc w:val="center"/>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一、行政许可（1项</w:t>
            </w:r>
            <w:r>
              <w:rPr>
                <w:rFonts w:hint="eastAsia" w:ascii="仿宋_GB2312" w:hAnsi="仿宋_GB2312" w:eastAsia="仿宋_GB2312" w:cs="仿宋_GB2312"/>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代理记账机构设立批准</w:t>
            </w:r>
          </w:p>
        </w:tc>
        <w:tc>
          <w:tcPr>
            <w:tcW w:w="1365" w:type="dxa"/>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二、行政处罚（27项）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对采购人、采购代理机构政府采购违法行为的处罚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对采购人、采购代理机构及其工作人员恶意串通、获取不正当利益、提供虚假材料、泄露标底等的处罚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对采购人、采购代理机构隐匿、销毁应当保存的采购文件或者伪造、变造采购文</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对供应商违法行为的处罚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对采购人未编制采购计划、规避招标、违规确定供应商、未依法管理合同、未依法采用非招标方式等行为的处罚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对采购人员与供应商有利害关系而不依法回避的处罚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对评审专家未依法独立评审、泄露评审情况；应回避而未回避；收受贿赂或获取其他不正当利益、存在明显不合理或不正当倾向性等行为的处罚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对采购人、采购代理机构应公告而未公告、不在指定媒体公告、不同媒体公告内容不一致、未按规定期限公告、公告信息不真实、排斥潜在供应商等行为的处罚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对国有资产占有单位提供虚假情况和资料，或者与资产评估机构串通作弊，致使资产评估结果失实的</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对资产评估机构作弊或者玩忽职守，致使资产评估结果失实的处罚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对国有资产管理行政主管部门或者行业主管部门工作人员利用职权谋取私利，或者玩忽职守，造成国有资产损失的处罚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对企业国有资产产权登记违反规定的处罚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exact"/>
        </w:trPr>
        <w:tc>
          <w:tcPr>
            <w:tcW w:w="73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金融企业不按照规定建立内部财务管理制度；内部财务管理制度明显与国家法律、法规和统一的财务管理制度规章制度相抵触，且不按财政部门要求修改的；不按照规定提供财务信息的；拒绝、阻扰依法实施的财务监督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对不依法设置会计账簿等的处罚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对伪造、变造会计凭证、会计账簿，编制虚假财务会计报告的处罚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对隐匿或者故意销毁依法应当保存的会计凭证、会计账簿、财务会计报告的处罚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对授意、指使、强令会计机构、会计人员及其他人员编制、对外提供虚假的或者隐瞒重要事实的财务会计报告，或者隐匿、故意销毁依法应当保存的财务会计报告的处罚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对代理记账机构采取欺骗手段获得代理记账许可证书、在经营期间未保持设立条件的处罚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对企业随意改变会计要素的确认和计量标准等的处罚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企业和企业负有直接责任的主管人员和其他人员未按规定列支成本费用，截留、隐瞒、侵占企业收入，分配利润，处理国有资源，清偿职工债务的处罚；未按规定建立健全内部财务管理制度、拒绝修正财务管理制度违规内容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对单位和个人违反国家有关投资建设项目规定行为的处罚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对国家机关及其工作人员违反国家有关账户管理规定，擅自在金融机关开立、使用账户的处罚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对不缴或者少缴财政收入的处罚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对违反规定印制和使用财政票据的处罚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对违反规定使用、骗取财政资金以及政府承贷或者担保的外国政府贷款、国际金融组织贷款行为的处罚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对单位和个人违反财务管理规定私存私放财政资金或者其他公款的处罚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735" w:type="dxa"/>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w:t>
            </w:r>
          </w:p>
        </w:tc>
        <w:tc>
          <w:tcPr>
            <w:tcW w:w="6690" w:type="dxa"/>
            <w:vAlign w:val="center"/>
          </w:tcPr>
          <w:p>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对被监督对象阻挠、拒绝监督检查或者不如实提供有关资料、实物的处罚</w:t>
            </w:r>
          </w:p>
        </w:tc>
        <w:tc>
          <w:tcPr>
            <w:tcW w:w="1365"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三、行政强制（0项）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四、行政征收（1项）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国有资本收益征收</w:t>
            </w:r>
          </w:p>
        </w:tc>
        <w:tc>
          <w:tcPr>
            <w:tcW w:w="136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五、行政给付（0项）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六、行政检查（10项）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bCs/>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财政法律、法规、规章及政策的执行情况监督检查</w:t>
            </w:r>
          </w:p>
        </w:tc>
        <w:tc>
          <w:tcPr>
            <w:tcW w:w="136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bCs/>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财政票据监督检查</w:t>
            </w:r>
          </w:p>
        </w:tc>
        <w:tc>
          <w:tcPr>
            <w:tcW w:w="136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财政专项资金监督检查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政府采购法规、政策的执行情况监督检查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社会保障基金、住房公积金等资金征收、使用和管理情况监督检查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国有资产收益收支及管理情况监督检查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国际组织和外国政府援助项目的财务收支情况监督检查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会计监督检查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地方商业银行和非银行金融机构的资产和财务管理情况监督检查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代理记账机构监督检查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七、行政确认（2项）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bCs/>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政府采购中标成交结果无效认定</w:t>
            </w:r>
          </w:p>
        </w:tc>
        <w:tc>
          <w:tcPr>
            <w:tcW w:w="136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非营利组织免税资格认定</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八、行政裁决（0项）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九、行政奖励（0项）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8790" w:type="dxa"/>
            <w:gridSpan w:val="3"/>
            <w:vAlign w:val="center"/>
          </w:tcPr>
          <w:p>
            <w:pPr>
              <w:jc w:val="center"/>
              <w:rPr>
                <w:color w:val="auto"/>
                <w:sz w:val="24"/>
                <w:szCs w:val="24"/>
              </w:rPr>
            </w:pPr>
            <w:r>
              <w:rPr>
                <w:rFonts w:hint="eastAsia" w:ascii="仿宋_GB2312" w:hAnsi="仿宋_GB2312" w:eastAsia="仿宋_GB2312" w:cs="仿宋_GB2312"/>
                <w:b/>
                <w:bCs/>
                <w:color w:val="auto"/>
                <w:sz w:val="24"/>
                <w:szCs w:val="24"/>
                <w:lang w:val="en-US" w:eastAsia="zh-CN"/>
              </w:rPr>
              <w:t>十、其他职权（16项）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bCs/>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预算绩效管理（财政专项资金的分配与绩效评价）</w:t>
            </w:r>
          </w:p>
        </w:tc>
        <w:tc>
          <w:tcPr>
            <w:tcW w:w="1365" w:type="dxa"/>
            <w:vAlign w:val="center"/>
          </w:tcPr>
          <w:p>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供应商投诉处理</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中标成交结果变更备案</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终止采购活动、撤销采购合同、责成重新开展政府采购活动</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国有资产评估项目核准、备案、抽查</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金融类企业国有资产产权登记</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会计管理工作</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代理记账机构变更登记、年度报备、注销</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县级行政事业单位所属企业国有资产产权登记及转让批准</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县级行政事业单</w:t>
            </w:r>
            <w:bookmarkStart w:id="0" w:name="_GoBack"/>
            <w:bookmarkEnd w:id="0"/>
            <w:r>
              <w:rPr>
                <w:rFonts w:hint="eastAsia" w:ascii="仿宋_GB2312" w:hAnsi="仿宋_GB2312" w:eastAsia="仿宋_GB2312" w:cs="仿宋_GB2312"/>
                <w:b w:val="0"/>
                <w:bCs w:val="0"/>
                <w:color w:val="auto"/>
                <w:sz w:val="24"/>
                <w:szCs w:val="24"/>
                <w:lang w:val="en-US" w:eastAsia="zh-CN"/>
              </w:rPr>
              <w:t>位及所属企业清产核资结果认定</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对政府非税收入管理工作中做出突出贡献或者举报违法行为有功的单位和个人给予表彰、奖励</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非税收入代收银行确定及取消</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财政票据发放、核销</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《财政票据领购证》核发</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企业国有资产所有权界定</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rPr>
        <w:tc>
          <w:tcPr>
            <w:tcW w:w="735" w:type="dxa"/>
            <w:vAlign w:val="center"/>
          </w:tcPr>
          <w:p>
            <w:pPr>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16</w:t>
            </w:r>
          </w:p>
        </w:tc>
        <w:tc>
          <w:tcPr>
            <w:tcW w:w="6690" w:type="dxa"/>
            <w:vAlign w:val="center"/>
          </w:tcPr>
          <w:p>
            <w:pPr>
              <w:jc w:val="left"/>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行政事业单位开户审核</w:t>
            </w:r>
          </w:p>
        </w:tc>
        <w:tc>
          <w:tcPr>
            <w:tcW w:w="1365" w:type="dxa"/>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其他职权</w:t>
            </w:r>
          </w:p>
        </w:tc>
      </w:tr>
    </w:tbl>
    <w:p>
      <w:pPr>
        <w:widowControl w:val="0"/>
        <w:numPr>
          <w:ilvl w:val="0"/>
          <w:numId w:val="0"/>
        </w:numPr>
        <w:wordWrap/>
        <w:adjustRightInd/>
        <w:snapToGrid/>
        <w:spacing w:before="0" w:after="0" w:line="600" w:lineRule="exact"/>
        <w:ind w:left="0" w:leftChars="0" w:right="0" w:firstLine="0" w:firstLineChars="0"/>
        <w:jc w:val="both"/>
        <w:textAlignment w:val="auto"/>
        <w:outlineLvl w:val="9"/>
        <w:rPr>
          <w:rFonts w:hint="default"/>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F08F41-5188-4950-B3C4-53958C19829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0" w:usb1="00000000" w:usb2="00000000" w:usb3="00000000" w:csb0="00000000" w:csb1="00000000"/>
    <w:embedRegular r:id="rId2" w:fontKey="{0282E05E-0460-4525-BE7C-848DA2230F24}"/>
  </w:font>
  <w:font w:name="楷体_GB2312">
    <w:panose1 w:val="02010609030101010101"/>
    <w:charset w:val="86"/>
    <w:family w:val="auto"/>
    <w:pitch w:val="default"/>
    <w:sig w:usb0="00000000" w:usb1="00000000" w:usb2="00000000" w:usb3="00000000" w:csb0="00000000" w:csb1="00000000"/>
    <w:embedRegular r:id="rId3" w:fontKey="{34AE51E2-0E69-4B88-A682-5789A938E026}"/>
  </w:font>
  <w:font w:name="仿宋">
    <w:panose1 w:val="02010609060101010101"/>
    <w:charset w:val="86"/>
    <w:family w:val="modern"/>
    <w:pitch w:val="default"/>
    <w:sig w:usb0="800002BF" w:usb1="38CF7CFA" w:usb2="00000016" w:usb3="00000000" w:csb0="00040001" w:csb1="00000000"/>
    <w:embedRegular r:id="rId4" w:fontKey="{75503EA5-E3B6-4691-8FFE-C72EB35B4316}"/>
  </w:font>
  <w:font w:name="Arial">
    <w:panose1 w:val="020B0604020202020204"/>
    <w:charset w:val="00"/>
    <w:family w:val="auto"/>
    <w:pitch w:val="default"/>
    <w:sig w:usb0="E0002AFF" w:usb1="C0007843" w:usb2="00000009" w:usb3="00000000" w:csb0="400001FF" w:csb1="FFFF0000"/>
  </w:font>
  <w:font w:name="DFKai-SB">
    <w:panose1 w:val="03000509000000000000"/>
    <w:charset w:val="88"/>
    <w:family w:val="auto"/>
    <w:pitch w:val="default"/>
    <w:sig w:usb0="00000003" w:usb1="082E0000" w:usb2="00000016" w:usb3="00000000" w:csb0="0010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00"/>
    <w:family w:val="auto"/>
    <w:pitch w:val="default"/>
    <w:sig w:usb0="00000000" w:usb1="00000000" w:usb2="00000000" w:usb3="00000000" w:csb0="0000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Browallia New">
    <w:panose1 w:val="020B0604020202020204"/>
    <w:charset w:val="00"/>
    <w:family w:val="auto"/>
    <w:pitch w:val="default"/>
    <w:sig w:usb0="81000003" w:usb1="00000000" w:usb2="00000000" w:usb3="00000000" w:csb0="00010001" w:csb1="00000000"/>
  </w:font>
  <w:font w:name="Corbel">
    <w:panose1 w:val="020B0503020204020204"/>
    <w:charset w:val="00"/>
    <w:family w:val="auto"/>
    <w:pitch w:val="default"/>
    <w:sig w:usb0="A00002EF" w:usb1="4000A44B" w:usb2="00000000" w:usb3="00000000" w:csb0="2000019F" w:csb1="00000000"/>
  </w:font>
  <w:font w:name="Consolas">
    <w:panose1 w:val="020B0609020204030204"/>
    <w:charset w:val="00"/>
    <w:family w:val="auto"/>
    <w:pitch w:val="default"/>
    <w:sig w:usb0="E10002FF" w:usb1="4000FCFF" w:usb2="00000009" w:usb3="00000000" w:csb0="6000019F" w:csb1="DFD70000"/>
  </w:font>
  <w:font w:name="Candara">
    <w:panose1 w:val="020E0502030303020204"/>
    <w:charset w:val="00"/>
    <w:family w:val="auto"/>
    <w:pitch w:val="default"/>
    <w:sig w:usb0="A00002EF" w:usb1="4000A44B" w:usb2="00000000" w:usb3="00000000" w:csb0="2000019F" w:csb1="00000000"/>
  </w:font>
  <w:font w:name="Cambria Math">
    <w:panose1 w:val="02040503050406030204"/>
    <w:charset w:val="00"/>
    <w:family w:val="auto"/>
    <w:pitch w:val="default"/>
    <w:sig w:usb0="E00002FF" w:usb1="42002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BrowalliaUPC">
    <w:panose1 w:val="020B0604020202020204"/>
    <w:charset w:val="00"/>
    <w:family w:val="auto"/>
    <w:pitch w:val="default"/>
    <w:sig w:usb0="81000003" w:usb1="00000000" w:usb2="00000000" w:usb3="00000000" w:csb0="00010001" w:csb1="00000000"/>
  </w:font>
  <w:font w:name="Arabic Typesetting">
    <w:panose1 w:val="03020402040406030203"/>
    <w:charset w:val="00"/>
    <w:family w:val="auto"/>
    <w:pitch w:val="default"/>
    <w:sig w:usb0="A000206F" w:usb1="C0000000" w:usb2="00000008" w:usb3="00000000" w:csb0="200000D3" w:csb1="00000000"/>
  </w:font>
  <w:font w:name="Angsana New">
    <w:panose1 w:val="02020603050405020304"/>
    <w:charset w:val="00"/>
    <w:family w:val="auto"/>
    <w:pitch w:val="default"/>
    <w:sig w:usb0="81000003" w:usb1="00000000" w:usb2="00000000" w:usb3="00000000" w:csb0="00010001" w:csb1="00000000"/>
  </w:font>
  <w:font w:name="Andalus">
    <w:panose1 w:val="02020603050405020304"/>
    <w:charset w:val="00"/>
    <w:family w:val="auto"/>
    <w:pitch w:val="default"/>
    <w:sig w:usb0="00002003" w:usb1="80000000" w:usb2="00000008" w:usb3="00000000" w:csb0="00000041" w:csb1="2008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迷你简仿宋">
    <w:altName w:val="仿宋"/>
    <w:panose1 w:val="00000000000000000000"/>
    <w:charset w:val="86"/>
    <w:family w:val="auto"/>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Arial Unicode MS">
    <w:altName w:val="宋体"/>
    <w:panose1 w:val="020B0604020202020204"/>
    <w:charset w:val="86"/>
    <w:family w:val="auto"/>
    <w:pitch w:val="default"/>
    <w:sig w:usb0="00000000" w:usb1="00000000" w:usb2="0000003F" w:usb3="00000000" w:csb0="603F01FF" w:csb1="FFFF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embedTrueTypeFonts/>
  <w:saveSubsetFonts/>
  <w:bordersDoNotSurroundHeader w:val="0"/>
  <w:bordersDoNotSurroundFooter w:val="0"/>
  <w:documentProtection w:enforcement="0"/>
  <w:defaultTabStop w:val="420"/>
  <w:drawingGridVerticalSpacing w:val="164"/>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ODFhMTUxODcxYWM1NDc1N2JiMGUzMTNjY2M1MTUifQ=="/>
  </w:docVars>
  <w:rsids>
    <w:rsidRoot w:val="00000000"/>
    <w:rsid w:val="00936EE5"/>
    <w:rsid w:val="0351552F"/>
    <w:rsid w:val="035E59CE"/>
    <w:rsid w:val="06D32A27"/>
    <w:rsid w:val="082E4E27"/>
    <w:rsid w:val="09DF7D70"/>
    <w:rsid w:val="0D270405"/>
    <w:rsid w:val="0D4F5927"/>
    <w:rsid w:val="1024699B"/>
    <w:rsid w:val="10405BE9"/>
    <w:rsid w:val="11FB1978"/>
    <w:rsid w:val="12596017"/>
    <w:rsid w:val="13A152F9"/>
    <w:rsid w:val="147F5631"/>
    <w:rsid w:val="20902652"/>
    <w:rsid w:val="20D579A1"/>
    <w:rsid w:val="251A1539"/>
    <w:rsid w:val="29A25A23"/>
    <w:rsid w:val="2C50053F"/>
    <w:rsid w:val="2DFC5166"/>
    <w:rsid w:val="31381D55"/>
    <w:rsid w:val="319C70C4"/>
    <w:rsid w:val="31CE4D6A"/>
    <w:rsid w:val="32D845D7"/>
    <w:rsid w:val="372569D8"/>
    <w:rsid w:val="39DF138C"/>
    <w:rsid w:val="3D4F7AA5"/>
    <w:rsid w:val="3FE27D2C"/>
    <w:rsid w:val="4216009E"/>
    <w:rsid w:val="43DF3F79"/>
    <w:rsid w:val="51DD35C0"/>
    <w:rsid w:val="52214A5D"/>
    <w:rsid w:val="52DC1579"/>
    <w:rsid w:val="5CD81B43"/>
    <w:rsid w:val="5DD862BA"/>
    <w:rsid w:val="5EE609BA"/>
    <w:rsid w:val="634926F8"/>
    <w:rsid w:val="649E44AA"/>
    <w:rsid w:val="65D901F2"/>
    <w:rsid w:val="69703616"/>
    <w:rsid w:val="6BD00EA7"/>
    <w:rsid w:val="6F790C33"/>
    <w:rsid w:val="71DC6E27"/>
    <w:rsid w:val="7265618E"/>
    <w:rsid w:val="74CF4064"/>
    <w:rsid w:val="7AF3192C"/>
    <w:rsid w:val="7C701CC8"/>
    <w:rsid w:val="7ECC708F"/>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4">
    <w:name w:val="heading 2"/>
    <w:basedOn w:val="1"/>
    <w:next w:val="1"/>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character" w:default="1" w:styleId="11">
    <w:name w:val="Default Paragraph Font"/>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 w:type="paragraph" w:styleId="7">
    <w:name w:val="Plain Text"/>
    <w:basedOn w:val="1"/>
    <w:unhideWhenUsed/>
    <w:qFormat/>
    <w:uiPriority w:val="99"/>
    <w:rPr>
      <w:rFonts w:ascii="宋体" w:hAnsi="Courier New" w:cs="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Normal (Web)"/>
    <w:basedOn w:val="1"/>
    <w:qFormat/>
    <w:uiPriority w:val="0"/>
    <w:pPr>
      <w:spacing w:beforeAutospacing="1" w:afterAutospacing="1"/>
      <w:jc w:val="left"/>
    </w:pPr>
    <w:rPr>
      <w:kern w:val="0"/>
      <w:sz w:val="24"/>
    </w:rPr>
  </w:style>
  <w:style w:type="character" w:styleId="12">
    <w:name w:val="Strong"/>
    <w:basedOn w:val="11"/>
    <w:qFormat/>
    <w:uiPriority w:val="0"/>
    <w:rPr>
      <w:b/>
    </w:rPr>
  </w:style>
  <w:style w:type="character" w:styleId="13">
    <w:name w:val="FollowedHyperlink"/>
    <w:basedOn w:val="11"/>
    <w:qFormat/>
    <w:uiPriority w:val="0"/>
    <w:rPr>
      <w:color w:val="800080"/>
      <w:u w:val="none"/>
    </w:rPr>
  </w:style>
  <w:style w:type="character" w:styleId="14">
    <w:name w:val="Emphasis"/>
    <w:basedOn w:val="11"/>
    <w:qFormat/>
    <w:uiPriority w:val="0"/>
    <w:rPr>
      <w:i/>
    </w:rPr>
  </w:style>
  <w:style w:type="character" w:styleId="15">
    <w:name w:val="Hyperlink"/>
    <w:basedOn w:val="11"/>
    <w:qFormat/>
    <w:uiPriority w:val="0"/>
    <w:rPr>
      <w:color w:val="0000FF"/>
      <w:u w:val="single"/>
    </w:rPr>
  </w:style>
  <w:style w:type="paragraph" w:customStyle="1" w:styleId="17">
    <w:name w:val="Normal (Web)"/>
    <w:basedOn w:val="1"/>
    <w:qFormat/>
    <w:uiPriority w:val="0"/>
    <w:pPr>
      <w:spacing w:before="0" w:beforeAutospacing="1" w:after="0" w:afterAutospacing="1"/>
      <w:ind w:left="0" w:right="0"/>
      <w:jc w:val="left"/>
    </w:pPr>
    <w:rPr>
      <w:kern w:val="0"/>
      <w:sz w:val="24"/>
      <w:lang w:val="en-US" w:eastAsia="zh-CN"/>
    </w:rPr>
  </w:style>
  <w:style w:type="character" w:customStyle="1" w:styleId="18">
    <w:name w:val="page number"/>
    <w:basedOn w:val="11"/>
    <w:qFormat/>
    <w:uiPriority w:val="0"/>
  </w:style>
  <w:style w:type="character" w:customStyle="1" w:styleId="19">
    <w:name w:val="tz_input"/>
    <w:basedOn w:val="11"/>
    <w:qFormat/>
    <w:uiPriority w:val="0"/>
    <w:rPr>
      <w:color w:val="A01211"/>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1452</Words>
  <Characters>1514</Characters>
  <Lines>0</Lines>
  <Paragraphs>0</Paragraphs>
  <ScaleCrop>false</ScaleCrop>
  <LinksUpToDate>false</LinksUpToDate>
  <CharactersWithSpaces>1562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2014-11-03T04:08:00Z</dcterms:created>
  <dc:creator>Administrator</dc:creator>
  <cp:lastModifiedBy>Administrator</cp:lastModifiedBy>
  <cp:lastPrinted>2023-07-28T02:30:00Z</cp:lastPrinted>
  <dcterms:modified xsi:type="dcterms:W3CDTF">2024-09-20T07:36:17Z</dcterms:modified>
  <dc:title>我姓趙，全場消費我买单的趙xoxo</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7957E96C5CF14F5BB43A3DA3C28BA056_13</vt:lpwstr>
  </property>
</Properties>
</file>