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539A3">
      <w:pPr>
        <w:widowControl w:val="0"/>
        <w:wordWrap/>
        <w:autoSpaceDN w:val="0"/>
        <w:adjustRightInd/>
        <w:snapToGrid/>
        <w:spacing w:before="0" w:after="0" w:line="700" w:lineRule="exact"/>
        <w:ind w:left="0" w:leftChars="0" w:right="0" w:firstLine="0" w:firstLineChars="0"/>
        <w:jc w:val="both"/>
        <w:textAlignment w:val="center"/>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49336064">
      <w:pPr>
        <w:pStyle w:val="2"/>
        <w:widowControl w:val="0"/>
        <w:wordWrap/>
        <w:adjustRightInd/>
        <w:snapToGrid/>
        <w:spacing w:before="0" w:after="0" w:line="20" w:lineRule="exact"/>
        <w:ind w:left="0" w:leftChars="0" w:right="0" w:firstLine="0" w:firstLineChars="0"/>
        <w:jc w:val="both"/>
        <w:textAlignment w:val="auto"/>
        <w:outlineLvl w:val="9"/>
        <w:rPr>
          <w:rFonts w:hint="default" w:ascii="宋体" w:hAnsi="宋体" w:eastAsia="宋体"/>
          <w:b w:val="0"/>
          <w:i w:val="0"/>
          <w:color w:val="000000"/>
          <w:sz w:val="22"/>
          <w:u w:val="none"/>
          <w:lang w:eastAsia="zh-CN"/>
        </w:rPr>
      </w:pPr>
    </w:p>
    <w:p w14:paraId="1B2C5C21">
      <w:pPr>
        <w:widowControl w:val="0"/>
        <w:wordWrap/>
        <w:adjustRightInd/>
        <w:snapToGrid/>
        <w:spacing w:line="520" w:lineRule="exact"/>
        <w:jc w:val="center"/>
        <w:textAlignment w:val="auto"/>
        <w:rPr>
          <w:rFonts w:hint="eastAsia" w:ascii="方正大标宋_GBK" w:hAnsi="方正大标宋_GBK" w:eastAsia="方正大标宋_GBK" w:cs="方正大标宋_GBK"/>
          <w:color w:val="auto"/>
          <w:sz w:val="44"/>
          <w:szCs w:val="44"/>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桐柏县应急管理</w:t>
      </w:r>
      <w:r>
        <w:rPr>
          <w:rFonts w:hint="default" w:ascii="方正小标宋_GBK" w:hAnsi="方正小标宋_GBK" w:eastAsia="方正小标宋_GBK" w:cs="方正小标宋_GBK"/>
          <w:i w:val="0"/>
          <w:color w:val="auto"/>
          <w:kern w:val="0"/>
          <w:sz w:val="44"/>
          <w:szCs w:val="44"/>
          <w:u w:val="none"/>
          <w:lang w:val="en-US" w:eastAsia="zh-CN"/>
        </w:rPr>
        <w:t>局</w:t>
      </w:r>
      <w:r>
        <w:rPr>
          <w:rFonts w:hint="eastAsia" w:ascii="方正小标宋_GBK" w:hAnsi="方正小标宋_GBK" w:eastAsia="方正小标宋_GBK" w:cs="方正小标宋_GBK"/>
          <w:color w:val="auto"/>
          <w:sz w:val="44"/>
          <w:szCs w:val="44"/>
          <w:lang w:val="en-US" w:eastAsia="zh-CN"/>
        </w:rPr>
        <w:t>权责清单目录</w:t>
      </w:r>
    </w:p>
    <w:p w14:paraId="3736C18E">
      <w:pPr>
        <w:widowControl w:val="0"/>
        <w:wordWrap/>
        <w:adjustRightInd/>
        <w:snapToGrid/>
        <w:spacing w:line="520" w:lineRule="exact"/>
        <w:jc w:val="center"/>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（共94项）</w:t>
      </w:r>
    </w:p>
    <w:tbl>
      <w:tblPr>
        <w:tblStyle w:val="4"/>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14:paraId="4D11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trPr>
        <w:tc>
          <w:tcPr>
            <w:tcW w:w="735" w:type="dxa"/>
            <w:vAlign w:val="center"/>
          </w:tcPr>
          <w:p w14:paraId="0CB63C7C">
            <w:pPr>
              <w:jc w:val="center"/>
              <w:rPr>
                <w:b w:val="0"/>
                <w:bCs w:val="0"/>
                <w:color w:val="auto"/>
                <w:sz w:val="24"/>
                <w:szCs w:val="24"/>
              </w:rPr>
            </w:pPr>
            <w:r>
              <w:rPr>
                <w:rFonts w:hint="eastAsia" w:ascii="黑体" w:hAnsi="黑体" w:eastAsia="黑体" w:cs="黑体"/>
                <w:b w:val="0"/>
                <w:bCs w:val="0"/>
                <w:color w:val="auto"/>
                <w:sz w:val="24"/>
                <w:szCs w:val="24"/>
                <w:lang w:val="en-US" w:eastAsia="zh-CN"/>
              </w:rPr>
              <w:t>序号</w:t>
            </w:r>
          </w:p>
        </w:tc>
        <w:tc>
          <w:tcPr>
            <w:tcW w:w="6690" w:type="dxa"/>
            <w:vAlign w:val="center"/>
          </w:tcPr>
          <w:p w14:paraId="77F0ACAD">
            <w:pPr>
              <w:jc w:val="center"/>
              <w:rPr>
                <w:b w:val="0"/>
                <w:bCs w:val="0"/>
                <w:color w:val="auto"/>
                <w:sz w:val="24"/>
                <w:szCs w:val="24"/>
              </w:rPr>
            </w:pPr>
            <w:r>
              <w:rPr>
                <w:rFonts w:hint="eastAsia" w:ascii="黑体" w:hAnsi="黑体" w:eastAsia="黑体" w:cs="黑体"/>
                <w:b w:val="0"/>
                <w:bCs w:val="0"/>
                <w:color w:val="auto"/>
                <w:sz w:val="24"/>
                <w:szCs w:val="24"/>
                <w:lang w:val="en-US" w:eastAsia="zh-CN"/>
              </w:rPr>
              <w:t>职权名称</w:t>
            </w:r>
          </w:p>
        </w:tc>
        <w:tc>
          <w:tcPr>
            <w:tcW w:w="1365" w:type="dxa"/>
            <w:vAlign w:val="center"/>
          </w:tcPr>
          <w:p w14:paraId="6EA26785">
            <w:pPr>
              <w:jc w:val="center"/>
              <w:rPr>
                <w:b w:val="0"/>
                <w:bCs w:val="0"/>
                <w:color w:val="auto"/>
                <w:sz w:val="24"/>
                <w:szCs w:val="24"/>
              </w:rPr>
            </w:pPr>
            <w:r>
              <w:rPr>
                <w:rFonts w:hint="eastAsia" w:ascii="黑体" w:hAnsi="黑体" w:eastAsia="黑体" w:cs="黑体"/>
                <w:b w:val="0"/>
                <w:bCs w:val="0"/>
                <w:color w:val="auto"/>
                <w:sz w:val="24"/>
                <w:szCs w:val="24"/>
                <w:lang w:val="en-US" w:eastAsia="zh-CN"/>
              </w:rPr>
              <w:t>职权类别</w:t>
            </w:r>
          </w:p>
        </w:tc>
      </w:tr>
      <w:tr w14:paraId="5BB43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27A46541">
            <w:pPr>
              <w:jc w:val="center"/>
              <w:rPr>
                <w:color w:val="auto"/>
                <w:sz w:val="24"/>
                <w:szCs w:val="24"/>
              </w:rPr>
            </w:pPr>
            <w:r>
              <w:rPr>
                <w:rFonts w:hint="eastAsia" w:ascii="仿宋_GB2312" w:hAnsi="仿宋_GB2312" w:eastAsia="仿宋_GB2312" w:cs="仿宋_GB2312"/>
                <w:b/>
                <w:bCs/>
                <w:color w:val="auto"/>
                <w:sz w:val="24"/>
                <w:szCs w:val="24"/>
                <w:lang w:val="en-US" w:eastAsia="zh-CN"/>
              </w:rPr>
              <w:t>一、行政许可（5项</w:t>
            </w:r>
            <w:r>
              <w:rPr>
                <w:rFonts w:hint="eastAsia" w:ascii="仿宋_GB2312" w:hAnsi="仿宋_GB2312" w:eastAsia="仿宋_GB2312" w:cs="仿宋_GB2312"/>
                <w:color w:val="auto"/>
                <w:sz w:val="24"/>
                <w:szCs w:val="24"/>
                <w:lang w:val="en-US" w:eastAsia="zh-CN"/>
              </w:rPr>
              <w:t>）</w:t>
            </w:r>
          </w:p>
        </w:tc>
      </w:tr>
      <w:tr w14:paraId="7772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trPr>
        <w:tc>
          <w:tcPr>
            <w:tcW w:w="735" w:type="dxa"/>
            <w:vAlign w:val="center"/>
          </w:tcPr>
          <w:p w14:paraId="46A53F77">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p>
        </w:tc>
        <w:tc>
          <w:tcPr>
            <w:tcW w:w="6690" w:type="dxa"/>
            <w:vAlign w:val="center"/>
          </w:tcPr>
          <w:p w14:paraId="08712CAF">
            <w:pPr>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其他危险化学品生产、储存建设项目安全设施设计审查</w:t>
            </w:r>
          </w:p>
        </w:tc>
        <w:tc>
          <w:tcPr>
            <w:tcW w:w="1365" w:type="dxa"/>
            <w:vAlign w:val="center"/>
          </w:tcPr>
          <w:p w14:paraId="6FA58BA3">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行政许可</w:t>
            </w:r>
          </w:p>
        </w:tc>
      </w:tr>
      <w:tr w14:paraId="7E919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90B786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116B0A55">
            <w:pPr>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其他非煤矿山建设项目安全设施设计审查</w:t>
            </w:r>
          </w:p>
        </w:tc>
        <w:tc>
          <w:tcPr>
            <w:tcW w:w="1365" w:type="dxa"/>
            <w:vAlign w:val="center"/>
          </w:tcPr>
          <w:p w14:paraId="7DAC395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115F7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5BBB6A55">
            <w:pPr>
              <w:jc w:val="cente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6690" w:type="dxa"/>
            <w:vAlign w:val="center"/>
          </w:tcPr>
          <w:p w14:paraId="3A525D6F">
            <w:pPr>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危险化学品经营许可</w:t>
            </w:r>
          </w:p>
        </w:tc>
        <w:tc>
          <w:tcPr>
            <w:tcW w:w="1365" w:type="dxa"/>
            <w:vAlign w:val="center"/>
          </w:tcPr>
          <w:p w14:paraId="05FE0455">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015C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C716A6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vAlign w:val="center"/>
          </w:tcPr>
          <w:p w14:paraId="66071989">
            <w:pPr>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建设工程抗震设防要求审批</w:t>
            </w:r>
          </w:p>
        </w:tc>
        <w:tc>
          <w:tcPr>
            <w:tcW w:w="1365" w:type="dxa"/>
            <w:vAlign w:val="center"/>
          </w:tcPr>
          <w:p w14:paraId="6862064D">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6D479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FF177A3">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vAlign w:val="center"/>
          </w:tcPr>
          <w:p w14:paraId="403AA3DC">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2"/>
                <w:szCs w:val="22"/>
                <w:highlight w:val="none"/>
              </w:rPr>
              <w:t>其他金属冶炼建设项目安全设施设计审查</w:t>
            </w:r>
          </w:p>
        </w:tc>
        <w:tc>
          <w:tcPr>
            <w:tcW w:w="1365" w:type="dxa"/>
            <w:vAlign w:val="center"/>
          </w:tcPr>
          <w:p w14:paraId="26BAD35B">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0FB44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05817AC6">
            <w:pPr>
              <w:jc w:val="center"/>
              <w:rPr>
                <w:color w:val="auto"/>
                <w:sz w:val="24"/>
                <w:szCs w:val="24"/>
              </w:rPr>
            </w:pPr>
            <w:r>
              <w:rPr>
                <w:rFonts w:hint="eastAsia" w:ascii="仿宋_GB2312" w:hAnsi="仿宋_GB2312" w:eastAsia="仿宋_GB2312" w:cs="仿宋_GB2312"/>
                <w:b/>
                <w:bCs/>
                <w:color w:val="auto"/>
                <w:sz w:val="24"/>
                <w:szCs w:val="24"/>
                <w:lang w:val="en-US" w:eastAsia="zh-CN"/>
              </w:rPr>
              <w:t>二、行政处罚（51项）</w:t>
            </w:r>
          </w:p>
        </w:tc>
      </w:tr>
      <w:tr w14:paraId="231D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2E8EF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54AE00C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对承担安全评价、认证、检测、检验工作的机构及其直接负责的主管人员和其他直接责任人员出具虚假证明的处罚</w:t>
            </w:r>
          </w:p>
        </w:tc>
        <w:tc>
          <w:tcPr>
            <w:tcW w:w="1365" w:type="dxa"/>
            <w:vAlign w:val="center"/>
          </w:tcPr>
          <w:p w14:paraId="6554661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CDE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581DD41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2967D100">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对生产经营单位的决策机构、主要负责人、个人经营的投资人不依法保证安全生产所必需的资金投入，致使生产经营单位不具备安全生产条件的处罚</w:t>
            </w:r>
          </w:p>
        </w:tc>
        <w:tc>
          <w:tcPr>
            <w:tcW w:w="1365" w:type="dxa"/>
            <w:vAlign w:val="center"/>
          </w:tcPr>
          <w:p w14:paraId="3BD03D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735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20B40AE">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6690" w:type="dxa"/>
            <w:vAlign w:val="center"/>
          </w:tcPr>
          <w:p w14:paraId="29572D6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对生产经营单位的主要负责人未依法履行安全生产管理职责的处罚</w:t>
            </w:r>
          </w:p>
        </w:tc>
        <w:tc>
          <w:tcPr>
            <w:tcW w:w="1365" w:type="dxa"/>
            <w:vAlign w:val="center"/>
          </w:tcPr>
          <w:p w14:paraId="48AD65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3D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8B23CF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vAlign w:val="center"/>
          </w:tcPr>
          <w:p w14:paraId="490E478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对生产经营单位的主要负责人未履行安全生产管理职责，导致发生生产安全事故的处罚</w:t>
            </w:r>
          </w:p>
        </w:tc>
        <w:tc>
          <w:tcPr>
            <w:tcW w:w="1365" w:type="dxa"/>
            <w:vAlign w:val="center"/>
          </w:tcPr>
          <w:p w14:paraId="01094F7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42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484A337">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vAlign w:val="center"/>
          </w:tcPr>
          <w:p w14:paraId="12CC4135">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对生产经营单位的安全生产管理人员未履行规定的安全生产管理职责的处罚</w:t>
            </w:r>
          </w:p>
        </w:tc>
        <w:tc>
          <w:tcPr>
            <w:tcW w:w="1365" w:type="dxa"/>
            <w:vAlign w:val="center"/>
          </w:tcPr>
          <w:p w14:paraId="31369B5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BC9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5473C9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6690" w:type="dxa"/>
            <w:vAlign w:val="center"/>
          </w:tcPr>
          <w:p w14:paraId="692E6156">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对生产经营单位未依法履行安全生产监督管理职责的处罚</w:t>
            </w:r>
          </w:p>
        </w:tc>
        <w:tc>
          <w:tcPr>
            <w:tcW w:w="1365" w:type="dxa"/>
            <w:vAlign w:val="center"/>
          </w:tcPr>
          <w:p w14:paraId="037AD3E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4B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exact"/>
        </w:trPr>
        <w:tc>
          <w:tcPr>
            <w:tcW w:w="735" w:type="dxa"/>
            <w:vAlign w:val="center"/>
          </w:tcPr>
          <w:p w14:paraId="2FFD6B1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6690" w:type="dxa"/>
            <w:vAlign w:val="center"/>
          </w:tcPr>
          <w:p w14:paraId="2C247B7F">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矿山、金属冶炼建设项目或者用于生产、储存、装卸危险物品的建设项目未进行安全评价；没有安全设施设计或者安全设施设计未按照规定报经有关部门审查同意的；施工单位未按照批准的安全设施设计施工的；项目竣工投入生产或者使用前，安全设施未经验收合格的处罚</w:t>
            </w:r>
          </w:p>
        </w:tc>
        <w:tc>
          <w:tcPr>
            <w:tcW w:w="1365" w:type="dxa"/>
            <w:vAlign w:val="center"/>
          </w:tcPr>
          <w:p w14:paraId="7116D2D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CFA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exact"/>
        </w:trPr>
        <w:tc>
          <w:tcPr>
            <w:tcW w:w="735" w:type="dxa"/>
            <w:vAlign w:val="center"/>
          </w:tcPr>
          <w:p w14:paraId="0F7F2047">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6690" w:type="dxa"/>
            <w:vAlign w:val="center"/>
          </w:tcPr>
          <w:p w14:paraId="52A30B7F">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未在有较大危险因素的生产经营场所和有关设施、设备上设置明显的安全警示标志的；安全设备的安装、使用、检测、改造和报废不符合国家标准或者行业标准的；未对安全设备进行经常性维护、保养和定期检测的；未为从业人员提供符合国家标准或者行业标准的劳动防护用品的；危险物品的容器、运输工具，以及涉及人身安全、危险性较大的海洋石油开采特种设备和矿山井下特种设备未经具有专业资质的机构检测、检验合格，取得安全使用证或者安全标志，投入使用的；使用应当淘汰的危及生产安全的工艺、设备的处罚</w:t>
            </w:r>
          </w:p>
        </w:tc>
        <w:tc>
          <w:tcPr>
            <w:tcW w:w="1365" w:type="dxa"/>
            <w:vAlign w:val="center"/>
          </w:tcPr>
          <w:p w14:paraId="669FE23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149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32E9FB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6690" w:type="dxa"/>
            <w:vAlign w:val="center"/>
          </w:tcPr>
          <w:p w14:paraId="20C5C631">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对未经依法批准，擅自生产、经营、运输、储存、使用危险物品或者处置废弃危险物品的处罚</w:t>
            </w:r>
          </w:p>
        </w:tc>
        <w:tc>
          <w:tcPr>
            <w:tcW w:w="1365" w:type="dxa"/>
            <w:vAlign w:val="center"/>
          </w:tcPr>
          <w:p w14:paraId="7104E14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6EA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exact"/>
        </w:trPr>
        <w:tc>
          <w:tcPr>
            <w:tcW w:w="735" w:type="dxa"/>
            <w:vAlign w:val="center"/>
          </w:tcPr>
          <w:p w14:paraId="3AB54D6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6690" w:type="dxa"/>
            <w:vAlign w:val="center"/>
          </w:tcPr>
          <w:p w14:paraId="4C7CC570">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运输、储存、使用危险物品或者处置废弃危险物品，未建立专门安全管理制度、未采取可靠的安全措施的；对重大危险源未登记建档，或者未进行评估、监控，或者未制定应急预案的；进行爆破、吊装以及国务院安全生产监督管理部门会同国务院有关部门规定的其他危险作业，未安排专门人员进行现场安全管理的；未建立事故隐患排查治理制度的处罚</w:t>
            </w:r>
          </w:p>
        </w:tc>
        <w:tc>
          <w:tcPr>
            <w:tcW w:w="1365" w:type="dxa"/>
            <w:vAlign w:val="center"/>
          </w:tcPr>
          <w:p w14:paraId="3A66CD2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F5C2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4C1AD07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6690" w:type="dxa"/>
            <w:vAlign w:val="center"/>
          </w:tcPr>
          <w:p w14:paraId="302ABF89">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对生产经营单位未采取措施消除事故隐患的处罚</w:t>
            </w:r>
          </w:p>
        </w:tc>
        <w:tc>
          <w:tcPr>
            <w:tcW w:w="1365" w:type="dxa"/>
            <w:vAlign w:val="center"/>
          </w:tcPr>
          <w:p w14:paraId="3818BBE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F4F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exact"/>
        </w:trPr>
        <w:tc>
          <w:tcPr>
            <w:tcW w:w="735" w:type="dxa"/>
            <w:vAlign w:val="center"/>
          </w:tcPr>
          <w:p w14:paraId="6039C18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6690" w:type="dxa"/>
            <w:vAlign w:val="center"/>
          </w:tcPr>
          <w:p w14:paraId="4D4321D6">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将生产经营项目、场所、设备发包或者出租给不具备安全生产条件或者相应资质的单位或者个人；未与承包单位、承租单位签订专门的安全生产管理协议或者未在承包合同、租赁合同中明确各自的安全生产管理职责，或者未对承包单位、承租单位的安全生产统一协调、管理的处罚</w:t>
            </w:r>
          </w:p>
        </w:tc>
        <w:tc>
          <w:tcPr>
            <w:tcW w:w="1365" w:type="dxa"/>
            <w:vAlign w:val="center"/>
          </w:tcPr>
          <w:p w14:paraId="0158DF9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CDA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trPr>
        <w:tc>
          <w:tcPr>
            <w:tcW w:w="735" w:type="dxa"/>
            <w:vAlign w:val="center"/>
          </w:tcPr>
          <w:p w14:paraId="64F91327">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6690" w:type="dxa"/>
            <w:vAlign w:val="center"/>
          </w:tcPr>
          <w:p w14:paraId="3C0AB1B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对两个以上生产经营单位在同一作业区域内进行可能危及对方安全生产的生产经营活动，未签订安全生产管理协议或者未指定专职安全生产管理人员进行安全检查与协调的处罚</w:t>
            </w:r>
          </w:p>
        </w:tc>
        <w:tc>
          <w:tcPr>
            <w:tcW w:w="1365" w:type="dxa"/>
            <w:vAlign w:val="center"/>
          </w:tcPr>
          <w:p w14:paraId="6CD97E3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CF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735" w:type="dxa"/>
            <w:vAlign w:val="center"/>
          </w:tcPr>
          <w:p w14:paraId="52CE2ED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6690" w:type="dxa"/>
            <w:vAlign w:val="center"/>
          </w:tcPr>
          <w:p w14:paraId="4D970DD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对危险物品的生产、经营、储存、使用场所和员工宿舍不符合有关安全要求的处罚</w:t>
            </w:r>
          </w:p>
        </w:tc>
        <w:tc>
          <w:tcPr>
            <w:tcW w:w="1365" w:type="dxa"/>
            <w:vAlign w:val="center"/>
          </w:tcPr>
          <w:p w14:paraId="77B1B1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3C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E8FF823">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6690" w:type="dxa"/>
            <w:vAlign w:val="center"/>
          </w:tcPr>
          <w:p w14:paraId="650C9F6E">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对生产经营单位与从业人员订立协议，免除或者减轻其对从业人员因生产安全事故伤亡依法应承担的责任的处罚</w:t>
            </w:r>
          </w:p>
        </w:tc>
        <w:tc>
          <w:tcPr>
            <w:tcW w:w="1365" w:type="dxa"/>
            <w:vAlign w:val="center"/>
          </w:tcPr>
          <w:p w14:paraId="2374DCD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4E0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FDCD5A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6690" w:type="dxa"/>
            <w:vAlign w:val="center"/>
          </w:tcPr>
          <w:p w14:paraId="6FD0EF87">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对生产经营单位拒绝、阻碍负有安全生产监督管理职责的部门依法实施监督检查的处罚</w:t>
            </w:r>
          </w:p>
        </w:tc>
        <w:tc>
          <w:tcPr>
            <w:tcW w:w="1365" w:type="dxa"/>
            <w:vAlign w:val="center"/>
          </w:tcPr>
          <w:p w14:paraId="7EE1FC1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44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246203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6690" w:type="dxa"/>
            <w:vAlign w:val="center"/>
          </w:tcPr>
          <w:p w14:paraId="4D04828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对高危行业、领域的生产经营单位未按照国家规定投保安全生产责任保险的处罚</w:t>
            </w:r>
          </w:p>
        </w:tc>
        <w:tc>
          <w:tcPr>
            <w:tcW w:w="1365" w:type="dxa"/>
            <w:vAlign w:val="center"/>
          </w:tcPr>
          <w:p w14:paraId="4BEEC4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485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exact"/>
        </w:trPr>
        <w:tc>
          <w:tcPr>
            <w:tcW w:w="735" w:type="dxa"/>
            <w:vAlign w:val="center"/>
          </w:tcPr>
          <w:p w14:paraId="016B0C0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6690" w:type="dxa"/>
            <w:vAlign w:val="center"/>
          </w:tcPr>
          <w:p w14:paraId="79F381C4">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对生产经营事故发生单位的主要负责人对生产安全事故隐瞒不报、谎报或者迟报的；或在本单位发生生产安全事故时，不立即组织抢救或者在事故调查处理期间擅离职守或者逃匿的处罚</w:t>
            </w:r>
          </w:p>
        </w:tc>
        <w:tc>
          <w:tcPr>
            <w:tcW w:w="1365" w:type="dxa"/>
            <w:vAlign w:val="center"/>
          </w:tcPr>
          <w:p w14:paraId="75799B2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8ED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735" w:type="dxa"/>
            <w:vAlign w:val="center"/>
          </w:tcPr>
          <w:p w14:paraId="0F1260CE">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w:t>
            </w:r>
          </w:p>
        </w:tc>
        <w:tc>
          <w:tcPr>
            <w:tcW w:w="6690" w:type="dxa"/>
            <w:vAlign w:val="center"/>
          </w:tcPr>
          <w:p w14:paraId="2F4A8B8F">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对生产经营单位不具备有关法律、行政法规和国家标准或者行业标准规定的安全生产条件，经停产停业整顿仍不具备安全生产条件的处罚</w:t>
            </w:r>
          </w:p>
        </w:tc>
        <w:tc>
          <w:tcPr>
            <w:tcW w:w="1365" w:type="dxa"/>
            <w:vAlign w:val="center"/>
          </w:tcPr>
          <w:p w14:paraId="034026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3DF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76DDAA8">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6690" w:type="dxa"/>
            <w:vAlign w:val="center"/>
          </w:tcPr>
          <w:p w14:paraId="7CB17766">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对发生生产安全事故的生产经营单位的处罚</w:t>
            </w:r>
          </w:p>
        </w:tc>
        <w:tc>
          <w:tcPr>
            <w:tcW w:w="1365" w:type="dxa"/>
            <w:vAlign w:val="center"/>
          </w:tcPr>
          <w:p w14:paraId="717B480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C63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3A1DBC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6690" w:type="dxa"/>
            <w:vAlign w:val="center"/>
          </w:tcPr>
          <w:p w14:paraId="2A1FD74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对未经许可生产、经营烟花爆竹制品，或者向未取得烟花爆竹安全生产许可的单位或者个人销售黑火药、烟火药、引火线的处罚</w:t>
            </w:r>
          </w:p>
        </w:tc>
        <w:tc>
          <w:tcPr>
            <w:tcW w:w="1365" w:type="dxa"/>
            <w:vAlign w:val="center"/>
          </w:tcPr>
          <w:p w14:paraId="762E1D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5AC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exact"/>
        </w:trPr>
        <w:tc>
          <w:tcPr>
            <w:tcW w:w="735" w:type="dxa"/>
            <w:vAlign w:val="center"/>
          </w:tcPr>
          <w:p w14:paraId="614479A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22</w:t>
            </w:r>
          </w:p>
        </w:tc>
        <w:tc>
          <w:tcPr>
            <w:tcW w:w="6690" w:type="dxa"/>
            <w:vAlign w:val="center"/>
          </w:tcPr>
          <w:p w14:paraId="38249A6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对生产烟花爆竹的企业违反规定进行生产、在烟花爆竹产品上标注燃放说明；未在烟花爆竹的包装物上印制易燃易爆危险物品警示标志的处罚</w:t>
            </w:r>
          </w:p>
        </w:tc>
        <w:tc>
          <w:tcPr>
            <w:tcW w:w="1365" w:type="dxa"/>
            <w:vAlign w:val="center"/>
          </w:tcPr>
          <w:p w14:paraId="111C11C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D7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5903BA5C">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23</w:t>
            </w:r>
          </w:p>
        </w:tc>
        <w:tc>
          <w:tcPr>
            <w:tcW w:w="6690" w:type="dxa"/>
            <w:vAlign w:val="center"/>
          </w:tcPr>
          <w:p w14:paraId="4F448F55">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对供应、销售非法生产、经营的烟花爆竹单位的处罚</w:t>
            </w:r>
          </w:p>
        </w:tc>
        <w:tc>
          <w:tcPr>
            <w:tcW w:w="1365" w:type="dxa"/>
            <w:vAlign w:val="center"/>
          </w:tcPr>
          <w:p w14:paraId="644E28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A7E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4" w:hRule="exact"/>
        </w:trPr>
        <w:tc>
          <w:tcPr>
            <w:tcW w:w="735" w:type="dxa"/>
            <w:vAlign w:val="center"/>
          </w:tcPr>
          <w:p w14:paraId="540C5D9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24</w:t>
            </w:r>
          </w:p>
        </w:tc>
        <w:tc>
          <w:tcPr>
            <w:tcW w:w="6690" w:type="dxa"/>
            <w:vAlign w:val="center"/>
          </w:tcPr>
          <w:p w14:paraId="127373F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及其主要负责人或者其他人员违章指挥、强令作业，发现从业人员违章作业不加制止，违反操作规程或者安全管理规定作业的；对被查封或者扣押的设施、设备、器材，擅自启封或者使用的；故意提供虚假情况或者隐瞒存在的事故隐患以及其他安全问题的；拒绝、阻碍安全生产行政执法人员监督检查，安全监管监察部门聘请的专家进行现场检查的；拒不执行安全监管监察部门及其行政执法人员的安全监管监察指令的处罚</w:t>
            </w:r>
          </w:p>
        </w:tc>
        <w:tc>
          <w:tcPr>
            <w:tcW w:w="1365" w:type="dxa"/>
            <w:vAlign w:val="center"/>
          </w:tcPr>
          <w:p w14:paraId="40BA873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80F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exact"/>
        </w:trPr>
        <w:tc>
          <w:tcPr>
            <w:tcW w:w="735" w:type="dxa"/>
            <w:vAlign w:val="center"/>
          </w:tcPr>
          <w:p w14:paraId="1DE63D39">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25</w:t>
            </w:r>
          </w:p>
        </w:tc>
        <w:tc>
          <w:tcPr>
            <w:tcW w:w="6690" w:type="dxa"/>
            <w:vAlign w:val="center"/>
          </w:tcPr>
          <w:p w14:paraId="6DADF525">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对危险物品的生产、经营、储存单位以及矿山企业、建筑施工单位未建立应急救援组织或者未按规定签订救护协议的；未配备必要的应急救援器材、设备，并进行经常性维护、保养，保证正常运转的处罚</w:t>
            </w:r>
          </w:p>
        </w:tc>
        <w:tc>
          <w:tcPr>
            <w:tcW w:w="1365" w:type="dxa"/>
            <w:vAlign w:val="center"/>
          </w:tcPr>
          <w:p w14:paraId="603382E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0F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CE50AEC">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26</w:t>
            </w:r>
          </w:p>
        </w:tc>
        <w:tc>
          <w:tcPr>
            <w:tcW w:w="6690" w:type="dxa"/>
            <w:vAlign w:val="center"/>
          </w:tcPr>
          <w:p w14:paraId="272B5B7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对生产经营单位转让、受让安全生产许可证的处罚</w:t>
            </w:r>
          </w:p>
        </w:tc>
        <w:tc>
          <w:tcPr>
            <w:tcW w:w="1365" w:type="dxa"/>
            <w:vAlign w:val="center"/>
          </w:tcPr>
          <w:p w14:paraId="022BC7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BC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trPr>
        <w:tc>
          <w:tcPr>
            <w:tcW w:w="735" w:type="dxa"/>
            <w:vAlign w:val="center"/>
          </w:tcPr>
          <w:p w14:paraId="7F76902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27</w:t>
            </w:r>
          </w:p>
        </w:tc>
        <w:tc>
          <w:tcPr>
            <w:tcW w:w="6690" w:type="dxa"/>
            <w:vAlign w:val="center"/>
          </w:tcPr>
          <w:p w14:paraId="6864A93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知道或者应当知道生产经营单位未取得安全生产许可证或者其他批准文件擅自从事生产经营活动，仍为其提供生产经营场所、运输、保管、仓储等条件的处罚</w:t>
            </w:r>
          </w:p>
        </w:tc>
        <w:tc>
          <w:tcPr>
            <w:tcW w:w="1365" w:type="dxa"/>
            <w:vAlign w:val="center"/>
          </w:tcPr>
          <w:p w14:paraId="0A718BC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1BC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735" w:type="dxa"/>
            <w:vAlign w:val="center"/>
          </w:tcPr>
          <w:p w14:paraId="3F29C55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28</w:t>
            </w:r>
          </w:p>
        </w:tc>
        <w:tc>
          <w:tcPr>
            <w:tcW w:w="6690" w:type="dxa"/>
            <w:vAlign w:val="center"/>
          </w:tcPr>
          <w:p w14:paraId="70CA1E2F">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对生产经营单位及其有关人员弄虚作假，骗取或者勾结、串通行政审批工作人员取得安全生产许可证书及其他批准文件的；未依法办理安全生产许可证书变更手续的处罚</w:t>
            </w:r>
          </w:p>
        </w:tc>
        <w:tc>
          <w:tcPr>
            <w:tcW w:w="1365" w:type="dxa"/>
            <w:vAlign w:val="center"/>
          </w:tcPr>
          <w:p w14:paraId="5E3ABA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7A75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F246E4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29</w:t>
            </w:r>
          </w:p>
        </w:tc>
        <w:tc>
          <w:tcPr>
            <w:tcW w:w="6690" w:type="dxa"/>
            <w:vAlign w:val="center"/>
          </w:tcPr>
          <w:p w14:paraId="6BA1184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对未取得相应资格、资质证书的机构及其有关人员从事安全评价、认证、检测、检验工作的处罚</w:t>
            </w:r>
          </w:p>
        </w:tc>
        <w:tc>
          <w:tcPr>
            <w:tcW w:w="1365" w:type="dxa"/>
            <w:vAlign w:val="center"/>
          </w:tcPr>
          <w:p w14:paraId="20EAD33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F22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exact"/>
        </w:trPr>
        <w:tc>
          <w:tcPr>
            <w:tcW w:w="735" w:type="dxa"/>
            <w:vAlign w:val="center"/>
          </w:tcPr>
          <w:p w14:paraId="10D55E69">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c>
          <w:tcPr>
            <w:tcW w:w="6690" w:type="dxa"/>
            <w:vAlign w:val="center"/>
          </w:tcPr>
          <w:p w14:paraId="121861D9">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事故发生单位及其有关人员谎报或者瞒报事故的；伪造或者故意破坏事故现场的；转移、隐匿资金、财产，或者销毁有关证据、资料的；拒绝接受调查或者拒绝提供有关情况和资料的；在事故调查中作伪证或者指使他人作伪证的；事故发生后逃匿的处罚</w:t>
            </w:r>
          </w:p>
        </w:tc>
        <w:tc>
          <w:tcPr>
            <w:tcW w:w="1365" w:type="dxa"/>
            <w:vAlign w:val="center"/>
          </w:tcPr>
          <w:p w14:paraId="47FF67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C17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735" w:type="dxa"/>
            <w:vAlign w:val="center"/>
          </w:tcPr>
          <w:p w14:paraId="521E1C4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31</w:t>
            </w:r>
          </w:p>
        </w:tc>
        <w:tc>
          <w:tcPr>
            <w:tcW w:w="6690" w:type="dxa"/>
            <w:vAlign w:val="center"/>
          </w:tcPr>
          <w:p w14:paraId="359B01A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对事故发生单位没有贻误事故抢救、贻误事故抢救或者造成事故扩大或者影响事故调查的处罚</w:t>
            </w:r>
          </w:p>
        </w:tc>
        <w:tc>
          <w:tcPr>
            <w:tcW w:w="1365" w:type="dxa"/>
            <w:vAlign w:val="center"/>
          </w:tcPr>
          <w:p w14:paraId="41C4C39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B7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F56E876">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32</w:t>
            </w:r>
          </w:p>
        </w:tc>
        <w:tc>
          <w:tcPr>
            <w:tcW w:w="6690" w:type="dxa"/>
            <w:vAlign w:val="center"/>
          </w:tcPr>
          <w:p w14:paraId="4E1CC07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对事故发生负有责任的事故发生单位、主要负责人、有关人员；为发生事故的单位提供虚假证明的中介机构的处罚</w:t>
            </w:r>
          </w:p>
        </w:tc>
        <w:tc>
          <w:tcPr>
            <w:tcW w:w="1365" w:type="dxa"/>
            <w:vAlign w:val="center"/>
          </w:tcPr>
          <w:p w14:paraId="05F9D67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F77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FF661C3">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33</w:t>
            </w:r>
          </w:p>
        </w:tc>
        <w:tc>
          <w:tcPr>
            <w:tcW w:w="6690" w:type="dxa"/>
            <w:vAlign w:val="center"/>
          </w:tcPr>
          <w:p w14:paraId="6C9CE5A6">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对未经安全条件审查，新建、改建、扩建生产、储存危险化学品的建设项目的处罚</w:t>
            </w:r>
          </w:p>
        </w:tc>
        <w:tc>
          <w:tcPr>
            <w:tcW w:w="1365" w:type="dxa"/>
            <w:vAlign w:val="center"/>
          </w:tcPr>
          <w:p w14:paraId="414A079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33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trPr>
        <w:tc>
          <w:tcPr>
            <w:tcW w:w="735" w:type="dxa"/>
            <w:vAlign w:val="center"/>
          </w:tcPr>
          <w:p w14:paraId="0709003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34</w:t>
            </w:r>
          </w:p>
        </w:tc>
        <w:tc>
          <w:tcPr>
            <w:tcW w:w="6690" w:type="dxa"/>
            <w:vAlign w:val="center"/>
          </w:tcPr>
          <w:p w14:paraId="76A6AF2A">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对未依法取得危险化学品安全生产、经营、使用许可证从事危险化学品生产、经营或使用危险化学品从事生产的；未依法取得工业产品生产许可证从事危险化学品及其包装物、容器生产的处罚</w:t>
            </w:r>
          </w:p>
        </w:tc>
        <w:tc>
          <w:tcPr>
            <w:tcW w:w="1365" w:type="dxa"/>
            <w:vAlign w:val="center"/>
          </w:tcPr>
          <w:p w14:paraId="46A013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AA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exact"/>
        </w:trPr>
        <w:tc>
          <w:tcPr>
            <w:tcW w:w="735" w:type="dxa"/>
            <w:vAlign w:val="center"/>
          </w:tcPr>
          <w:p w14:paraId="6FF639A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35</w:t>
            </w:r>
          </w:p>
        </w:tc>
        <w:tc>
          <w:tcPr>
            <w:tcW w:w="6690" w:type="dxa"/>
            <w:vAlign w:val="center"/>
          </w:tcPr>
          <w:p w14:paraId="2E2CAFD6">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储存危险化学品的单位未对其铺设的危险化学品管道设置明显的标志，或者未对危险化学品管道定期检查、检测的；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处罚</w:t>
            </w:r>
          </w:p>
        </w:tc>
        <w:tc>
          <w:tcPr>
            <w:tcW w:w="1365" w:type="dxa"/>
            <w:vAlign w:val="center"/>
          </w:tcPr>
          <w:p w14:paraId="1F6006A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375C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1" w:hRule="exact"/>
        </w:trPr>
        <w:tc>
          <w:tcPr>
            <w:tcW w:w="735" w:type="dxa"/>
            <w:vAlign w:val="center"/>
          </w:tcPr>
          <w:p w14:paraId="26ABDAA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36</w:t>
            </w:r>
          </w:p>
        </w:tc>
        <w:tc>
          <w:tcPr>
            <w:tcW w:w="6690" w:type="dxa"/>
            <w:vAlign w:val="center"/>
          </w:tcPr>
          <w:p w14:paraId="402386E2">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危险化学品生产、经营企业生产、经营无化学品安全技术说明书，或者未在包装(包括外包装件)上粘贴、拴挂化学品安全标签的危险化学品的；化学品安全技术说明书、包装(包括外包装件)粘贴、拴挂的化学品安全标签所载明的内容与所附的危险化学品不相符或不符合国家标准要求的处罚</w:t>
            </w:r>
          </w:p>
        </w:tc>
        <w:tc>
          <w:tcPr>
            <w:tcW w:w="1365" w:type="dxa"/>
            <w:vAlign w:val="center"/>
          </w:tcPr>
          <w:p w14:paraId="07E42D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98B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1B752AC">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37</w:t>
            </w:r>
          </w:p>
        </w:tc>
        <w:tc>
          <w:tcPr>
            <w:tcW w:w="6690" w:type="dxa"/>
            <w:vAlign w:val="center"/>
          </w:tcPr>
          <w:p w14:paraId="124437F9">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对危险化学品包装物、容器的材质以及包装的型式、规格、方法和单件质量(重量)与所包装的危险化学品的性质和用途不相适应的处罚</w:t>
            </w:r>
          </w:p>
        </w:tc>
        <w:tc>
          <w:tcPr>
            <w:tcW w:w="1365" w:type="dxa"/>
            <w:vAlign w:val="center"/>
          </w:tcPr>
          <w:p w14:paraId="025809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3A7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exact"/>
        </w:trPr>
        <w:tc>
          <w:tcPr>
            <w:tcW w:w="735" w:type="dxa"/>
            <w:vAlign w:val="center"/>
          </w:tcPr>
          <w:p w14:paraId="6FDD3353">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38</w:t>
            </w:r>
          </w:p>
        </w:tc>
        <w:tc>
          <w:tcPr>
            <w:tcW w:w="6690" w:type="dxa"/>
            <w:vAlign w:val="center"/>
          </w:tcPr>
          <w:p w14:paraId="49BAF5C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危险化学品生产企业、进口企业不办理危险化学品登记，或者发现其生产、进口的危险化学品有新的危险特性不立即公告，不办理危险化学品登记内容变更手续，或者不及时修订其化学品安全技术说明书和化学品安全标签的处罚</w:t>
            </w:r>
          </w:p>
        </w:tc>
        <w:tc>
          <w:tcPr>
            <w:tcW w:w="1365" w:type="dxa"/>
            <w:vAlign w:val="center"/>
          </w:tcPr>
          <w:p w14:paraId="340628A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FAB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trPr>
        <w:tc>
          <w:tcPr>
            <w:tcW w:w="735" w:type="dxa"/>
            <w:vAlign w:val="center"/>
          </w:tcPr>
          <w:p w14:paraId="6BA2CE4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39</w:t>
            </w:r>
          </w:p>
        </w:tc>
        <w:tc>
          <w:tcPr>
            <w:tcW w:w="6690" w:type="dxa"/>
            <w:vAlign w:val="center"/>
          </w:tcPr>
          <w:p w14:paraId="06072AC7">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对生产、储存危险化学品的单位未在作业场所和安全设施、设备上设置明显的安全警示标志，或者未在作业场所设置通信、报警装置的处罚</w:t>
            </w:r>
          </w:p>
        </w:tc>
        <w:tc>
          <w:tcPr>
            <w:tcW w:w="1365" w:type="dxa"/>
            <w:vAlign w:val="center"/>
          </w:tcPr>
          <w:p w14:paraId="0508C4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8D1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exact"/>
        </w:trPr>
        <w:tc>
          <w:tcPr>
            <w:tcW w:w="735" w:type="dxa"/>
            <w:vAlign w:val="center"/>
          </w:tcPr>
          <w:p w14:paraId="2A88F49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c>
          <w:tcPr>
            <w:tcW w:w="6690" w:type="dxa"/>
            <w:vAlign w:val="center"/>
          </w:tcPr>
          <w:p w14:paraId="52DCA6F1">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危险化学品专用仓库未设专人负责管理，或者对储存的剧毒化学品以及储存数量构成重大危险源的其他危险化学品未实行双人收发、双人保管制度的；储存危险化学品的单位未建立危险化学品出入库核查、登记制度的；危险化学品专用仓库未设置明显标志的处罚</w:t>
            </w:r>
          </w:p>
        </w:tc>
        <w:tc>
          <w:tcPr>
            <w:tcW w:w="1365" w:type="dxa"/>
            <w:vAlign w:val="center"/>
          </w:tcPr>
          <w:p w14:paraId="7E29B4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402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exact"/>
        </w:trPr>
        <w:tc>
          <w:tcPr>
            <w:tcW w:w="735" w:type="dxa"/>
            <w:vAlign w:val="center"/>
          </w:tcPr>
          <w:p w14:paraId="23F0761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41</w:t>
            </w:r>
          </w:p>
        </w:tc>
        <w:tc>
          <w:tcPr>
            <w:tcW w:w="6690" w:type="dxa"/>
            <w:vAlign w:val="center"/>
          </w:tcPr>
          <w:p w14:paraId="191320E0">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依照规定对其安全生产条件定期进行安全评价的；对重复使用的危险化学品包装物、容器，在重复使用前不进行检查的；未根据其生产、储存的危险化学品的种类和危险特性，在作业场所设置相关安全设施、设备，或者未按照国家标准、行业标准或者国家有关规定对安全设施、设备进行经常性维护、保养的处罚</w:t>
            </w:r>
          </w:p>
        </w:tc>
        <w:tc>
          <w:tcPr>
            <w:tcW w:w="1365" w:type="dxa"/>
            <w:vAlign w:val="center"/>
          </w:tcPr>
          <w:p w14:paraId="6734AB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31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exact"/>
        </w:trPr>
        <w:tc>
          <w:tcPr>
            <w:tcW w:w="735" w:type="dxa"/>
            <w:vAlign w:val="center"/>
          </w:tcPr>
          <w:p w14:paraId="7FF67DD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42</w:t>
            </w:r>
          </w:p>
        </w:tc>
        <w:tc>
          <w:tcPr>
            <w:tcW w:w="6690" w:type="dxa"/>
            <w:vAlign w:val="center"/>
          </w:tcPr>
          <w:p w14:paraId="04915694">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未将危险化学品储存在专用仓库内，或者未将剧毒化学品以及储存数量构成重大危险源的其他危险化学品在专用仓库内单独存放的；危险化学品的储存方式、方法或者储存数量不符合国家标准或者国家有关规定的；危险化学品专用仓库不符合国家标准、行业标准的要求的；未对危险化学品专用仓库的安全设施、设备定期进行检测、检验的处罚</w:t>
            </w:r>
          </w:p>
        </w:tc>
        <w:tc>
          <w:tcPr>
            <w:tcW w:w="1365" w:type="dxa"/>
            <w:vAlign w:val="center"/>
          </w:tcPr>
          <w:p w14:paraId="160E39F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E7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exact"/>
        </w:trPr>
        <w:tc>
          <w:tcPr>
            <w:tcW w:w="735" w:type="dxa"/>
            <w:vAlign w:val="center"/>
          </w:tcPr>
          <w:p w14:paraId="32E0787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43</w:t>
            </w:r>
          </w:p>
        </w:tc>
        <w:tc>
          <w:tcPr>
            <w:tcW w:w="6690" w:type="dxa"/>
            <w:vAlign w:val="center"/>
          </w:tcPr>
          <w:p w14:paraId="2994A880">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对生产、储存、使用危险化学品的单位转产、停产、停业或者解散，未采取有效措施及时、妥善处置其危险化学品生产装置、储存设施以及库存的危险化学品，或者丢弃危险化学品的处罚</w:t>
            </w:r>
          </w:p>
        </w:tc>
        <w:tc>
          <w:tcPr>
            <w:tcW w:w="1365" w:type="dxa"/>
            <w:vAlign w:val="center"/>
          </w:tcPr>
          <w:p w14:paraId="03B33E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523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exact"/>
        </w:trPr>
        <w:tc>
          <w:tcPr>
            <w:tcW w:w="735" w:type="dxa"/>
            <w:vAlign w:val="center"/>
          </w:tcPr>
          <w:p w14:paraId="77743A7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44</w:t>
            </w:r>
          </w:p>
        </w:tc>
        <w:tc>
          <w:tcPr>
            <w:tcW w:w="6690" w:type="dxa"/>
            <w:vAlign w:val="center"/>
          </w:tcPr>
          <w:p w14:paraId="6CE6701E">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向不具有相关许可证件或者证明文件的单位销售剧毒化学品、易制爆危险化学品的；不按照剧毒化学品购买许可证载明的品种、数量销售剧毒化学品的；向个人销售剧毒化学品(属于剧毒化学品的农药除外)、易制爆危险化学品的处罚</w:t>
            </w:r>
          </w:p>
        </w:tc>
        <w:tc>
          <w:tcPr>
            <w:tcW w:w="1365" w:type="dxa"/>
            <w:vAlign w:val="center"/>
          </w:tcPr>
          <w:p w14:paraId="66648C4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9DA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exact"/>
        </w:trPr>
        <w:tc>
          <w:tcPr>
            <w:tcW w:w="735" w:type="dxa"/>
            <w:vAlign w:val="center"/>
          </w:tcPr>
          <w:p w14:paraId="5322766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45</w:t>
            </w:r>
          </w:p>
        </w:tc>
        <w:tc>
          <w:tcPr>
            <w:tcW w:w="6690" w:type="dxa"/>
            <w:vAlign w:val="center"/>
          </w:tcPr>
          <w:p w14:paraId="4CF2DF4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生产经营单位未对职工进行安全教育、培训，分配职工上岗作业的；使用不符合国家安全标准或者行业安全标准的设备、器材、防护用品、安全检测仪器的；未按照规定提取或者使用安全技术措施专项费用的；拒绝矿山安全监督人员现场检查或者在被检查时隐瞒事故隐患、不如实反映情况的；未按照规定及时、如实报告矿山事故的处罚</w:t>
            </w:r>
          </w:p>
        </w:tc>
        <w:tc>
          <w:tcPr>
            <w:tcW w:w="1365" w:type="dxa"/>
            <w:vAlign w:val="center"/>
          </w:tcPr>
          <w:p w14:paraId="7B4E38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431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2D84C9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46</w:t>
            </w:r>
          </w:p>
        </w:tc>
        <w:tc>
          <w:tcPr>
            <w:tcW w:w="6690" w:type="dxa"/>
            <w:vAlign w:val="center"/>
          </w:tcPr>
          <w:p w14:paraId="25CEBFF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对矿长不具备安全专业知识的、安全生产的特种作业人员未取得操作资格证书上岗作业的处罚</w:t>
            </w:r>
          </w:p>
        </w:tc>
        <w:tc>
          <w:tcPr>
            <w:tcW w:w="1365" w:type="dxa"/>
            <w:vAlign w:val="center"/>
          </w:tcPr>
          <w:p w14:paraId="7E4600D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144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exact"/>
        </w:trPr>
        <w:tc>
          <w:tcPr>
            <w:tcW w:w="735" w:type="dxa"/>
            <w:vAlign w:val="center"/>
          </w:tcPr>
          <w:p w14:paraId="279D445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47</w:t>
            </w:r>
          </w:p>
        </w:tc>
        <w:tc>
          <w:tcPr>
            <w:tcW w:w="6690" w:type="dxa"/>
            <w:vAlign w:val="center"/>
          </w:tcPr>
          <w:p w14:paraId="4CC045E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企业在安全生产许可证有效期内出现需要变更安全生产许可证情形，未按照规定提出变更申请的处罚；相关单位在登记注册地以外进行跨省作业，未按规定进行登记备案的处罚</w:t>
            </w:r>
          </w:p>
        </w:tc>
        <w:tc>
          <w:tcPr>
            <w:tcW w:w="1365" w:type="dxa"/>
            <w:vAlign w:val="center"/>
          </w:tcPr>
          <w:p w14:paraId="39EE588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D5E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12A6E9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48</w:t>
            </w:r>
          </w:p>
        </w:tc>
        <w:tc>
          <w:tcPr>
            <w:tcW w:w="6690" w:type="dxa"/>
            <w:vAlign w:val="center"/>
          </w:tcPr>
          <w:p w14:paraId="2A74B157">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生产经营单位或者尾矿库管理单位违反《尾矿库安全监督管理规定》相关规定的处罚</w:t>
            </w:r>
          </w:p>
        </w:tc>
        <w:tc>
          <w:tcPr>
            <w:tcW w:w="1365" w:type="dxa"/>
            <w:vAlign w:val="center"/>
          </w:tcPr>
          <w:p w14:paraId="5C92A4A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0B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510F0FA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49</w:t>
            </w:r>
          </w:p>
        </w:tc>
        <w:tc>
          <w:tcPr>
            <w:tcW w:w="6690" w:type="dxa"/>
            <w:vAlign w:val="center"/>
          </w:tcPr>
          <w:p w14:paraId="3902A82D">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非煤矿山外包工程承包单位违反《非煤矿山外包工程安全管理暂行办法》相关规定的处罚</w:t>
            </w:r>
          </w:p>
        </w:tc>
        <w:tc>
          <w:tcPr>
            <w:tcW w:w="1365" w:type="dxa"/>
            <w:vAlign w:val="center"/>
          </w:tcPr>
          <w:p w14:paraId="1CF2FF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AB1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027C7B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50</w:t>
            </w:r>
          </w:p>
        </w:tc>
        <w:tc>
          <w:tcPr>
            <w:tcW w:w="6690" w:type="dxa"/>
            <w:vAlign w:val="center"/>
          </w:tcPr>
          <w:p w14:paraId="0FCDF64E">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1"/>
                <w:szCs w:val="21"/>
                <w:highlight w:val="none"/>
              </w:rPr>
              <w:t>未取得危险化学品经营许可证从事危险化学品经营或者经营许可证有效期届满后，仍然从事危险化学品经营的处罚</w:t>
            </w:r>
          </w:p>
        </w:tc>
        <w:tc>
          <w:tcPr>
            <w:tcW w:w="1365" w:type="dxa"/>
            <w:vAlign w:val="center"/>
          </w:tcPr>
          <w:p w14:paraId="5E8F2D4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83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39DEB9E">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51</w:t>
            </w:r>
          </w:p>
        </w:tc>
        <w:tc>
          <w:tcPr>
            <w:tcW w:w="6690" w:type="dxa"/>
            <w:vAlign w:val="center"/>
          </w:tcPr>
          <w:p w14:paraId="15C21FB9">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生产经营单位违反本法规定，被责令改正且受到罚款处罚，拒不改正的</w:t>
            </w:r>
            <w:r>
              <w:rPr>
                <w:rFonts w:hint="eastAsia" w:ascii="仿宋_GB2312" w:hAnsi="仿宋_GB2312" w:eastAsia="仿宋_GB2312" w:cs="仿宋_GB2312"/>
                <w:color w:val="auto"/>
                <w:sz w:val="22"/>
                <w:szCs w:val="22"/>
                <w:highlight w:val="none"/>
                <w:lang w:val="en-US" w:eastAsia="zh-CN"/>
              </w:rPr>
              <w:t>处罚</w:t>
            </w:r>
          </w:p>
        </w:tc>
        <w:tc>
          <w:tcPr>
            <w:tcW w:w="1365" w:type="dxa"/>
            <w:vAlign w:val="center"/>
          </w:tcPr>
          <w:p w14:paraId="202F99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C2C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6A4B7FE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三、行政强制（7项）</w:t>
            </w:r>
          </w:p>
        </w:tc>
      </w:tr>
      <w:tr w14:paraId="3E91B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exact"/>
        </w:trPr>
        <w:tc>
          <w:tcPr>
            <w:tcW w:w="735" w:type="dxa"/>
            <w:vAlign w:val="center"/>
          </w:tcPr>
          <w:p w14:paraId="3CDF0576">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0DCF52AA">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责令从危险区域内撤出作业人员，暂时停产停业或者停止使用相关设施、设备；查封或者扣押有根据认为不符合保障安全生产的国家标准或者行业标准的设施、设备、器材以及违法生产、储存、使用、经营、运输的危险物品；查封违法生产、储存、使用、经营危险物品的作业场所</w:t>
            </w:r>
          </w:p>
        </w:tc>
        <w:tc>
          <w:tcPr>
            <w:tcW w:w="1365" w:type="dxa"/>
            <w:vAlign w:val="center"/>
          </w:tcPr>
          <w:p w14:paraId="1D57B6A9">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55DD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51F0DA8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5EF65CD4">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通知有关单位停止供电、停止供应民用爆炸物品等措施</w:t>
            </w:r>
          </w:p>
        </w:tc>
        <w:tc>
          <w:tcPr>
            <w:tcW w:w="1365" w:type="dxa"/>
            <w:vAlign w:val="center"/>
          </w:tcPr>
          <w:p w14:paraId="72A1F19A">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150DC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exact"/>
        </w:trPr>
        <w:tc>
          <w:tcPr>
            <w:tcW w:w="735" w:type="dxa"/>
            <w:vAlign w:val="center"/>
          </w:tcPr>
          <w:p w14:paraId="093C0C9D">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6690" w:type="dxa"/>
            <w:vAlign w:val="center"/>
          </w:tcPr>
          <w:p w14:paraId="3482C2F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查封、扣押不符合保障安全生产的国家标准或者行业标准的设施、设备、器材以及违法生产、储存、使用、经营、运输的危险物品、查封违法生产、储存、使用、经营危险物品的作业场所</w:t>
            </w:r>
          </w:p>
        </w:tc>
        <w:tc>
          <w:tcPr>
            <w:tcW w:w="1365" w:type="dxa"/>
            <w:vAlign w:val="center"/>
          </w:tcPr>
          <w:p w14:paraId="7DCE84D9">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2CEF5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DB1108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vAlign w:val="center"/>
          </w:tcPr>
          <w:p w14:paraId="336615BA">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责令从危险区域内撤出作业人员，责令暂时停产停业或者停止使用相关设施、设备</w:t>
            </w:r>
          </w:p>
        </w:tc>
        <w:tc>
          <w:tcPr>
            <w:tcW w:w="1365" w:type="dxa"/>
            <w:vAlign w:val="center"/>
          </w:tcPr>
          <w:p w14:paraId="5F921C53">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659CB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3C3145E">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vAlign w:val="center"/>
          </w:tcPr>
          <w:p w14:paraId="0DA27DD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fldChar w:fldCharType="begin"/>
            </w:r>
            <w:r>
              <w:rPr>
                <w:rFonts w:hint="eastAsia" w:ascii="仿宋_GB2312" w:hAnsi="仿宋_GB2312" w:eastAsia="仿宋_GB2312" w:cs="仿宋_GB2312"/>
                <w:color w:val="auto"/>
                <w:sz w:val="22"/>
                <w:szCs w:val="22"/>
                <w:highlight w:val="none"/>
                <w:lang w:val="en-US" w:eastAsia="zh-CN"/>
              </w:rPr>
              <w:instrText xml:space="preserve"> HYPERLINK "http://yjglt.henan.gov.cn/zwgk/xxgkml/qzqd/xzqz/" \t "https://yjglt.henan.gov.cn/zwgk/xxgkml/qzqd/xzqz/_blank" </w:instrText>
            </w:r>
            <w:r>
              <w:rPr>
                <w:rFonts w:hint="eastAsia" w:ascii="仿宋_GB2312" w:hAnsi="仿宋_GB2312" w:eastAsia="仿宋_GB2312" w:cs="仿宋_GB2312"/>
                <w:color w:val="auto"/>
                <w:sz w:val="22"/>
                <w:szCs w:val="22"/>
                <w:highlight w:val="none"/>
                <w:lang w:val="en-US" w:eastAsia="zh-CN"/>
              </w:rPr>
              <w:fldChar w:fldCharType="separate"/>
            </w:r>
            <w:r>
              <w:rPr>
                <w:rFonts w:hint="eastAsia" w:ascii="仿宋_GB2312" w:hAnsi="仿宋_GB2312" w:eastAsia="仿宋_GB2312" w:cs="仿宋_GB2312"/>
                <w:color w:val="auto"/>
                <w:sz w:val="22"/>
                <w:szCs w:val="22"/>
                <w:highlight w:val="none"/>
                <w:lang w:val="en-US" w:eastAsia="zh-CN"/>
              </w:rPr>
              <w:t>紧急防汛期对壅水、阻水严重的工程设施的紧急处置</w:t>
            </w:r>
            <w:r>
              <w:rPr>
                <w:rFonts w:hint="eastAsia" w:ascii="仿宋_GB2312" w:hAnsi="仿宋_GB2312" w:eastAsia="仿宋_GB2312" w:cs="仿宋_GB2312"/>
                <w:color w:val="auto"/>
                <w:sz w:val="22"/>
                <w:szCs w:val="22"/>
                <w:highlight w:val="none"/>
                <w:lang w:val="en-US" w:eastAsia="zh-CN"/>
              </w:rPr>
              <w:fldChar w:fldCharType="end"/>
            </w:r>
          </w:p>
        </w:tc>
        <w:tc>
          <w:tcPr>
            <w:tcW w:w="1365" w:type="dxa"/>
            <w:vAlign w:val="center"/>
          </w:tcPr>
          <w:p w14:paraId="1A774780">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4EE61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exact"/>
        </w:trPr>
        <w:tc>
          <w:tcPr>
            <w:tcW w:w="735" w:type="dxa"/>
            <w:vAlign w:val="center"/>
          </w:tcPr>
          <w:p w14:paraId="6A2A605C">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6690" w:type="dxa"/>
            <w:vAlign w:val="center"/>
          </w:tcPr>
          <w:p w14:paraId="673A2CE3">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1"/>
                <w:szCs w:val="21"/>
                <w:highlight w:val="none"/>
              </w:rPr>
              <w:t>查封违法生产、储存、使用、经营危险化学品的场所，扣押违法生产、储存、使用、经营、运输的危险化学品以及用于违法生产、使用、运输危险化学品的原材料、设备、运输工具</w:t>
            </w:r>
          </w:p>
        </w:tc>
        <w:tc>
          <w:tcPr>
            <w:tcW w:w="1365" w:type="dxa"/>
            <w:vAlign w:val="center"/>
          </w:tcPr>
          <w:p w14:paraId="32F634AB">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1582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82E6919">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6690" w:type="dxa"/>
            <w:vAlign w:val="center"/>
          </w:tcPr>
          <w:p w14:paraId="342B69A4">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1"/>
                <w:szCs w:val="21"/>
                <w:highlight w:val="none"/>
              </w:rPr>
              <w:t>在职责范围内进行易制毒化学品检查，依法扣押相关的证据材料和违法物品；临时查封有关场所</w:t>
            </w:r>
          </w:p>
        </w:tc>
        <w:tc>
          <w:tcPr>
            <w:tcW w:w="1365" w:type="dxa"/>
            <w:vAlign w:val="center"/>
          </w:tcPr>
          <w:p w14:paraId="19589186">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17F54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346219AA">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四、行政征收（2项）</w:t>
            </w:r>
          </w:p>
        </w:tc>
      </w:tr>
      <w:tr w14:paraId="3452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FFB488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278867A5">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紧急抗旱期物资、设备、交通运输设备的征用。</w:t>
            </w:r>
          </w:p>
        </w:tc>
        <w:tc>
          <w:tcPr>
            <w:tcW w:w="1365" w:type="dxa"/>
            <w:vAlign w:val="center"/>
          </w:tcPr>
          <w:p w14:paraId="51B9B6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行政征收</w:t>
            </w:r>
          </w:p>
        </w:tc>
      </w:tr>
      <w:tr w14:paraId="14225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CDE21C6">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1041B152">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紧急防汛期紧急措施的采用</w:t>
            </w:r>
          </w:p>
        </w:tc>
        <w:tc>
          <w:tcPr>
            <w:tcW w:w="1365" w:type="dxa"/>
            <w:vAlign w:val="center"/>
          </w:tcPr>
          <w:p w14:paraId="4D07206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行政征收</w:t>
            </w:r>
          </w:p>
        </w:tc>
      </w:tr>
      <w:tr w14:paraId="32E5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1A992C40">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五、行政给付（2项）</w:t>
            </w:r>
          </w:p>
        </w:tc>
      </w:tr>
      <w:tr w14:paraId="0B720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4BE32F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093D74A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自然灾害救助资金给付</w:t>
            </w:r>
          </w:p>
        </w:tc>
        <w:tc>
          <w:tcPr>
            <w:tcW w:w="1365" w:type="dxa"/>
            <w:vAlign w:val="center"/>
          </w:tcPr>
          <w:p w14:paraId="5181A39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行政给付</w:t>
            </w:r>
          </w:p>
        </w:tc>
      </w:tr>
      <w:tr w14:paraId="7C011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4DBF2667">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35FAB1E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分配、管理自然灾害救助款物</w:t>
            </w:r>
          </w:p>
        </w:tc>
        <w:tc>
          <w:tcPr>
            <w:tcW w:w="1365" w:type="dxa"/>
            <w:vAlign w:val="center"/>
          </w:tcPr>
          <w:p w14:paraId="662A2DF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行政给付</w:t>
            </w:r>
          </w:p>
        </w:tc>
      </w:tr>
      <w:tr w14:paraId="42798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10DDA29A">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六、行政检查（21项）</w:t>
            </w:r>
          </w:p>
        </w:tc>
      </w:tr>
      <w:tr w14:paraId="0765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CEED42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0B062CB0">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对依法取得有关安全生产行政许可的情况的检查</w:t>
            </w:r>
          </w:p>
        </w:tc>
        <w:tc>
          <w:tcPr>
            <w:tcW w:w="1365" w:type="dxa"/>
            <w:vAlign w:val="center"/>
          </w:tcPr>
          <w:p w14:paraId="1070228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3792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4B9255D">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38BB0701">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对建立和落实安全生产责任制、安全生产规章制度和操作规程、作业规程的情况的检查</w:t>
            </w:r>
          </w:p>
        </w:tc>
        <w:tc>
          <w:tcPr>
            <w:tcW w:w="1365" w:type="dxa"/>
            <w:vAlign w:val="center"/>
          </w:tcPr>
          <w:p w14:paraId="559A735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1DF9E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C47A17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6690" w:type="dxa"/>
            <w:vAlign w:val="center"/>
          </w:tcPr>
          <w:p w14:paraId="2188734E">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对按照国家规定提取和使用安全生产费用、安全生产风险抵押金，以及其他安全生产投入的情况的检查</w:t>
            </w:r>
          </w:p>
        </w:tc>
        <w:tc>
          <w:tcPr>
            <w:tcW w:w="1365" w:type="dxa"/>
            <w:vAlign w:val="center"/>
          </w:tcPr>
          <w:p w14:paraId="4ED36C1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3C765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404D780">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vAlign w:val="center"/>
          </w:tcPr>
          <w:p w14:paraId="1DDE77FE">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对依法设置安全生产管理机构和配备安全生产管理人员的情况的检查</w:t>
            </w:r>
          </w:p>
        </w:tc>
        <w:tc>
          <w:tcPr>
            <w:tcW w:w="1365" w:type="dxa"/>
            <w:vAlign w:val="center"/>
          </w:tcPr>
          <w:p w14:paraId="50D733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0D480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556197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vAlign w:val="center"/>
          </w:tcPr>
          <w:p w14:paraId="69FE8661">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对从业人员受到安全生产教育、培训，取得有关安全资格证书的情况的检查</w:t>
            </w:r>
          </w:p>
        </w:tc>
        <w:tc>
          <w:tcPr>
            <w:tcW w:w="1365" w:type="dxa"/>
            <w:vAlign w:val="center"/>
          </w:tcPr>
          <w:p w14:paraId="008A870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5239E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exact"/>
        </w:trPr>
        <w:tc>
          <w:tcPr>
            <w:tcW w:w="735" w:type="dxa"/>
            <w:vAlign w:val="center"/>
          </w:tcPr>
          <w:p w14:paraId="46EC573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6690" w:type="dxa"/>
            <w:vAlign w:val="center"/>
          </w:tcPr>
          <w:p w14:paraId="3BE7147A">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对新建、改建、扩建工程项目的安全设施与主体工程同时设计、同时施工、同时投入生产和使用，以及按规定办理设计审查和竣工验收的情况的检查</w:t>
            </w:r>
          </w:p>
        </w:tc>
        <w:tc>
          <w:tcPr>
            <w:tcW w:w="1365" w:type="dxa"/>
            <w:vAlign w:val="center"/>
          </w:tcPr>
          <w:p w14:paraId="383103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139EF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FF54B9C">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6690" w:type="dxa"/>
            <w:vAlign w:val="center"/>
          </w:tcPr>
          <w:p w14:paraId="059F11C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对在有较大危险因素的生产经营场所和有关设施、设备上，设置安全警示标志的情况的检查</w:t>
            </w:r>
          </w:p>
        </w:tc>
        <w:tc>
          <w:tcPr>
            <w:tcW w:w="1365" w:type="dxa"/>
            <w:vAlign w:val="center"/>
          </w:tcPr>
          <w:p w14:paraId="6BB5353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17FD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79634D1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6690" w:type="dxa"/>
            <w:vAlign w:val="center"/>
          </w:tcPr>
          <w:p w14:paraId="699DBFE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对安全设备设施的维护、保养、定期检测的情况的检查</w:t>
            </w:r>
          </w:p>
        </w:tc>
        <w:tc>
          <w:tcPr>
            <w:tcW w:w="1365" w:type="dxa"/>
            <w:vAlign w:val="center"/>
          </w:tcPr>
          <w:p w14:paraId="409B118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15CE1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E9BE3C3">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6690" w:type="dxa"/>
            <w:vAlign w:val="center"/>
          </w:tcPr>
          <w:p w14:paraId="4C22A6DF">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对重大危险源登记建档、定期检测、评估、监控和制定应急预案的情况的检查</w:t>
            </w:r>
          </w:p>
        </w:tc>
        <w:tc>
          <w:tcPr>
            <w:tcW w:w="1365" w:type="dxa"/>
            <w:vAlign w:val="center"/>
          </w:tcPr>
          <w:p w14:paraId="5869F6E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265D2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735" w:type="dxa"/>
            <w:vAlign w:val="center"/>
          </w:tcPr>
          <w:p w14:paraId="08DD4B28">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6690" w:type="dxa"/>
            <w:vAlign w:val="center"/>
          </w:tcPr>
          <w:p w14:paraId="73D5BEF6">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对教育和督促从业人员严格执行本单位的安全生产规章制度和安全操作规程，并向从业人员如实告知作业场所和工作岗位存在的危险因素、防范措施以及事故应急措施的情况的检查</w:t>
            </w:r>
          </w:p>
        </w:tc>
        <w:tc>
          <w:tcPr>
            <w:tcW w:w="1365" w:type="dxa"/>
            <w:vAlign w:val="center"/>
          </w:tcPr>
          <w:p w14:paraId="178BA35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39804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847FF08">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w:t>
            </w:r>
          </w:p>
        </w:tc>
        <w:tc>
          <w:tcPr>
            <w:tcW w:w="6690" w:type="dxa"/>
            <w:vAlign w:val="center"/>
          </w:tcPr>
          <w:p w14:paraId="2484D03C">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对为从业人员提供符合国家标准或者行业标准的劳动防护用品，并监督、教育从业人员按照使用规则正确佩戴和使用的情况的检查</w:t>
            </w:r>
          </w:p>
        </w:tc>
        <w:tc>
          <w:tcPr>
            <w:tcW w:w="1365" w:type="dxa"/>
            <w:vAlign w:val="center"/>
          </w:tcPr>
          <w:p w14:paraId="06B7140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16F0D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exact"/>
        </w:trPr>
        <w:tc>
          <w:tcPr>
            <w:tcW w:w="735" w:type="dxa"/>
            <w:vAlign w:val="center"/>
          </w:tcPr>
          <w:p w14:paraId="128B290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w:t>
            </w:r>
          </w:p>
        </w:tc>
        <w:tc>
          <w:tcPr>
            <w:tcW w:w="6690" w:type="dxa"/>
            <w:vAlign w:val="center"/>
          </w:tcPr>
          <w:p w14:paraId="2960A7C9">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在同一作业区域内进行生产经营活动，可能危及对方生产安全的，与对方签订安全生产管理协议，明确各自的安全生产管理职责和应当采取的安全措施，并指定专职安全生产管理人员进行安全检查与协调的情况的检查</w:t>
            </w:r>
          </w:p>
        </w:tc>
        <w:tc>
          <w:tcPr>
            <w:tcW w:w="1365" w:type="dxa"/>
            <w:vAlign w:val="center"/>
          </w:tcPr>
          <w:p w14:paraId="13A5CB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77DB2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B39BC6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6690" w:type="dxa"/>
            <w:vAlign w:val="center"/>
          </w:tcPr>
          <w:p w14:paraId="378F985D">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对承包单位、承租单位的安全生产工作实行统一协调、管理的情况的检查</w:t>
            </w:r>
          </w:p>
        </w:tc>
        <w:tc>
          <w:tcPr>
            <w:tcW w:w="1365" w:type="dxa"/>
            <w:vAlign w:val="center"/>
          </w:tcPr>
          <w:p w14:paraId="2AB7E69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69F51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56DF47DD">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w:t>
            </w:r>
          </w:p>
        </w:tc>
        <w:tc>
          <w:tcPr>
            <w:tcW w:w="6690" w:type="dxa"/>
            <w:vAlign w:val="center"/>
          </w:tcPr>
          <w:p w14:paraId="080E5EE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对组织安全生产检查，及时排查治理生产安全事故隐患的情况的检查</w:t>
            </w:r>
          </w:p>
        </w:tc>
        <w:tc>
          <w:tcPr>
            <w:tcW w:w="1365" w:type="dxa"/>
            <w:vAlign w:val="center"/>
          </w:tcPr>
          <w:p w14:paraId="33F299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07A21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43CECBAE">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6690" w:type="dxa"/>
            <w:vAlign w:val="center"/>
          </w:tcPr>
          <w:p w14:paraId="22872E4B">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对制定、实施生产安全事故预案，以及有关应急预案备案的情况的检查</w:t>
            </w:r>
          </w:p>
        </w:tc>
        <w:tc>
          <w:tcPr>
            <w:tcW w:w="1365" w:type="dxa"/>
            <w:vAlign w:val="center"/>
          </w:tcPr>
          <w:p w14:paraId="499E2C1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62C8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exact"/>
        </w:trPr>
        <w:tc>
          <w:tcPr>
            <w:tcW w:w="735" w:type="dxa"/>
            <w:vAlign w:val="center"/>
          </w:tcPr>
          <w:p w14:paraId="3BBD0D4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16</w:t>
            </w:r>
          </w:p>
        </w:tc>
        <w:tc>
          <w:tcPr>
            <w:tcW w:w="6690" w:type="dxa"/>
            <w:vAlign w:val="center"/>
          </w:tcPr>
          <w:p w14:paraId="474AE223">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对危险物品的生产、经营、储存单位以及矿山企业建立应急救援组织或者兼职救援队伍、签订应急救援协议，以及救援器材、设备的配备、维护、保养的情况的检查</w:t>
            </w:r>
          </w:p>
        </w:tc>
        <w:tc>
          <w:tcPr>
            <w:tcW w:w="1365" w:type="dxa"/>
            <w:vAlign w:val="center"/>
          </w:tcPr>
          <w:p w14:paraId="5296C9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39AB4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162057C">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6690" w:type="dxa"/>
            <w:vAlign w:val="center"/>
          </w:tcPr>
          <w:p w14:paraId="2E8C234A">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对按照规定报告生产安全事故的情况的检查</w:t>
            </w:r>
          </w:p>
        </w:tc>
        <w:tc>
          <w:tcPr>
            <w:tcW w:w="1365" w:type="dxa"/>
            <w:vAlign w:val="center"/>
          </w:tcPr>
          <w:p w14:paraId="242BF1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2E7C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05B533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w:t>
            </w:r>
          </w:p>
        </w:tc>
        <w:tc>
          <w:tcPr>
            <w:tcW w:w="6690" w:type="dxa"/>
            <w:vAlign w:val="center"/>
          </w:tcPr>
          <w:p w14:paraId="01504DD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对矿山、金属冶炼建设项目和用于生产、储存、装卸危险物品的建设项目安全评价、安全设施设计的监督检查</w:t>
            </w:r>
          </w:p>
        </w:tc>
        <w:tc>
          <w:tcPr>
            <w:tcW w:w="1365" w:type="dxa"/>
            <w:vAlign w:val="center"/>
          </w:tcPr>
          <w:p w14:paraId="06E2E33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16A97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33D50FE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w:t>
            </w:r>
          </w:p>
        </w:tc>
        <w:tc>
          <w:tcPr>
            <w:tcW w:w="6690" w:type="dxa"/>
            <w:vAlign w:val="center"/>
          </w:tcPr>
          <w:p w14:paraId="067A0664">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对救灾捐赠款物使用发放情况的监督检查</w:t>
            </w:r>
          </w:p>
        </w:tc>
        <w:tc>
          <w:tcPr>
            <w:tcW w:w="1365" w:type="dxa"/>
            <w:vAlign w:val="center"/>
          </w:tcPr>
          <w:p w14:paraId="58C9C9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09991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2766099E">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20</w:t>
            </w:r>
          </w:p>
        </w:tc>
        <w:tc>
          <w:tcPr>
            <w:tcW w:w="6690" w:type="dxa"/>
            <w:vAlign w:val="center"/>
          </w:tcPr>
          <w:p w14:paraId="16FBE7C3">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对生产经营单位安全生产情况的监督检查</w:t>
            </w:r>
          </w:p>
        </w:tc>
        <w:tc>
          <w:tcPr>
            <w:tcW w:w="1365" w:type="dxa"/>
            <w:vAlign w:val="center"/>
          </w:tcPr>
          <w:p w14:paraId="732C145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5E90C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8AAE7A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21</w:t>
            </w:r>
          </w:p>
        </w:tc>
        <w:tc>
          <w:tcPr>
            <w:tcW w:w="6690" w:type="dxa"/>
            <w:vAlign w:val="center"/>
          </w:tcPr>
          <w:p w14:paraId="1E531D7E">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对森林防火责任落实和森林火灾隐患的监督检查</w:t>
            </w:r>
          </w:p>
        </w:tc>
        <w:tc>
          <w:tcPr>
            <w:tcW w:w="1365" w:type="dxa"/>
            <w:vAlign w:val="center"/>
          </w:tcPr>
          <w:p w14:paraId="7A03DA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2AE99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66B8ED25">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七、行政确认（1项）</w:t>
            </w:r>
          </w:p>
        </w:tc>
      </w:tr>
      <w:tr w14:paraId="439D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DD0090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6690" w:type="dxa"/>
            <w:vAlign w:val="center"/>
          </w:tcPr>
          <w:p w14:paraId="71645013">
            <w:pPr>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2"/>
                <w:szCs w:val="22"/>
                <w:highlight w:val="none"/>
              </w:rPr>
              <w:t>其他非煤矿山、危险化学品、烟花爆竹、金属冶炼等生产经营单位主要负责人和安全生产管理人员的安全生产合格证</w:t>
            </w:r>
          </w:p>
        </w:tc>
        <w:tc>
          <w:tcPr>
            <w:tcW w:w="1365" w:type="dxa"/>
            <w:vAlign w:val="center"/>
          </w:tcPr>
          <w:p w14:paraId="6F8B4126">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color w:val="auto"/>
                <w:sz w:val="24"/>
                <w:szCs w:val="24"/>
                <w:lang w:val="en-US" w:eastAsia="zh-CN"/>
              </w:rPr>
              <w:t>行政确认</w:t>
            </w:r>
          </w:p>
        </w:tc>
      </w:tr>
      <w:tr w14:paraId="1D5C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790" w:type="dxa"/>
            <w:gridSpan w:val="3"/>
            <w:vAlign w:val="center"/>
          </w:tcPr>
          <w:p w14:paraId="1429FB9F">
            <w:pPr>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八、其他职权（5项）</w:t>
            </w:r>
          </w:p>
        </w:tc>
      </w:tr>
      <w:tr w14:paraId="73BDE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1E47D817">
            <w:pPr>
              <w:jc w:val="center"/>
              <w:rPr>
                <w:rFonts w:hint="default" w:ascii="仿宋_GB2312" w:hAnsi="仿宋_GB2312" w:eastAsia="仿宋_GB2312" w:cs="仿宋_GB2312"/>
                <w:color w:val="auto"/>
                <w:sz w:val="24"/>
                <w:szCs w:val="24"/>
                <w:lang w:val="en-US" w:eastAsia="zh-CN"/>
              </w:rPr>
            </w:pPr>
            <w:bookmarkStart w:id="0" w:name="_GoBack" w:colFirst="2" w:colLast="2"/>
            <w:r>
              <w:rPr>
                <w:rFonts w:hint="eastAsia" w:ascii="仿宋_GB2312" w:hAnsi="仿宋_GB2312" w:eastAsia="仿宋_GB2312" w:cs="仿宋_GB2312"/>
                <w:color w:val="auto"/>
                <w:sz w:val="24"/>
                <w:szCs w:val="24"/>
                <w:lang w:val="en-US" w:eastAsia="zh-CN"/>
              </w:rPr>
              <w:t>1</w:t>
            </w:r>
          </w:p>
        </w:tc>
        <w:tc>
          <w:tcPr>
            <w:tcW w:w="6690" w:type="dxa"/>
            <w:vAlign w:val="center"/>
          </w:tcPr>
          <w:p w14:paraId="28C78AB5">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根据县政府授权对一般生产安全事故的调查处理</w:t>
            </w:r>
          </w:p>
        </w:tc>
        <w:tc>
          <w:tcPr>
            <w:tcW w:w="1365" w:type="dxa"/>
            <w:vAlign w:val="center"/>
          </w:tcPr>
          <w:p w14:paraId="50FA453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03B6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47241D18">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6690" w:type="dxa"/>
            <w:vAlign w:val="center"/>
          </w:tcPr>
          <w:p w14:paraId="332E13C9">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非药品类易制毒化学品（第三类）经营备案</w:t>
            </w:r>
          </w:p>
        </w:tc>
        <w:tc>
          <w:tcPr>
            <w:tcW w:w="1365" w:type="dxa"/>
            <w:vAlign w:val="center"/>
          </w:tcPr>
          <w:p w14:paraId="28B22E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7281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EF624E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6690" w:type="dxa"/>
            <w:vAlign w:val="center"/>
          </w:tcPr>
          <w:p w14:paraId="4B48D93A">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危险化学品重大危险源备案</w:t>
            </w:r>
          </w:p>
        </w:tc>
        <w:tc>
          <w:tcPr>
            <w:tcW w:w="1365" w:type="dxa"/>
            <w:vAlign w:val="center"/>
          </w:tcPr>
          <w:p w14:paraId="540AD5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511A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0BCA5721">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vAlign w:val="center"/>
          </w:tcPr>
          <w:p w14:paraId="4E231FA3">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生产安全事故应急预案备案</w:t>
            </w:r>
          </w:p>
        </w:tc>
        <w:tc>
          <w:tcPr>
            <w:tcW w:w="1365" w:type="dxa"/>
            <w:vAlign w:val="center"/>
          </w:tcPr>
          <w:p w14:paraId="4134D7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tr w14:paraId="7B5FA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35" w:type="dxa"/>
            <w:vAlign w:val="center"/>
          </w:tcPr>
          <w:p w14:paraId="678B38BF">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vAlign w:val="center"/>
          </w:tcPr>
          <w:p w14:paraId="3CD7F138">
            <w:pPr>
              <w:jc w:val="left"/>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rPr>
              <w:t>危害地震监测设施、地震观测环境建设工程项目审批（审核转报）</w:t>
            </w:r>
          </w:p>
        </w:tc>
        <w:tc>
          <w:tcPr>
            <w:tcW w:w="1365" w:type="dxa"/>
            <w:vAlign w:val="center"/>
          </w:tcPr>
          <w:p w14:paraId="383084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其他职权</w:t>
            </w:r>
          </w:p>
        </w:tc>
      </w:tr>
      <w:bookmarkEnd w:id="0"/>
    </w:tbl>
    <w:p w14:paraId="03740B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C5719F-29A4-4B91-847F-B3446AFE53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3E8B9AB-D425-44EE-988F-3533ABBD4EA2}"/>
  </w:font>
  <w:font w:name="方正大标宋_GBK">
    <w:altName w:val="宋体"/>
    <w:panose1 w:val="03000509000000000000"/>
    <w:charset w:val="86"/>
    <w:family w:val="auto"/>
    <w:pitch w:val="default"/>
    <w:sig w:usb0="00000000" w:usb1="00000000" w:usb2="00000000" w:usb3="00000000" w:csb0="00040000" w:csb1="00000000"/>
    <w:embedRegular r:id="rId3" w:fontKey="{A50E00C5-8A4C-4D31-9180-13E2FD62A69C}"/>
  </w:font>
  <w:font w:name="方正小标宋_GBK">
    <w:panose1 w:val="02000000000000000000"/>
    <w:charset w:val="86"/>
    <w:family w:val="auto"/>
    <w:pitch w:val="default"/>
    <w:sig w:usb0="A00002BF" w:usb1="38CF7CFA" w:usb2="00082016" w:usb3="00000000" w:csb0="00040001" w:csb1="00000000"/>
    <w:embedRegular r:id="rId4" w:fontKey="{71A7A0FA-DE2B-40F0-B70E-1D1BB2116E0C}"/>
  </w:font>
  <w:font w:name="楷体_GB2312">
    <w:panose1 w:val="02010609030101010101"/>
    <w:charset w:val="86"/>
    <w:family w:val="auto"/>
    <w:pitch w:val="default"/>
    <w:sig w:usb0="00000001" w:usb1="080E0000" w:usb2="00000000" w:usb3="00000000" w:csb0="00040000" w:csb1="00000000"/>
    <w:embedRegular r:id="rId5" w:fontKey="{3401AADC-52FA-49CC-8529-5A709F7D9608}"/>
  </w:font>
  <w:font w:name="仿宋_GB2312">
    <w:panose1 w:val="02010609030101010101"/>
    <w:charset w:val="86"/>
    <w:family w:val="auto"/>
    <w:pitch w:val="default"/>
    <w:sig w:usb0="00000001" w:usb1="080E0000" w:usb2="00000000" w:usb3="00000000" w:csb0="00040000" w:csb1="00000000"/>
    <w:embedRegular r:id="rId6" w:fontKey="{82B0F39F-3E28-4123-B1DC-A1525F7AEA0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3MDU0OTVkYWMwNzFiOGEwNjA2Y2U4MDEzMWE2M2QifQ=="/>
  </w:docVars>
  <w:rsids>
    <w:rsidRoot w:val="10991206"/>
    <w:rsid w:val="10991206"/>
    <w:rsid w:val="3A16675B"/>
    <w:rsid w:val="3E165188"/>
    <w:rsid w:val="423C550F"/>
    <w:rsid w:val="54776BB6"/>
    <w:rsid w:val="5C442A95"/>
    <w:rsid w:val="763E5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Autospacing="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5802</Words>
  <Characters>5859</Characters>
  <Lines>0</Lines>
  <Paragraphs>0</Paragraphs>
  <TotalTime>1</TotalTime>
  <ScaleCrop>false</ScaleCrop>
  <LinksUpToDate>false</LinksUpToDate>
  <CharactersWithSpaces>5859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2023-07-26T00:48:00Z</dcterms:created>
  <dc:creator>林子水</dc:creator>
  <cp:lastModifiedBy>林子水</cp:lastModifiedBy>
  <cp:lastPrinted>2024-09-06T01:55:55Z</cp:lastPrinted>
  <dcterms:modified xsi:type="dcterms:W3CDTF">2024-09-06T01:58:25Z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EEBC698550194E4C92B3B229D0F2B32E_11</vt:lpwstr>
  </property>
</Properties>
</file>