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1004F">
      <w:pPr>
        <w:topLinePunct/>
        <w:spacing w:line="400" w:lineRule="exact"/>
        <w:rPr>
          <w:rFonts w:hint="eastAsia" w:ascii="黑体" w:hAnsi="黑体" w:eastAsia="黑体" w:cs="黑体"/>
          <w:sz w:val="34"/>
          <w:szCs w:val="34"/>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bookmarkStart w:id="0" w:name="_GoBack"/>
      <w:bookmarkEnd w:id="0"/>
    </w:p>
    <w:p w14:paraId="443527F7">
      <w:pPr>
        <w:widowControl/>
        <w:jc w:val="center"/>
        <w:textAlignment w:val="center"/>
        <w:rPr>
          <w:rFonts w:hint="eastAsia" w:ascii="宋体" w:hAnsi="宋体" w:eastAsia="宋体" w:cs="宋体"/>
          <w:color w:val="000000"/>
          <w:kern w:val="0"/>
          <w:sz w:val="44"/>
          <w:szCs w:val="44"/>
        </w:rPr>
      </w:pPr>
      <w:r>
        <w:rPr>
          <w:rFonts w:hint="eastAsia" w:ascii="宋体" w:hAnsi="宋体" w:eastAsia="宋体" w:cs="宋体"/>
          <w:color w:val="000000"/>
          <w:kern w:val="0"/>
          <w:sz w:val="44"/>
          <w:szCs w:val="44"/>
          <w:lang w:eastAsia="zh-CN"/>
        </w:rPr>
        <w:t>桐柏县</w:t>
      </w:r>
      <w:r>
        <w:rPr>
          <w:rFonts w:hint="eastAsia" w:ascii="宋体" w:hAnsi="宋体" w:eastAsia="宋体" w:cs="宋体"/>
          <w:color w:val="000000"/>
          <w:kern w:val="0"/>
          <w:sz w:val="44"/>
          <w:szCs w:val="44"/>
        </w:rPr>
        <w:t>商务局</w:t>
      </w:r>
      <w:r>
        <w:rPr>
          <w:rFonts w:hint="eastAsia" w:ascii="宋体" w:hAnsi="宋体" w:cs="宋体"/>
          <w:color w:val="000000"/>
          <w:kern w:val="0"/>
          <w:sz w:val="44"/>
          <w:szCs w:val="44"/>
          <w:lang w:val="en-US" w:eastAsia="zh-CN"/>
        </w:rPr>
        <w:t>拟</w:t>
      </w:r>
      <w:r>
        <w:rPr>
          <w:rFonts w:hint="eastAsia" w:ascii="宋体" w:hAnsi="宋体" w:eastAsia="宋体" w:cs="宋体"/>
          <w:color w:val="000000"/>
          <w:kern w:val="0"/>
          <w:sz w:val="44"/>
          <w:szCs w:val="44"/>
          <w:lang w:eastAsia="zh-CN"/>
        </w:rPr>
        <w:t>保留的权责清单</w:t>
      </w:r>
    </w:p>
    <w:tbl>
      <w:tblPr>
        <w:tblStyle w:val="9"/>
        <w:tblW w:w="21492" w:type="dxa"/>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697"/>
        <w:gridCol w:w="593"/>
        <w:gridCol w:w="4034"/>
        <w:gridCol w:w="1245"/>
        <w:gridCol w:w="1335"/>
        <w:gridCol w:w="6945"/>
        <w:gridCol w:w="4365"/>
        <w:gridCol w:w="1485"/>
      </w:tblGrid>
      <w:tr w14:paraId="2CAC8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blHeader/>
        </w:trPr>
        <w:tc>
          <w:tcPr>
            <w:tcW w:w="793" w:type="dxa"/>
            <w:noWrap w:val="0"/>
            <w:vAlign w:val="center"/>
          </w:tcPr>
          <w:p w14:paraId="22FA7A0A">
            <w:pPr>
              <w:widowControl/>
              <w:jc w:val="center"/>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kern w:val="0"/>
                <w:sz w:val="24"/>
                <w:szCs w:val="24"/>
              </w:rPr>
              <w:t>序号</w:t>
            </w:r>
          </w:p>
        </w:tc>
        <w:tc>
          <w:tcPr>
            <w:tcW w:w="1290" w:type="dxa"/>
            <w:gridSpan w:val="2"/>
            <w:noWrap w:val="0"/>
            <w:vAlign w:val="center"/>
          </w:tcPr>
          <w:p w14:paraId="2DE1D215">
            <w:pPr>
              <w:widowControl/>
              <w:jc w:val="center"/>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kern w:val="0"/>
                <w:sz w:val="24"/>
                <w:szCs w:val="24"/>
              </w:rPr>
              <w:t>项目名称</w:t>
            </w:r>
          </w:p>
        </w:tc>
        <w:tc>
          <w:tcPr>
            <w:tcW w:w="4034" w:type="dxa"/>
            <w:noWrap w:val="0"/>
            <w:vAlign w:val="center"/>
          </w:tcPr>
          <w:p w14:paraId="3180DC9D">
            <w:pPr>
              <w:widowControl/>
              <w:jc w:val="center"/>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kern w:val="0"/>
                <w:sz w:val="24"/>
                <w:szCs w:val="24"/>
              </w:rPr>
              <w:t>实施依据</w:t>
            </w:r>
          </w:p>
        </w:tc>
        <w:tc>
          <w:tcPr>
            <w:tcW w:w="1245" w:type="dxa"/>
            <w:noWrap w:val="0"/>
            <w:vAlign w:val="center"/>
          </w:tcPr>
          <w:p w14:paraId="6C878EA0">
            <w:pPr>
              <w:widowControl/>
              <w:jc w:val="center"/>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kern w:val="0"/>
                <w:sz w:val="24"/>
                <w:szCs w:val="24"/>
              </w:rPr>
              <w:t>职权类别</w:t>
            </w:r>
          </w:p>
        </w:tc>
        <w:tc>
          <w:tcPr>
            <w:tcW w:w="1335" w:type="dxa"/>
            <w:noWrap w:val="0"/>
            <w:vAlign w:val="center"/>
          </w:tcPr>
          <w:p w14:paraId="6E49B7D1">
            <w:pPr>
              <w:widowControl/>
              <w:jc w:val="center"/>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kern w:val="0"/>
                <w:sz w:val="24"/>
                <w:szCs w:val="24"/>
              </w:rPr>
              <w:t>办理环节</w:t>
            </w:r>
          </w:p>
        </w:tc>
        <w:tc>
          <w:tcPr>
            <w:tcW w:w="6945" w:type="dxa"/>
            <w:noWrap w:val="0"/>
            <w:vAlign w:val="center"/>
          </w:tcPr>
          <w:p w14:paraId="036777C6">
            <w:pPr>
              <w:widowControl/>
              <w:jc w:val="center"/>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kern w:val="0"/>
                <w:sz w:val="24"/>
                <w:szCs w:val="24"/>
              </w:rPr>
              <w:t>责任事项</w:t>
            </w:r>
          </w:p>
        </w:tc>
        <w:tc>
          <w:tcPr>
            <w:tcW w:w="4365" w:type="dxa"/>
            <w:noWrap w:val="0"/>
            <w:vAlign w:val="center"/>
          </w:tcPr>
          <w:p w14:paraId="39D91C3A">
            <w:pPr>
              <w:widowControl/>
              <w:jc w:val="center"/>
              <w:textAlignment w:val="center"/>
              <w:rPr>
                <w:rFonts w:hint="default" w:ascii="黑体" w:hAnsi="黑体" w:eastAsia="黑体" w:cs="黑体"/>
                <w:b w:val="0"/>
                <w:bCs w:val="0"/>
                <w:color w:val="000000"/>
                <w:kern w:val="0"/>
                <w:sz w:val="24"/>
                <w:szCs w:val="24"/>
                <w:lang w:val="en-US" w:eastAsia="zh-CN"/>
              </w:rPr>
            </w:pPr>
            <w:r>
              <w:rPr>
                <w:rFonts w:hint="eastAsia" w:ascii="黑体" w:hAnsi="黑体" w:eastAsia="黑体" w:cs="黑体"/>
                <w:b w:val="0"/>
                <w:bCs w:val="0"/>
                <w:color w:val="000000"/>
                <w:kern w:val="0"/>
                <w:sz w:val="24"/>
                <w:szCs w:val="24"/>
                <w:lang w:val="en-US" w:eastAsia="zh-CN"/>
              </w:rPr>
              <w:t>追责情形</w:t>
            </w:r>
          </w:p>
        </w:tc>
        <w:tc>
          <w:tcPr>
            <w:tcW w:w="1485" w:type="dxa"/>
            <w:noWrap w:val="0"/>
            <w:vAlign w:val="center"/>
          </w:tcPr>
          <w:p w14:paraId="53A6A7D4">
            <w:pPr>
              <w:widowControl/>
              <w:jc w:val="center"/>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kern w:val="0"/>
                <w:sz w:val="24"/>
                <w:szCs w:val="24"/>
              </w:rPr>
              <w:t>责任</w:t>
            </w:r>
            <w:r>
              <w:rPr>
                <w:rFonts w:hint="eastAsia" w:ascii="黑体" w:hAnsi="黑体" w:eastAsia="黑体" w:cs="黑体"/>
                <w:b w:val="0"/>
                <w:bCs w:val="0"/>
                <w:color w:val="000000"/>
                <w:kern w:val="0"/>
                <w:sz w:val="24"/>
                <w:szCs w:val="24"/>
                <w:lang w:val="en-US" w:eastAsia="zh-CN"/>
              </w:rPr>
              <w:t>股</w:t>
            </w:r>
            <w:r>
              <w:rPr>
                <w:rFonts w:hint="eastAsia" w:ascii="黑体" w:hAnsi="黑体" w:eastAsia="黑体" w:cs="黑体"/>
                <w:b w:val="0"/>
                <w:bCs w:val="0"/>
                <w:color w:val="000000"/>
                <w:kern w:val="0"/>
                <w:sz w:val="24"/>
                <w:szCs w:val="24"/>
              </w:rPr>
              <w:t>室</w:t>
            </w:r>
          </w:p>
        </w:tc>
      </w:tr>
      <w:tr w14:paraId="62210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793" w:type="dxa"/>
            <w:vMerge w:val="restart"/>
            <w:noWrap w:val="0"/>
            <w:vAlign w:val="center"/>
          </w:tcPr>
          <w:p w14:paraId="78DD999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w:t>
            </w:r>
          </w:p>
        </w:tc>
        <w:tc>
          <w:tcPr>
            <w:tcW w:w="1290" w:type="dxa"/>
            <w:gridSpan w:val="2"/>
            <w:vMerge w:val="restart"/>
            <w:noWrap w:val="0"/>
            <w:vAlign w:val="center"/>
          </w:tcPr>
          <w:p w14:paraId="1F10F87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对散装水泥使用量达不到70%的水泥制品生产企业违反《河南省散装水泥管理规定》行为的处罚</w:t>
            </w:r>
          </w:p>
        </w:tc>
        <w:tc>
          <w:tcPr>
            <w:tcW w:w="4034" w:type="dxa"/>
            <w:vMerge w:val="restart"/>
            <w:noWrap w:val="0"/>
            <w:vAlign w:val="center"/>
          </w:tcPr>
          <w:p w14:paraId="19E5ECD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河南省发展散装水泥管理规定》（省政府令第121号）第二十条第二款：“违反本规定第八条第一款的规定,散装水泥使用量达不到70%的水泥制品生产企业,由散装水泥行政主管部门委托散装水泥管理机构责令限期改正,并处以每立方米混凝土100元、每吨砂浆200元或者每吨袋装水泥300元的罚款,但罚款总额不超过30000元。</w:t>
            </w:r>
          </w:p>
        </w:tc>
        <w:tc>
          <w:tcPr>
            <w:tcW w:w="1245" w:type="dxa"/>
            <w:vMerge w:val="restart"/>
            <w:noWrap w:val="0"/>
            <w:vAlign w:val="center"/>
          </w:tcPr>
          <w:p w14:paraId="5C6AD1E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行政处罚</w:t>
            </w:r>
          </w:p>
        </w:tc>
        <w:tc>
          <w:tcPr>
            <w:tcW w:w="1335" w:type="dxa"/>
            <w:noWrap w:val="0"/>
            <w:vAlign w:val="center"/>
          </w:tcPr>
          <w:p w14:paraId="6F95DA7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center"/>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立案</w:t>
            </w:r>
          </w:p>
        </w:tc>
        <w:tc>
          <w:tcPr>
            <w:tcW w:w="6945" w:type="dxa"/>
            <w:noWrap w:val="0"/>
            <w:vAlign w:val="center"/>
          </w:tcPr>
          <w:p w14:paraId="64575FB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rPr>
              <w:t>接到案件线索后，予以调查，决定是否立案。</w:t>
            </w:r>
          </w:p>
        </w:tc>
        <w:tc>
          <w:tcPr>
            <w:tcW w:w="4365" w:type="dxa"/>
            <w:vMerge w:val="restart"/>
            <w:noWrap w:val="0"/>
            <w:vAlign w:val="center"/>
          </w:tcPr>
          <w:p w14:paraId="7C6D132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因不履行或不正确履行行政职责，出现以下情形的，行政机关及其相关人员应承担相应责任：</w:t>
            </w:r>
          </w:p>
          <w:p w14:paraId="49E6FF6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1.不具备行政执法资格实施行政处罚的；</w:t>
            </w:r>
          </w:p>
          <w:p w14:paraId="2727721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2.无法律或事实依据实施行政处罚的；</w:t>
            </w:r>
          </w:p>
          <w:p w14:paraId="1BDD3F6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3.违反规定改变处罚种类或者处罚幅度的；</w:t>
            </w:r>
          </w:p>
          <w:p w14:paraId="560F295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4.违反法定程序进行处罚的；</w:t>
            </w:r>
          </w:p>
          <w:p w14:paraId="06F99A4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5.依法应组织听证而没有组织听证的；</w:t>
            </w:r>
          </w:p>
          <w:p w14:paraId="2639DA8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6.对应当予以制止和处罚的违法节约能源有关法律法规的行为不予制止、处罚的；</w:t>
            </w:r>
          </w:p>
          <w:p w14:paraId="55A74A0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7.利用职权收受贿赂或者获取不正当利益的；滥用职权或者玩忽职守侵犯行政相对人合法权利的；</w:t>
            </w:r>
          </w:p>
          <w:p w14:paraId="14D912E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8.其他违反法律法规规章文件的行为。</w:t>
            </w:r>
          </w:p>
        </w:tc>
        <w:tc>
          <w:tcPr>
            <w:tcW w:w="1485" w:type="dxa"/>
            <w:vMerge w:val="restart"/>
            <w:noWrap w:val="0"/>
            <w:vAlign w:val="center"/>
          </w:tcPr>
          <w:p w14:paraId="12E2EB7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市场秩序股</w:t>
            </w:r>
            <w:r>
              <w:rPr>
                <w:rFonts w:hint="eastAsia" w:ascii="仿宋" w:hAnsi="仿宋" w:eastAsia="仿宋" w:cs="仿宋"/>
                <w:color w:val="000000"/>
                <w:kern w:val="0"/>
                <w:sz w:val="24"/>
                <w:szCs w:val="24"/>
              </w:rPr>
              <w:t>办公室</w:t>
            </w:r>
          </w:p>
        </w:tc>
      </w:tr>
      <w:tr w14:paraId="005A8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trPr>
        <w:tc>
          <w:tcPr>
            <w:tcW w:w="793" w:type="dxa"/>
            <w:vMerge w:val="continue"/>
            <w:noWrap w:val="0"/>
            <w:vAlign w:val="center"/>
          </w:tcPr>
          <w:p w14:paraId="1CFEAD3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90" w:type="dxa"/>
            <w:gridSpan w:val="2"/>
            <w:vMerge w:val="continue"/>
            <w:noWrap w:val="0"/>
            <w:vAlign w:val="center"/>
          </w:tcPr>
          <w:p w14:paraId="2F29270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7D23228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4BBD0DF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335" w:type="dxa"/>
            <w:noWrap w:val="0"/>
            <w:vAlign w:val="center"/>
          </w:tcPr>
          <w:p w14:paraId="0A9995A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center"/>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调查</w:t>
            </w:r>
          </w:p>
        </w:tc>
        <w:tc>
          <w:tcPr>
            <w:tcW w:w="6945" w:type="dxa"/>
            <w:noWrap w:val="0"/>
            <w:vAlign w:val="center"/>
          </w:tcPr>
          <w:p w14:paraId="6A64232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rPr>
              <w:t>对立案的案件，案件承办人员及时、全面、客观、公正地调查收集与案件有关的证据，查明事实，执法人员进行现场检查。与当事人有直接利害关系的应当回避；在调查或检查时，执法人员不得少于两人；并应当向当事人或有关人员出示执法证件</w:t>
            </w:r>
            <w:r>
              <w:rPr>
                <w:rFonts w:hint="eastAsia" w:ascii="仿宋" w:hAnsi="仿宋" w:eastAsia="仿宋" w:cs="仿宋"/>
                <w:color w:val="000000"/>
                <w:kern w:val="0"/>
                <w:sz w:val="20"/>
                <w:szCs w:val="20"/>
                <w:lang w:eastAsia="zh-CN"/>
              </w:rPr>
              <w:t>。</w:t>
            </w:r>
          </w:p>
        </w:tc>
        <w:tc>
          <w:tcPr>
            <w:tcW w:w="4365" w:type="dxa"/>
            <w:vMerge w:val="continue"/>
            <w:noWrap w:val="0"/>
            <w:vAlign w:val="center"/>
          </w:tcPr>
          <w:p w14:paraId="717AAB4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09AC900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3FC8F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3" w:type="dxa"/>
            <w:vMerge w:val="continue"/>
            <w:noWrap w:val="0"/>
            <w:vAlign w:val="center"/>
          </w:tcPr>
          <w:p w14:paraId="245112E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90" w:type="dxa"/>
            <w:gridSpan w:val="2"/>
            <w:vMerge w:val="continue"/>
            <w:noWrap w:val="0"/>
            <w:vAlign w:val="center"/>
          </w:tcPr>
          <w:p w14:paraId="33A7ADF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2516BFF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230E2B0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335" w:type="dxa"/>
            <w:noWrap w:val="0"/>
            <w:vAlign w:val="center"/>
          </w:tcPr>
          <w:p w14:paraId="321CDB6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center"/>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审查</w:t>
            </w:r>
          </w:p>
        </w:tc>
        <w:tc>
          <w:tcPr>
            <w:tcW w:w="6945" w:type="dxa"/>
            <w:noWrap w:val="0"/>
            <w:vAlign w:val="center"/>
          </w:tcPr>
          <w:p w14:paraId="0E4110D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对案件违法事实、证据、调查取证程序、法律适用、处罚种类和幅度、当事人陈诉和申辩理由等方面进行审查，提出处理意见。</w:t>
            </w:r>
          </w:p>
        </w:tc>
        <w:tc>
          <w:tcPr>
            <w:tcW w:w="4365" w:type="dxa"/>
            <w:vMerge w:val="continue"/>
            <w:noWrap w:val="0"/>
            <w:vAlign w:val="center"/>
          </w:tcPr>
          <w:p w14:paraId="75AE36E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1416692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21019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793" w:type="dxa"/>
            <w:vMerge w:val="continue"/>
            <w:noWrap w:val="0"/>
            <w:vAlign w:val="center"/>
          </w:tcPr>
          <w:p w14:paraId="7B658DF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90" w:type="dxa"/>
            <w:gridSpan w:val="2"/>
            <w:vMerge w:val="continue"/>
            <w:noWrap w:val="0"/>
            <w:vAlign w:val="center"/>
          </w:tcPr>
          <w:p w14:paraId="29CE6AB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04AB40C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3454617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335" w:type="dxa"/>
            <w:noWrap w:val="0"/>
            <w:vAlign w:val="center"/>
          </w:tcPr>
          <w:p w14:paraId="6EE4AF7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center"/>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告知</w:t>
            </w:r>
          </w:p>
        </w:tc>
        <w:tc>
          <w:tcPr>
            <w:tcW w:w="6945" w:type="dxa"/>
            <w:noWrap w:val="0"/>
            <w:vAlign w:val="center"/>
          </w:tcPr>
          <w:p w14:paraId="376F035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在作出行政处罚决定前，书面告知当事人拟作出处罚决定的事实、理由、依据、处罚内容，以及当事人享有的陈述权、申辩权和听证权。</w:t>
            </w:r>
          </w:p>
        </w:tc>
        <w:tc>
          <w:tcPr>
            <w:tcW w:w="4365" w:type="dxa"/>
            <w:vMerge w:val="continue"/>
            <w:noWrap w:val="0"/>
            <w:vAlign w:val="center"/>
          </w:tcPr>
          <w:p w14:paraId="6E2E332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16CB1F8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41336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793" w:type="dxa"/>
            <w:vMerge w:val="continue"/>
            <w:noWrap w:val="0"/>
            <w:vAlign w:val="center"/>
          </w:tcPr>
          <w:p w14:paraId="5C87F4F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90" w:type="dxa"/>
            <w:gridSpan w:val="2"/>
            <w:vMerge w:val="continue"/>
            <w:noWrap w:val="0"/>
            <w:vAlign w:val="center"/>
          </w:tcPr>
          <w:p w14:paraId="2ED5548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1DC8966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3946D2D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335" w:type="dxa"/>
            <w:noWrap w:val="0"/>
            <w:vAlign w:val="center"/>
          </w:tcPr>
          <w:p w14:paraId="390EC17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center"/>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决定</w:t>
            </w:r>
          </w:p>
        </w:tc>
        <w:tc>
          <w:tcPr>
            <w:tcW w:w="6945" w:type="dxa"/>
            <w:noWrap w:val="0"/>
            <w:vAlign w:val="center"/>
          </w:tcPr>
          <w:p w14:paraId="17A18C0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依法需要给予行政处罚决定的，应制作《行政处罚决定书》，载明违法事实和证据、处罚依据和内容、申请行政复议或提起行政诉讼的途径和期限等内容。</w:t>
            </w:r>
          </w:p>
        </w:tc>
        <w:tc>
          <w:tcPr>
            <w:tcW w:w="4365" w:type="dxa"/>
            <w:vMerge w:val="continue"/>
            <w:noWrap w:val="0"/>
            <w:vAlign w:val="center"/>
          </w:tcPr>
          <w:p w14:paraId="159F5EE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201A5BB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418FF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793" w:type="dxa"/>
            <w:vMerge w:val="continue"/>
            <w:noWrap w:val="0"/>
            <w:vAlign w:val="center"/>
          </w:tcPr>
          <w:p w14:paraId="42B0D42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90" w:type="dxa"/>
            <w:gridSpan w:val="2"/>
            <w:vMerge w:val="continue"/>
            <w:noWrap w:val="0"/>
            <w:vAlign w:val="center"/>
          </w:tcPr>
          <w:p w14:paraId="10EEA2F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6DA712D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17A479F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335" w:type="dxa"/>
            <w:noWrap w:val="0"/>
            <w:vAlign w:val="center"/>
          </w:tcPr>
          <w:p w14:paraId="4ACD9DF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center"/>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送达</w:t>
            </w:r>
          </w:p>
        </w:tc>
        <w:tc>
          <w:tcPr>
            <w:tcW w:w="6945" w:type="dxa"/>
            <w:noWrap w:val="0"/>
            <w:vAlign w:val="center"/>
          </w:tcPr>
          <w:p w14:paraId="22BF92C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行政处罚决定书应当在宣告后当场交付当事人；当事人不在场的，行政机关应当在七日内依照民事诉讼法的有关规定，将行政处罚决定书送达当事人或其委托代表人。</w:t>
            </w:r>
          </w:p>
        </w:tc>
        <w:tc>
          <w:tcPr>
            <w:tcW w:w="4365" w:type="dxa"/>
            <w:vMerge w:val="continue"/>
            <w:noWrap w:val="0"/>
            <w:vAlign w:val="center"/>
          </w:tcPr>
          <w:p w14:paraId="687764B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766B3E5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61E76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793" w:type="dxa"/>
            <w:vMerge w:val="continue"/>
            <w:noWrap w:val="0"/>
            <w:vAlign w:val="center"/>
          </w:tcPr>
          <w:p w14:paraId="2FC4533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90" w:type="dxa"/>
            <w:gridSpan w:val="2"/>
            <w:vMerge w:val="continue"/>
            <w:noWrap w:val="0"/>
            <w:vAlign w:val="center"/>
          </w:tcPr>
          <w:p w14:paraId="1F54EBD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12C540D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6A8BC58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335" w:type="dxa"/>
            <w:noWrap w:val="0"/>
            <w:vAlign w:val="center"/>
          </w:tcPr>
          <w:p w14:paraId="284C668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center"/>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执行</w:t>
            </w:r>
          </w:p>
        </w:tc>
        <w:tc>
          <w:tcPr>
            <w:tcW w:w="6945" w:type="dxa"/>
            <w:noWrap w:val="0"/>
            <w:vAlign w:val="center"/>
          </w:tcPr>
          <w:p w14:paraId="3A5233D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rPr>
              <w:t>监督当事人在决定的期限内（15日内），履行生效的行政处罚决定，当事人在法定期限内没有申请行政复议或提起行政诉讼，又不履行的，可申请人民法院强制执行。</w:t>
            </w:r>
          </w:p>
        </w:tc>
        <w:tc>
          <w:tcPr>
            <w:tcW w:w="4365" w:type="dxa"/>
            <w:vMerge w:val="continue"/>
            <w:noWrap w:val="0"/>
            <w:vAlign w:val="center"/>
          </w:tcPr>
          <w:p w14:paraId="6DB0AA0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5E13101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2EAA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blHeader/>
        </w:trPr>
        <w:tc>
          <w:tcPr>
            <w:tcW w:w="793" w:type="dxa"/>
            <w:vMerge w:val="restart"/>
            <w:shd w:val="clear" w:color="auto" w:fill="auto"/>
            <w:noWrap w:val="0"/>
            <w:vAlign w:val="center"/>
          </w:tcPr>
          <w:p w14:paraId="1C2B43B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2</w:t>
            </w:r>
          </w:p>
        </w:tc>
        <w:tc>
          <w:tcPr>
            <w:tcW w:w="1290" w:type="dxa"/>
            <w:gridSpan w:val="2"/>
            <w:vMerge w:val="restart"/>
            <w:shd w:val="clear" w:color="auto" w:fill="auto"/>
            <w:noWrap w:val="0"/>
            <w:vAlign w:val="center"/>
          </w:tcPr>
          <w:p w14:paraId="7FAD5FF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对汽车销售企业违反《汽车销售管理办法》行为的处罚</w:t>
            </w:r>
          </w:p>
        </w:tc>
        <w:tc>
          <w:tcPr>
            <w:tcW w:w="4034" w:type="dxa"/>
            <w:vMerge w:val="restart"/>
            <w:shd w:val="clear" w:color="auto" w:fill="auto"/>
            <w:noWrap w:val="0"/>
            <w:vAlign w:val="center"/>
          </w:tcPr>
          <w:p w14:paraId="2DDEA8D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汽车销售管理办法》违反本办法第十条、第十二条、第十四条、第十七条第一款、第二十一条、第二十三条第二款、第二十四条、第二十五条、第二十六条有关规定的，由县级以上地方商务主管部门责令改正，并可给予警告或3万元以下罚款。</w:t>
            </w:r>
          </w:p>
        </w:tc>
        <w:tc>
          <w:tcPr>
            <w:tcW w:w="1245" w:type="dxa"/>
            <w:vMerge w:val="restart"/>
            <w:shd w:val="clear" w:color="auto" w:fill="auto"/>
            <w:noWrap w:val="0"/>
            <w:vAlign w:val="center"/>
          </w:tcPr>
          <w:p w14:paraId="692B120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行政处罚</w:t>
            </w:r>
          </w:p>
        </w:tc>
        <w:tc>
          <w:tcPr>
            <w:tcW w:w="1335" w:type="dxa"/>
            <w:shd w:val="clear" w:color="auto" w:fill="auto"/>
            <w:noWrap w:val="0"/>
            <w:vAlign w:val="center"/>
          </w:tcPr>
          <w:p w14:paraId="2DA8DD1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center"/>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初步调查</w:t>
            </w:r>
          </w:p>
        </w:tc>
        <w:tc>
          <w:tcPr>
            <w:tcW w:w="6945" w:type="dxa"/>
            <w:shd w:val="clear" w:color="auto" w:fill="auto"/>
            <w:noWrap w:val="0"/>
            <w:vAlign w:val="center"/>
          </w:tcPr>
          <w:p w14:paraId="74A13E4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由商务稽查</w:t>
            </w:r>
            <w:r>
              <w:rPr>
                <w:rFonts w:hint="eastAsia" w:ascii="仿宋" w:hAnsi="仿宋" w:eastAsia="仿宋" w:cs="仿宋"/>
                <w:color w:val="000000"/>
                <w:kern w:val="0"/>
                <w:sz w:val="20"/>
                <w:szCs w:val="20"/>
                <w:lang w:val="en-US" w:eastAsia="zh-CN"/>
              </w:rPr>
              <w:t>大</w:t>
            </w:r>
            <w:r>
              <w:rPr>
                <w:rFonts w:hint="eastAsia" w:ascii="仿宋" w:hAnsi="仿宋" w:eastAsia="仿宋" w:cs="仿宋"/>
                <w:color w:val="000000"/>
                <w:kern w:val="0"/>
                <w:sz w:val="20"/>
                <w:szCs w:val="20"/>
              </w:rPr>
              <w:t>队发现或者接到举报有相关违法行为时，进行初步调查</w:t>
            </w:r>
            <w:r>
              <w:rPr>
                <w:rFonts w:hint="eastAsia" w:ascii="仿宋" w:hAnsi="仿宋" w:eastAsia="仿宋" w:cs="仿宋"/>
                <w:color w:val="000000"/>
                <w:kern w:val="0"/>
                <w:sz w:val="20"/>
                <w:szCs w:val="20"/>
                <w:lang w:eastAsia="zh-CN"/>
              </w:rPr>
              <w:t>。</w:t>
            </w:r>
          </w:p>
        </w:tc>
        <w:tc>
          <w:tcPr>
            <w:tcW w:w="4365" w:type="dxa"/>
            <w:vMerge w:val="restart"/>
            <w:shd w:val="clear" w:color="auto" w:fill="auto"/>
            <w:noWrap w:val="0"/>
            <w:vAlign w:val="center"/>
          </w:tcPr>
          <w:p w14:paraId="33F36E2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因不履行或不正确履行行政职责，出现以下情形的，行政机关及其相关人员应承担相应责任：</w:t>
            </w:r>
          </w:p>
          <w:p w14:paraId="27D67DD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1.不具备行政执法资格实施行政处罚的；</w:t>
            </w:r>
          </w:p>
          <w:p w14:paraId="69BF947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2.无法律或事实依据实施行政处罚的；</w:t>
            </w:r>
          </w:p>
          <w:p w14:paraId="7AE04F1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3.违反规定改变处罚种类或者处罚幅度的；</w:t>
            </w:r>
          </w:p>
          <w:p w14:paraId="6BF63BC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4.违反法定程序进行处罚的；</w:t>
            </w:r>
          </w:p>
          <w:p w14:paraId="028AC47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5.依法应组织听证而没有组织听证的；</w:t>
            </w:r>
          </w:p>
          <w:p w14:paraId="7CC51EF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6.对应当予以制止和处罚的违法节约能源有关法律法规的行为不予制止、处罚的；</w:t>
            </w:r>
          </w:p>
          <w:p w14:paraId="1D38219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7.利用职权收受贿赂或者获取不正当利益的；滥用职权或者玩忽职守侵犯行政相对人合法权利的；</w:t>
            </w:r>
          </w:p>
          <w:p w14:paraId="2FA67B1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8.其他违反法律法规规章文件的行为。</w:t>
            </w:r>
          </w:p>
        </w:tc>
        <w:tc>
          <w:tcPr>
            <w:tcW w:w="1485" w:type="dxa"/>
            <w:vMerge w:val="restart"/>
            <w:shd w:val="clear" w:color="auto" w:fill="auto"/>
            <w:noWrap w:val="0"/>
            <w:vAlign w:val="center"/>
          </w:tcPr>
          <w:p w14:paraId="4E1BDE5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市场秩序股</w:t>
            </w:r>
          </w:p>
        </w:tc>
      </w:tr>
      <w:tr w14:paraId="568CA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blHeader/>
        </w:trPr>
        <w:tc>
          <w:tcPr>
            <w:tcW w:w="793" w:type="dxa"/>
            <w:vMerge w:val="continue"/>
            <w:noWrap w:val="0"/>
            <w:vAlign w:val="center"/>
          </w:tcPr>
          <w:p w14:paraId="31579D54">
            <w:pPr>
              <w:widowControl/>
              <w:jc w:val="center"/>
              <w:textAlignment w:val="center"/>
              <w:rPr>
                <w:rFonts w:hint="eastAsia" w:ascii="黑体" w:hAnsi="黑体" w:eastAsia="黑体" w:cs="黑体"/>
                <w:b w:val="0"/>
                <w:bCs w:val="0"/>
                <w:color w:val="000000"/>
                <w:kern w:val="0"/>
                <w:sz w:val="24"/>
                <w:szCs w:val="24"/>
              </w:rPr>
            </w:pPr>
          </w:p>
        </w:tc>
        <w:tc>
          <w:tcPr>
            <w:tcW w:w="1290" w:type="dxa"/>
            <w:gridSpan w:val="2"/>
            <w:vMerge w:val="continue"/>
            <w:noWrap w:val="0"/>
            <w:vAlign w:val="center"/>
          </w:tcPr>
          <w:p w14:paraId="2E623EE0">
            <w:pPr>
              <w:widowControl/>
              <w:jc w:val="center"/>
              <w:textAlignment w:val="center"/>
              <w:rPr>
                <w:rFonts w:hint="eastAsia" w:ascii="黑体" w:hAnsi="黑体" w:eastAsia="黑体" w:cs="黑体"/>
                <w:b w:val="0"/>
                <w:bCs w:val="0"/>
                <w:color w:val="000000"/>
                <w:kern w:val="0"/>
                <w:sz w:val="24"/>
                <w:szCs w:val="24"/>
              </w:rPr>
            </w:pPr>
          </w:p>
        </w:tc>
        <w:tc>
          <w:tcPr>
            <w:tcW w:w="4034" w:type="dxa"/>
            <w:vMerge w:val="continue"/>
            <w:noWrap w:val="0"/>
            <w:vAlign w:val="center"/>
          </w:tcPr>
          <w:p w14:paraId="5BCB53FA">
            <w:pPr>
              <w:widowControl/>
              <w:jc w:val="center"/>
              <w:textAlignment w:val="center"/>
              <w:rPr>
                <w:rFonts w:hint="eastAsia" w:ascii="黑体" w:hAnsi="黑体" w:eastAsia="黑体" w:cs="黑体"/>
                <w:b w:val="0"/>
                <w:bCs w:val="0"/>
                <w:color w:val="000000"/>
                <w:kern w:val="0"/>
                <w:sz w:val="24"/>
                <w:szCs w:val="24"/>
              </w:rPr>
            </w:pPr>
          </w:p>
        </w:tc>
        <w:tc>
          <w:tcPr>
            <w:tcW w:w="1245" w:type="dxa"/>
            <w:vMerge w:val="continue"/>
            <w:noWrap w:val="0"/>
            <w:vAlign w:val="center"/>
          </w:tcPr>
          <w:p w14:paraId="3E6FE883">
            <w:pPr>
              <w:widowControl/>
              <w:jc w:val="center"/>
              <w:textAlignment w:val="center"/>
              <w:rPr>
                <w:rFonts w:hint="eastAsia" w:ascii="黑体" w:hAnsi="黑体" w:eastAsia="黑体" w:cs="黑体"/>
                <w:b w:val="0"/>
                <w:bCs w:val="0"/>
                <w:color w:val="000000"/>
                <w:kern w:val="0"/>
                <w:sz w:val="24"/>
                <w:szCs w:val="24"/>
              </w:rPr>
            </w:pPr>
          </w:p>
        </w:tc>
        <w:tc>
          <w:tcPr>
            <w:tcW w:w="1335" w:type="dxa"/>
            <w:shd w:val="clear" w:color="auto" w:fill="auto"/>
            <w:noWrap w:val="0"/>
            <w:vAlign w:val="center"/>
          </w:tcPr>
          <w:p w14:paraId="42E2976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center"/>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立案</w:t>
            </w:r>
          </w:p>
        </w:tc>
        <w:tc>
          <w:tcPr>
            <w:tcW w:w="6945" w:type="dxa"/>
            <w:shd w:val="clear" w:color="auto" w:fill="auto"/>
            <w:noWrap w:val="0"/>
            <w:vAlign w:val="center"/>
          </w:tcPr>
          <w:p w14:paraId="1121184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属于商务行政处罚范围的，予以立案。</w:t>
            </w:r>
          </w:p>
        </w:tc>
        <w:tc>
          <w:tcPr>
            <w:tcW w:w="4365" w:type="dxa"/>
            <w:vMerge w:val="continue"/>
            <w:noWrap w:val="0"/>
            <w:vAlign w:val="center"/>
          </w:tcPr>
          <w:p w14:paraId="395258AC">
            <w:pPr>
              <w:widowControl/>
              <w:jc w:val="center"/>
              <w:textAlignment w:val="center"/>
              <w:rPr>
                <w:rFonts w:hint="eastAsia" w:ascii="黑体" w:hAnsi="黑体" w:eastAsia="黑体" w:cs="黑体"/>
                <w:b w:val="0"/>
                <w:bCs w:val="0"/>
                <w:color w:val="000000"/>
                <w:kern w:val="0"/>
                <w:sz w:val="24"/>
                <w:szCs w:val="24"/>
                <w:lang w:val="en-US" w:eastAsia="zh-CN"/>
              </w:rPr>
            </w:pPr>
          </w:p>
        </w:tc>
        <w:tc>
          <w:tcPr>
            <w:tcW w:w="1485" w:type="dxa"/>
            <w:vMerge w:val="continue"/>
            <w:noWrap w:val="0"/>
            <w:vAlign w:val="center"/>
          </w:tcPr>
          <w:p w14:paraId="15679D2D">
            <w:pPr>
              <w:widowControl/>
              <w:jc w:val="center"/>
              <w:textAlignment w:val="center"/>
              <w:rPr>
                <w:rFonts w:hint="eastAsia" w:ascii="黑体" w:hAnsi="黑体" w:eastAsia="黑体" w:cs="黑体"/>
                <w:b w:val="0"/>
                <w:bCs w:val="0"/>
                <w:color w:val="000000"/>
                <w:kern w:val="0"/>
                <w:sz w:val="24"/>
                <w:szCs w:val="24"/>
              </w:rPr>
            </w:pPr>
          </w:p>
        </w:tc>
      </w:tr>
      <w:tr w14:paraId="241C6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793" w:type="dxa"/>
            <w:vMerge w:val="restart"/>
            <w:shd w:val="clear" w:color="auto" w:fill="auto"/>
            <w:noWrap w:val="0"/>
            <w:vAlign w:val="center"/>
          </w:tcPr>
          <w:p w14:paraId="6D73F6C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center"/>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3</w:t>
            </w:r>
          </w:p>
        </w:tc>
        <w:tc>
          <w:tcPr>
            <w:tcW w:w="1290" w:type="dxa"/>
            <w:gridSpan w:val="2"/>
            <w:vMerge w:val="restart"/>
            <w:shd w:val="clear" w:color="auto" w:fill="auto"/>
            <w:noWrap w:val="0"/>
            <w:vAlign w:val="center"/>
          </w:tcPr>
          <w:p w14:paraId="53DE364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对发卡企业未按规定办理备案及其他违反《单用途商业预付卡管理办法（试行）》行为的处罚</w:t>
            </w:r>
          </w:p>
        </w:tc>
        <w:tc>
          <w:tcPr>
            <w:tcW w:w="4034" w:type="dxa"/>
            <w:vMerge w:val="restart"/>
            <w:shd w:val="clear" w:color="auto" w:fill="auto"/>
            <w:noWrap w:val="0"/>
            <w:vAlign w:val="center"/>
          </w:tcPr>
          <w:p w14:paraId="68F54ED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《单用途商业预付卡管理办法（试行）》（商务部令2012年第9号）　第三十六条　发卡企业违反本办法第七条规定的，由违法行为发生地县级以上地方人民政府商务主管部门责令限期改正；逾期仍不改正的，处以1万元以上3万元以下罚款。第三十七条　发卡企业或售卡企业违反本办法第十四条至第二十二条规定的，由违法行为发生地县级以上地方人民政府商务主管部门责令限期改正；逾期仍不改正的，处以1万元以上3万元以下罚款。发卡企业违反本办法第二十四条至第二十七条、第三十一条规定的，由备案机关责令限期改正；逾期仍不改正的，处以1万元以上3万元以下罚款。集团发卡企业、品牌发卡企业疏于管理，其隶属的售卡企业12个月内3次违反本办法规定受到行政处罚的，备案机关可以对集团发卡企业、品牌发卡企业处以3万元以下罚款。第三十八条　发卡企业违反本办法第二十九条规定，造成重大损失的，由备案机关处以1万元以上3万元以下罚款。第三十九条　发卡企业和售卡企业违反本办法受到行政处罚的，由实施处罚的商务主管部门在指定媒体上公示处罚信息</w:t>
            </w:r>
          </w:p>
        </w:tc>
        <w:tc>
          <w:tcPr>
            <w:tcW w:w="1245" w:type="dxa"/>
            <w:vMerge w:val="restart"/>
            <w:shd w:val="clear" w:color="auto" w:fill="auto"/>
            <w:noWrap w:val="0"/>
            <w:vAlign w:val="center"/>
          </w:tcPr>
          <w:p w14:paraId="19C5AD6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行政处罚</w:t>
            </w:r>
          </w:p>
        </w:tc>
        <w:tc>
          <w:tcPr>
            <w:tcW w:w="1335" w:type="dxa"/>
            <w:shd w:val="clear" w:color="auto" w:fill="auto"/>
            <w:noWrap w:val="0"/>
            <w:vAlign w:val="center"/>
          </w:tcPr>
          <w:p w14:paraId="7354E3A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初步调查</w:t>
            </w:r>
          </w:p>
        </w:tc>
        <w:tc>
          <w:tcPr>
            <w:tcW w:w="6945" w:type="dxa"/>
            <w:shd w:val="clear" w:color="auto" w:fill="auto"/>
            <w:noWrap w:val="0"/>
            <w:vAlign w:val="center"/>
          </w:tcPr>
          <w:p w14:paraId="45D0B34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由商务稽查</w:t>
            </w:r>
            <w:r>
              <w:rPr>
                <w:rFonts w:hint="eastAsia" w:ascii="仿宋" w:hAnsi="仿宋" w:eastAsia="仿宋" w:cs="仿宋"/>
                <w:color w:val="000000"/>
                <w:kern w:val="0"/>
                <w:sz w:val="20"/>
                <w:szCs w:val="20"/>
                <w:lang w:eastAsia="zh-CN"/>
              </w:rPr>
              <w:t>大</w:t>
            </w:r>
            <w:r>
              <w:rPr>
                <w:rFonts w:hint="eastAsia" w:ascii="仿宋" w:hAnsi="仿宋" w:eastAsia="仿宋" w:cs="仿宋"/>
                <w:color w:val="000000"/>
                <w:kern w:val="0"/>
                <w:sz w:val="20"/>
                <w:szCs w:val="20"/>
              </w:rPr>
              <w:t>队对案件进行初步调查</w:t>
            </w:r>
            <w:r>
              <w:rPr>
                <w:rFonts w:hint="eastAsia" w:ascii="仿宋" w:hAnsi="仿宋" w:eastAsia="仿宋" w:cs="仿宋"/>
                <w:color w:val="000000"/>
                <w:kern w:val="0"/>
                <w:sz w:val="20"/>
                <w:szCs w:val="20"/>
                <w:lang w:eastAsia="zh-CN"/>
              </w:rPr>
              <w:t>。</w:t>
            </w:r>
          </w:p>
        </w:tc>
        <w:tc>
          <w:tcPr>
            <w:tcW w:w="4365" w:type="dxa"/>
            <w:vMerge w:val="restart"/>
            <w:shd w:val="clear" w:color="auto" w:fill="auto"/>
            <w:noWrap w:val="0"/>
            <w:vAlign w:val="center"/>
          </w:tcPr>
          <w:p w14:paraId="1713E7B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因不履行或不正确履行行政职责，出现以下情形的，行政机关及其相关人员应承担相应责任：</w:t>
            </w:r>
          </w:p>
          <w:p w14:paraId="1D897AA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1.不具备行政执法资格实施行政处罚的；</w:t>
            </w:r>
          </w:p>
          <w:p w14:paraId="3E4E99C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2.无法律或事实依据实施行政处罚的；</w:t>
            </w:r>
          </w:p>
          <w:p w14:paraId="0B375AC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3.违反规定改变处罚种类或者处罚幅度的；</w:t>
            </w:r>
          </w:p>
          <w:p w14:paraId="27FBC08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4.违反法定程序进行处罚的；</w:t>
            </w:r>
          </w:p>
          <w:p w14:paraId="3C087DD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5.依法应组织听证而没有组织听证的；</w:t>
            </w:r>
          </w:p>
          <w:p w14:paraId="6C4E9CC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6.对应当予以制止和处罚的违法节约能源有关法律法规的行为不予制止、处罚的；</w:t>
            </w:r>
          </w:p>
          <w:p w14:paraId="562A461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7.利用职权收受贿赂或者获取不正当利益的；滥用职权或者玩忽职守侵犯行政相对人合法权利的；</w:t>
            </w:r>
          </w:p>
          <w:p w14:paraId="42935D5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8.其他违反法律法规规章文件的行为。</w:t>
            </w:r>
          </w:p>
        </w:tc>
        <w:tc>
          <w:tcPr>
            <w:tcW w:w="1485" w:type="dxa"/>
            <w:shd w:val="clear" w:color="auto" w:fill="auto"/>
            <w:noWrap w:val="0"/>
            <w:vAlign w:val="center"/>
          </w:tcPr>
          <w:p w14:paraId="6244ED9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市场秩序股</w:t>
            </w:r>
          </w:p>
        </w:tc>
      </w:tr>
      <w:tr w14:paraId="1ED77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793" w:type="dxa"/>
            <w:vMerge w:val="continue"/>
            <w:noWrap w:val="0"/>
            <w:vAlign w:val="center"/>
          </w:tcPr>
          <w:p w14:paraId="39250ED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52940CD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309CE07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7423B70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025E15E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立案</w:t>
            </w:r>
          </w:p>
        </w:tc>
        <w:tc>
          <w:tcPr>
            <w:tcW w:w="6945" w:type="dxa"/>
            <w:shd w:val="clear" w:color="auto" w:fill="auto"/>
            <w:noWrap w:val="0"/>
            <w:vAlign w:val="center"/>
          </w:tcPr>
          <w:p w14:paraId="2FAB6B0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属于商务行政处罚范围的，予以立案</w:t>
            </w:r>
            <w:r>
              <w:rPr>
                <w:rFonts w:hint="eastAsia" w:ascii="仿宋" w:hAnsi="仿宋" w:eastAsia="仿宋" w:cs="仿宋"/>
                <w:color w:val="000000"/>
                <w:kern w:val="0"/>
                <w:sz w:val="20"/>
                <w:szCs w:val="20"/>
                <w:lang w:eastAsia="zh-CN"/>
              </w:rPr>
              <w:t>。</w:t>
            </w:r>
          </w:p>
        </w:tc>
        <w:tc>
          <w:tcPr>
            <w:tcW w:w="4365" w:type="dxa"/>
            <w:vMerge w:val="continue"/>
            <w:noWrap w:val="0"/>
            <w:vAlign w:val="center"/>
          </w:tcPr>
          <w:p w14:paraId="19828BB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restart"/>
            <w:noWrap w:val="0"/>
            <w:vAlign w:val="center"/>
          </w:tcPr>
          <w:p w14:paraId="45555A6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4B9E4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793" w:type="dxa"/>
            <w:vMerge w:val="continue"/>
            <w:noWrap w:val="0"/>
            <w:vAlign w:val="center"/>
          </w:tcPr>
          <w:p w14:paraId="76BB01A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3059810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15BC0F1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5CE18C0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6230136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立案调查</w:t>
            </w:r>
          </w:p>
        </w:tc>
        <w:tc>
          <w:tcPr>
            <w:tcW w:w="6945" w:type="dxa"/>
            <w:shd w:val="clear" w:color="auto" w:fill="auto"/>
            <w:noWrap w:val="0"/>
            <w:vAlign w:val="center"/>
          </w:tcPr>
          <w:p w14:paraId="194A9E0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由商务主管部门负责人批准，确定两名以上执法人员为案件承办人负责案件调查，对案件当事人及相关证人进行询问并制作询问笔录</w:t>
            </w:r>
            <w:r>
              <w:rPr>
                <w:rFonts w:hint="eastAsia" w:ascii="仿宋" w:hAnsi="仿宋" w:eastAsia="仿宋" w:cs="仿宋"/>
                <w:color w:val="000000"/>
                <w:kern w:val="0"/>
                <w:sz w:val="20"/>
                <w:szCs w:val="20"/>
                <w:lang w:eastAsia="zh-CN"/>
              </w:rPr>
              <w:t>。</w:t>
            </w:r>
          </w:p>
        </w:tc>
        <w:tc>
          <w:tcPr>
            <w:tcW w:w="4365" w:type="dxa"/>
            <w:vMerge w:val="continue"/>
            <w:noWrap w:val="0"/>
            <w:vAlign w:val="center"/>
          </w:tcPr>
          <w:p w14:paraId="3DAD477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60FA630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6EE2A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93" w:type="dxa"/>
            <w:vMerge w:val="restart"/>
            <w:shd w:val="clear" w:color="auto" w:fill="auto"/>
            <w:noWrap w:val="0"/>
            <w:vAlign w:val="center"/>
          </w:tcPr>
          <w:p w14:paraId="4F6BB96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4</w:t>
            </w:r>
          </w:p>
        </w:tc>
        <w:tc>
          <w:tcPr>
            <w:tcW w:w="1290" w:type="dxa"/>
            <w:gridSpan w:val="2"/>
            <w:vMerge w:val="restart"/>
            <w:shd w:val="clear" w:color="auto" w:fill="auto"/>
            <w:noWrap w:val="0"/>
            <w:vAlign w:val="center"/>
          </w:tcPr>
          <w:p w14:paraId="051FE3F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对违反《零售商供应商公平交易管理办法》行为的处罚</w:t>
            </w:r>
          </w:p>
        </w:tc>
        <w:tc>
          <w:tcPr>
            <w:tcW w:w="4034" w:type="dxa"/>
            <w:vMerge w:val="restart"/>
            <w:shd w:val="clear" w:color="auto" w:fill="auto"/>
            <w:noWrap w:val="0"/>
            <w:vAlign w:val="center"/>
          </w:tcPr>
          <w:p w14:paraId="3261C2C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《零售商供应商公平交易管理办法》（商务部令2006年第17号）第二十二条 对违反本办法规定的行为任何单位和个人均可向上述部门举报，相关部门接到举报后，应当依法予以查处。第二十三条 零售商或者供应商违反本办法规定的，法律法规有规定的，从其规定；没有规定的，责令改正；有违法所得的，可处违法所得三倍以下罚款，但最高不超过三万元；没有违法所得的，可处一万元以下罚款；并可向社会公告。第二十四条 县级以上商务、价格、税务、工商等部门发现零售商涉嫌骗取供应商货款的，应当将其涉嫌犯罪的线索及时移送当地公安机关。公安机关应及时开展调查工作，涉嫌犯罪的，依法立案侦查。第二十五条 各省、自治区、直辖市可结合本地实际，制定规范零售商供应商公平交易行为的有关规定。</w:t>
            </w:r>
          </w:p>
        </w:tc>
        <w:tc>
          <w:tcPr>
            <w:tcW w:w="1245" w:type="dxa"/>
            <w:vMerge w:val="restart"/>
            <w:shd w:val="clear" w:color="auto" w:fill="auto"/>
            <w:noWrap w:val="0"/>
            <w:vAlign w:val="center"/>
          </w:tcPr>
          <w:p w14:paraId="22F9625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行政处罚</w:t>
            </w:r>
          </w:p>
        </w:tc>
        <w:tc>
          <w:tcPr>
            <w:tcW w:w="1335" w:type="dxa"/>
            <w:shd w:val="clear" w:color="auto" w:fill="auto"/>
            <w:noWrap w:val="0"/>
            <w:vAlign w:val="center"/>
          </w:tcPr>
          <w:p w14:paraId="10CED49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初步调查</w:t>
            </w:r>
          </w:p>
        </w:tc>
        <w:tc>
          <w:tcPr>
            <w:tcW w:w="6945" w:type="dxa"/>
            <w:shd w:val="clear" w:color="auto" w:fill="auto"/>
            <w:noWrap w:val="0"/>
            <w:vAlign w:val="center"/>
          </w:tcPr>
          <w:p w14:paraId="292254A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由商务稽查</w:t>
            </w:r>
            <w:r>
              <w:rPr>
                <w:rFonts w:hint="eastAsia" w:ascii="仿宋" w:hAnsi="仿宋" w:eastAsia="仿宋" w:cs="仿宋"/>
                <w:color w:val="000000"/>
                <w:kern w:val="0"/>
                <w:sz w:val="20"/>
                <w:szCs w:val="20"/>
                <w:lang w:eastAsia="zh-CN"/>
              </w:rPr>
              <w:t>大</w:t>
            </w:r>
            <w:r>
              <w:rPr>
                <w:rFonts w:hint="eastAsia" w:ascii="仿宋" w:hAnsi="仿宋" w:eastAsia="仿宋" w:cs="仿宋"/>
                <w:color w:val="000000"/>
                <w:kern w:val="0"/>
                <w:sz w:val="20"/>
                <w:szCs w:val="20"/>
              </w:rPr>
              <w:t>队对案件进行初步调查</w:t>
            </w:r>
          </w:p>
        </w:tc>
        <w:tc>
          <w:tcPr>
            <w:tcW w:w="4365" w:type="dxa"/>
            <w:vMerge w:val="restart"/>
            <w:shd w:val="clear" w:color="auto" w:fill="auto"/>
            <w:noWrap w:val="0"/>
            <w:vAlign w:val="center"/>
          </w:tcPr>
          <w:p w14:paraId="533CE91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因不履行或不正确履行行政职责，出现以下情形的，行政机关及其相关人员应承担相应责任：</w:t>
            </w:r>
          </w:p>
          <w:p w14:paraId="4AC9824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1.不具备行政执法资格实施行政处罚的；</w:t>
            </w:r>
          </w:p>
          <w:p w14:paraId="068AE33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2.无法律或事实依据实施行政处罚的；</w:t>
            </w:r>
          </w:p>
          <w:p w14:paraId="08920D5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3.违反规定改变处罚种类或者处罚幅度的；</w:t>
            </w:r>
          </w:p>
          <w:p w14:paraId="7E07726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4.违反法定程序进行处罚的；</w:t>
            </w:r>
          </w:p>
          <w:p w14:paraId="77D2CD1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5.依法应组织听证而没有组织听证的；</w:t>
            </w:r>
          </w:p>
          <w:p w14:paraId="7416B99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6.对应当予以制止和处罚的违法节约能源有关法律法规的行为不予制止、处罚的；</w:t>
            </w:r>
          </w:p>
          <w:p w14:paraId="11766C5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7.利用职权收受贿赂或者获取不正当利益的；滥用职权或者玩忽职守侵犯行政相对人合法权利的；</w:t>
            </w:r>
          </w:p>
          <w:p w14:paraId="500C09C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8.其他违反法律法规规章文件的行为。</w:t>
            </w:r>
          </w:p>
        </w:tc>
        <w:tc>
          <w:tcPr>
            <w:tcW w:w="1485" w:type="dxa"/>
            <w:shd w:val="clear" w:color="auto" w:fill="auto"/>
            <w:noWrap w:val="0"/>
            <w:vAlign w:val="center"/>
          </w:tcPr>
          <w:p w14:paraId="527819C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市场秩序股</w:t>
            </w:r>
          </w:p>
        </w:tc>
      </w:tr>
      <w:tr w14:paraId="459A6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793" w:type="dxa"/>
            <w:vMerge w:val="continue"/>
            <w:noWrap w:val="0"/>
            <w:vAlign w:val="center"/>
          </w:tcPr>
          <w:p w14:paraId="3182967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04B5EEB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5961301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2384182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33F25D3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立案</w:t>
            </w:r>
          </w:p>
        </w:tc>
        <w:tc>
          <w:tcPr>
            <w:tcW w:w="6945" w:type="dxa"/>
            <w:shd w:val="clear" w:color="auto" w:fill="auto"/>
            <w:noWrap w:val="0"/>
            <w:vAlign w:val="center"/>
          </w:tcPr>
          <w:p w14:paraId="4BC5768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属于商务行政处罚范围的，予以立案</w:t>
            </w:r>
            <w:r>
              <w:rPr>
                <w:rFonts w:hint="eastAsia" w:ascii="仿宋" w:hAnsi="仿宋" w:eastAsia="仿宋" w:cs="仿宋"/>
                <w:color w:val="000000"/>
                <w:kern w:val="0"/>
                <w:sz w:val="20"/>
                <w:szCs w:val="20"/>
                <w:lang w:eastAsia="zh-CN"/>
              </w:rPr>
              <w:t>。</w:t>
            </w:r>
          </w:p>
        </w:tc>
        <w:tc>
          <w:tcPr>
            <w:tcW w:w="4365" w:type="dxa"/>
            <w:vMerge w:val="continue"/>
            <w:noWrap w:val="0"/>
            <w:vAlign w:val="center"/>
          </w:tcPr>
          <w:p w14:paraId="6247E16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restart"/>
            <w:noWrap w:val="0"/>
            <w:vAlign w:val="center"/>
          </w:tcPr>
          <w:p w14:paraId="553B3FA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17718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793" w:type="dxa"/>
            <w:vMerge w:val="continue"/>
            <w:noWrap w:val="0"/>
            <w:vAlign w:val="center"/>
          </w:tcPr>
          <w:p w14:paraId="0BC49E5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4103485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77EF8AA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54A4CC6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5DAC943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立案调查</w:t>
            </w:r>
          </w:p>
        </w:tc>
        <w:tc>
          <w:tcPr>
            <w:tcW w:w="6945" w:type="dxa"/>
            <w:shd w:val="clear" w:color="auto" w:fill="auto"/>
            <w:noWrap w:val="0"/>
            <w:vAlign w:val="center"/>
          </w:tcPr>
          <w:p w14:paraId="1D2E00C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由商务主管部门负责人批准，确定两名以上执法人员为案件承办人负责案件调查，对案件当事人及相关证人进行询问并制作询问笔录。</w:t>
            </w:r>
          </w:p>
        </w:tc>
        <w:tc>
          <w:tcPr>
            <w:tcW w:w="4365" w:type="dxa"/>
            <w:vMerge w:val="continue"/>
            <w:noWrap w:val="0"/>
            <w:vAlign w:val="center"/>
          </w:tcPr>
          <w:p w14:paraId="7220F99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0BD1D52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2447E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trPr>
        <w:tc>
          <w:tcPr>
            <w:tcW w:w="793" w:type="dxa"/>
            <w:vMerge w:val="continue"/>
            <w:noWrap w:val="0"/>
            <w:vAlign w:val="center"/>
          </w:tcPr>
          <w:p w14:paraId="523A994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2158448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308505B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51AD7F1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39075AF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处罚决定</w:t>
            </w:r>
          </w:p>
        </w:tc>
        <w:tc>
          <w:tcPr>
            <w:tcW w:w="6945" w:type="dxa"/>
            <w:shd w:val="clear" w:color="auto" w:fill="auto"/>
            <w:noWrap w:val="0"/>
            <w:vAlign w:val="center"/>
          </w:tcPr>
          <w:p w14:paraId="54AD6CC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违法事实成立，应给予行政处罚的，由案件承办人填写《行政处罚审批表》，报责任科室核审，主管部门负责人审查决定；重大案件由商务主管部门负责人组织集体讨论决定。</w:t>
            </w:r>
          </w:p>
        </w:tc>
        <w:tc>
          <w:tcPr>
            <w:tcW w:w="4365" w:type="dxa"/>
            <w:vMerge w:val="continue"/>
            <w:noWrap w:val="0"/>
            <w:vAlign w:val="center"/>
          </w:tcPr>
          <w:p w14:paraId="1E0B816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7A845C9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3D193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93" w:type="dxa"/>
            <w:vMerge w:val="continue"/>
            <w:noWrap w:val="0"/>
            <w:vAlign w:val="center"/>
          </w:tcPr>
          <w:p w14:paraId="0E54B16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5B47E90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56136A0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77DECEC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7926CD1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告知</w:t>
            </w:r>
          </w:p>
        </w:tc>
        <w:tc>
          <w:tcPr>
            <w:tcW w:w="6945" w:type="dxa"/>
            <w:shd w:val="clear" w:color="auto" w:fill="auto"/>
            <w:noWrap w:val="0"/>
            <w:vAlign w:val="center"/>
          </w:tcPr>
          <w:p w14:paraId="73371B2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作出《行政处罚事先告知书》送达给违法企业或个人。</w:t>
            </w:r>
          </w:p>
        </w:tc>
        <w:tc>
          <w:tcPr>
            <w:tcW w:w="4365" w:type="dxa"/>
            <w:vMerge w:val="continue"/>
            <w:noWrap w:val="0"/>
            <w:vAlign w:val="center"/>
          </w:tcPr>
          <w:p w14:paraId="73DAA17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047DB48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6A293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793" w:type="dxa"/>
            <w:vMerge w:val="continue"/>
            <w:noWrap w:val="0"/>
            <w:vAlign w:val="center"/>
          </w:tcPr>
          <w:p w14:paraId="60607A5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3A940DA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1CF65DE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0791F5C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2C3843E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送达</w:t>
            </w:r>
          </w:p>
        </w:tc>
        <w:tc>
          <w:tcPr>
            <w:tcW w:w="6945" w:type="dxa"/>
            <w:shd w:val="clear" w:color="auto" w:fill="auto"/>
            <w:noWrap w:val="0"/>
            <w:vAlign w:val="center"/>
          </w:tcPr>
          <w:p w14:paraId="0856CA7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3日内若无异议，则作出《行政处罚决定书》送达给违法企业或个人，收到决定书之日起60日内可申请行政复议，也可在收到决定书6个月内向法院提起行政诉讼。</w:t>
            </w:r>
          </w:p>
        </w:tc>
        <w:tc>
          <w:tcPr>
            <w:tcW w:w="4365" w:type="dxa"/>
            <w:vMerge w:val="continue"/>
            <w:noWrap w:val="0"/>
            <w:vAlign w:val="center"/>
          </w:tcPr>
          <w:p w14:paraId="1A40148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6691B5E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15DF2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793" w:type="dxa"/>
            <w:vMerge w:val="continue"/>
            <w:noWrap w:val="0"/>
            <w:vAlign w:val="center"/>
          </w:tcPr>
          <w:p w14:paraId="25C7550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24FEDED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3B3811C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7A0AD61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6C7A07E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公告</w:t>
            </w:r>
          </w:p>
        </w:tc>
        <w:tc>
          <w:tcPr>
            <w:tcW w:w="6945" w:type="dxa"/>
            <w:shd w:val="clear" w:color="auto" w:fill="auto"/>
            <w:noWrap w:val="0"/>
            <w:vAlign w:val="center"/>
          </w:tcPr>
          <w:p w14:paraId="6EC85EF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在门户网站进行公告</w:t>
            </w:r>
            <w:r>
              <w:rPr>
                <w:rFonts w:hint="eastAsia" w:ascii="仿宋" w:hAnsi="仿宋" w:eastAsia="仿宋" w:cs="仿宋"/>
                <w:color w:val="000000"/>
                <w:kern w:val="0"/>
                <w:sz w:val="20"/>
                <w:szCs w:val="20"/>
                <w:lang w:eastAsia="zh-CN"/>
              </w:rPr>
              <w:t>。</w:t>
            </w:r>
          </w:p>
        </w:tc>
        <w:tc>
          <w:tcPr>
            <w:tcW w:w="4365" w:type="dxa"/>
            <w:vMerge w:val="continue"/>
            <w:noWrap w:val="0"/>
            <w:vAlign w:val="center"/>
          </w:tcPr>
          <w:p w14:paraId="31D7F48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shd w:val="clear" w:color="auto" w:fill="auto"/>
            <w:noWrap w:val="0"/>
            <w:vAlign w:val="center"/>
          </w:tcPr>
          <w:p w14:paraId="545833D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办公室</w:t>
            </w:r>
          </w:p>
        </w:tc>
      </w:tr>
      <w:tr w14:paraId="1DAAF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793" w:type="dxa"/>
            <w:vMerge w:val="restart"/>
            <w:shd w:val="clear" w:color="auto" w:fill="auto"/>
            <w:noWrap w:val="0"/>
            <w:vAlign w:val="center"/>
          </w:tcPr>
          <w:p w14:paraId="337E941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5</w:t>
            </w:r>
          </w:p>
        </w:tc>
        <w:tc>
          <w:tcPr>
            <w:tcW w:w="1290" w:type="dxa"/>
            <w:gridSpan w:val="2"/>
            <w:vMerge w:val="restart"/>
            <w:shd w:val="clear" w:color="auto" w:fill="auto"/>
            <w:noWrap w:val="0"/>
            <w:vAlign w:val="center"/>
          </w:tcPr>
          <w:p w14:paraId="4228ED3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对违反《零售商促销行为管理办法》行为的处罚</w:t>
            </w:r>
          </w:p>
        </w:tc>
        <w:tc>
          <w:tcPr>
            <w:tcW w:w="4034" w:type="dxa"/>
            <w:vMerge w:val="restart"/>
            <w:shd w:val="clear" w:color="auto" w:fill="auto"/>
            <w:noWrap w:val="0"/>
            <w:vAlign w:val="center"/>
          </w:tcPr>
          <w:p w14:paraId="2F87682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零售商促销行为管理办法》第二十一条各地商务、价格、税务、工商等部门依照法律法规及有关规定，在各自职责范围内对促销行为进行监督管理。对涉嫌犯罪的，由公安机关依法予以查处。第二十二条对违反本办法规定的行为任何单位和个人均可向上述单位举报，相关单位接到举报后，应当依法予以查处。第二十三条零售商违反本办法规定，法律法规有规定的，从其规定；没有规定的，责令改正，有违法所得的，可处违法所得三倍以下罚款，但最高不超过三万元；没有违法所得的，可处一万元以下罚款；并可予以公告。</w:t>
            </w:r>
            <w:r>
              <w:rPr>
                <w:rFonts w:hint="eastAsia" w:ascii="仿宋" w:hAnsi="仿宋" w:eastAsia="仿宋" w:cs="仿宋"/>
                <w:color w:val="000000"/>
                <w:kern w:val="0"/>
                <w:sz w:val="20"/>
                <w:szCs w:val="20"/>
              </w:rPr>
              <w:br w:type="textWrapping"/>
            </w:r>
            <w:r>
              <w:rPr>
                <w:rFonts w:hint="eastAsia" w:ascii="仿宋" w:hAnsi="仿宋" w:eastAsia="仿宋" w:cs="仿宋"/>
                <w:color w:val="000000"/>
                <w:kern w:val="0"/>
                <w:sz w:val="20"/>
                <w:szCs w:val="20"/>
              </w:rPr>
              <w:t>第二十四条各省、自治区、直辖市可结合本地实际，制定规范促销行为的有关规定。</w:t>
            </w:r>
          </w:p>
        </w:tc>
        <w:tc>
          <w:tcPr>
            <w:tcW w:w="1245" w:type="dxa"/>
            <w:vMerge w:val="restart"/>
            <w:shd w:val="clear" w:color="auto" w:fill="auto"/>
            <w:noWrap w:val="0"/>
            <w:vAlign w:val="center"/>
          </w:tcPr>
          <w:p w14:paraId="1095EB8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行政处罚</w:t>
            </w:r>
          </w:p>
        </w:tc>
        <w:tc>
          <w:tcPr>
            <w:tcW w:w="1335" w:type="dxa"/>
            <w:shd w:val="clear" w:color="auto" w:fill="auto"/>
            <w:noWrap w:val="0"/>
            <w:vAlign w:val="center"/>
          </w:tcPr>
          <w:p w14:paraId="5866037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初步调查</w:t>
            </w:r>
          </w:p>
        </w:tc>
        <w:tc>
          <w:tcPr>
            <w:tcW w:w="6945" w:type="dxa"/>
            <w:shd w:val="clear" w:color="auto" w:fill="auto"/>
            <w:noWrap w:val="0"/>
            <w:vAlign w:val="center"/>
          </w:tcPr>
          <w:p w14:paraId="14A721C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由商务稽查</w:t>
            </w:r>
            <w:r>
              <w:rPr>
                <w:rFonts w:hint="eastAsia" w:ascii="仿宋" w:hAnsi="仿宋" w:eastAsia="仿宋" w:cs="仿宋"/>
                <w:color w:val="000000"/>
                <w:kern w:val="0"/>
                <w:sz w:val="20"/>
                <w:szCs w:val="20"/>
                <w:lang w:eastAsia="zh-CN"/>
              </w:rPr>
              <w:t>大</w:t>
            </w:r>
            <w:r>
              <w:rPr>
                <w:rFonts w:hint="eastAsia" w:ascii="仿宋" w:hAnsi="仿宋" w:eastAsia="仿宋" w:cs="仿宋"/>
                <w:color w:val="000000"/>
                <w:kern w:val="0"/>
                <w:sz w:val="20"/>
                <w:szCs w:val="20"/>
              </w:rPr>
              <w:t>队对案件进行初步调查</w:t>
            </w:r>
            <w:r>
              <w:rPr>
                <w:rFonts w:hint="eastAsia" w:ascii="仿宋" w:hAnsi="仿宋" w:eastAsia="仿宋" w:cs="仿宋"/>
                <w:color w:val="000000"/>
                <w:kern w:val="0"/>
                <w:sz w:val="20"/>
                <w:szCs w:val="20"/>
                <w:lang w:eastAsia="zh-CN"/>
              </w:rPr>
              <w:t>。</w:t>
            </w:r>
          </w:p>
        </w:tc>
        <w:tc>
          <w:tcPr>
            <w:tcW w:w="4365" w:type="dxa"/>
            <w:vMerge w:val="restart"/>
            <w:shd w:val="clear" w:color="auto" w:fill="auto"/>
            <w:noWrap w:val="0"/>
            <w:vAlign w:val="center"/>
          </w:tcPr>
          <w:p w14:paraId="22004E9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因不履行或不正确履行行政职责，出现以下情形的，行政机关及其相关人员应承担相应责任：</w:t>
            </w:r>
          </w:p>
          <w:p w14:paraId="1F45EF9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1.不具备行政执法资格实施行政处罚的；</w:t>
            </w:r>
          </w:p>
          <w:p w14:paraId="27D5BFB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2.无法律或事实依据实施行政处罚的；</w:t>
            </w:r>
          </w:p>
          <w:p w14:paraId="57E6A63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3.违反规定改变处罚种类或者处罚幅度的；</w:t>
            </w:r>
          </w:p>
          <w:p w14:paraId="1E3157F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4.违反法定程序进行处罚的；</w:t>
            </w:r>
          </w:p>
          <w:p w14:paraId="77F1C81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5.依法应组织听证而没有组织听证的；</w:t>
            </w:r>
          </w:p>
          <w:p w14:paraId="414C07E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6.对应当予以制止和处罚的违法节约能源有关法律法规的行为不予制止、处罚的；</w:t>
            </w:r>
          </w:p>
          <w:p w14:paraId="79C93BB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7.利用职权收受贿赂或者获取不正当利益的；滥用职权或者玩忽职守侵犯行政相对人合法权利的；</w:t>
            </w:r>
          </w:p>
          <w:p w14:paraId="6762163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8.其他违反法律法规规章文件的行为。</w:t>
            </w:r>
          </w:p>
        </w:tc>
        <w:tc>
          <w:tcPr>
            <w:tcW w:w="1485" w:type="dxa"/>
            <w:vMerge w:val="restart"/>
            <w:shd w:val="clear" w:color="auto" w:fill="auto"/>
            <w:noWrap w:val="0"/>
            <w:vAlign w:val="center"/>
          </w:tcPr>
          <w:p w14:paraId="1D689BF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市场秩序股</w:t>
            </w:r>
          </w:p>
        </w:tc>
      </w:tr>
      <w:tr w14:paraId="18D3A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793" w:type="dxa"/>
            <w:vMerge w:val="continue"/>
            <w:noWrap w:val="0"/>
            <w:vAlign w:val="center"/>
          </w:tcPr>
          <w:p w14:paraId="305F6E9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5D82C1C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58E7032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05385A8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63CF7DF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立案</w:t>
            </w:r>
          </w:p>
        </w:tc>
        <w:tc>
          <w:tcPr>
            <w:tcW w:w="6945" w:type="dxa"/>
            <w:shd w:val="clear" w:color="auto" w:fill="auto"/>
            <w:noWrap w:val="0"/>
            <w:vAlign w:val="center"/>
          </w:tcPr>
          <w:p w14:paraId="55DF874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属于商务行政处罚范围的，予以立案</w:t>
            </w:r>
            <w:r>
              <w:rPr>
                <w:rFonts w:hint="eastAsia" w:ascii="仿宋" w:hAnsi="仿宋" w:eastAsia="仿宋" w:cs="仿宋"/>
                <w:color w:val="000000"/>
                <w:kern w:val="0"/>
                <w:sz w:val="20"/>
                <w:szCs w:val="20"/>
                <w:lang w:eastAsia="zh-CN"/>
              </w:rPr>
              <w:t>。</w:t>
            </w:r>
          </w:p>
        </w:tc>
        <w:tc>
          <w:tcPr>
            <w:tcW w:w="4365" w:type="dxa"/>
            <w:vMerge w:val="continue"/>
            <w:noWrap w:val="0"/>
            <w:vAlign w:val="center"/>
          </w:tcPr>
          <w:p w14:paraId="78689E5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03576FE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66629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793" w:type="dxa"/>
            <w:vMerge w:val="continue"/>
            <w:noWrap w:val="0"/>
            <w:vAlign w:val="center"/>
          </w:tcPr>
          <w:p w14:paraId="70DABFC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1D0260A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0FC10A9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4805F07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246A009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立案调查</w:t>
            </w:r>
          </w:p>
        </w:tc>
        <w:tc>
          <w:tcPr>
            <w:tcW w:w="6945" w:type="dxa"/>
            <w:shd w:val="clear" w:color="auto" w:fill="auto"/>
            <w:noWrap w:val="0"/>
            <w:vAlign w:val="center"/>
          </w:tcPr>
          <w:p w14:paraId="1B54783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由商务主管部门负责人批准，确定两名以上执法人员为案件承办人负责案件调查，对案件当事人及相关证人进行询问并制作询问笔录。</w:t>
            </w:r>
          </w:p>
        </w:tc>
        <w:tc>
          <w:tcPr>
            <w:tcW w:w="4365" w:type="dxa"/>
            <w:vMerge w:val="continue"/>
            <w:noWrap w:val="0"/>
            <w:vAlign w:val="center"/>
          </w:tcPr>
          <w:p w14:paraId="7FA84AA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73D715D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777C7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793" w:type="dxa"/>
            <w:vMerge w:val="continue"/>
            <w:noWrap w:val="0"/>
            <w:vAlign w:val="center"/>
          </w:tcPr>
          <w:p w14:paraId="1A9D867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3429AD6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65C7B8F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6AE4F5D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661C0E3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处罚决定</w:t>
            </w:r>
          </w:p>
        </w:tc>
        <w:tc>
          <w:tcPr>
            <w:tcW w:w="6945" w:type="dxa"/>
            <w:shd w:val="clear" w:color="auto" w:fill="auto"/>
            <w:noWrap w:val="0"/>
            <w:vAlign w:val="center"/>
          </w:tcPr>
          <w:p w14:paraId="745A686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违法事实成立，应给予行政处罚的，由案件承办人填写《行政处罚审批表》，报责任科室核审，主管部门负责人审查决定；重大案件由商务主管部门负责人组织集体讨论决定。</w:t>
            </w:r>
          </w:p>
        </w:tc>
        <w:tc>
          <w:tcPr>
            <w:tcW w:w="4365" w:type="dxa"/>
            <w:vMerge w:val="continue"/>
            <w:noWrap w:val="0"/>
            <w:vAlign w:val="center"/>
          </w:tcPr>
          <w:p w14:paraId="60F1E66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3E23437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7DFE4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93" w:type="dxa"/>
            <w:vMerge w:val="continue"/>
            <w:noWrap w:val="0"/>
            <w:vAlign w:val="center"/>
          </w:tcPr>
          <w:p w14:paraId="67083E4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1E58C8F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532F334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1A3EC17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3FCAF18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告知</w:t>
            </w:r>
          </w:p>
        </w:tc>
        <w:tc>
          <w:tcPr>
            <w:tcW w:w="6945" w:type="dxa"/>
            <w:shd w:val="clear" w:color="auto" w:fill="auto"/>
            <w:noWrap w:val="0"/>
            <w:vAlign w:val="center"/>
          </w:tcPr>
          <w:p w14:paraId="15CBC01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作出《行政处罚事先告知书》送达给违法企业或个人。</w:t>
            </w:r>
          </w:p>
        </w:tc>
        <w:tc>
          <w:tcPr>
            <w:tcW w:w="4365" w:type="dxa"/>
            <w:vMerge w:val="continue"/>
            <w:noWrap w:val="0"/>
            <w:vAlign w:val="center"/>
          </w:tcPr>
          <w:p w14:paraId="6877603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43C57EF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1D9D7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793" w:type="dxa"/>
            <w:vMerge w:val="continue"/>
            <w:noWrap w:val="0"/>
            <w:vAlign w:val="center"/>
          </w:tcPr>
          <w:p w14:paraId="7807807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128478A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3D9CD17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1E619F3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28D2727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送达</w:t>
            </w:r>
          </w:p>
        </w:tc>
        <w:tc>
          <w:tcPr>
            <w:tcW w:w="6945" w:type="dxa"/>
            <w:shd w:val="clear" w:color="auto" w:fill="auto"/>
            <w:noWrap w:val="0"/>
            <w:vAlign w:val="center"/>
          </w:tcPr>
          <w:p w14:paraId="7D7F3BE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3日内若无异议，则作出《行政处罚决定书》送达给违法企业或个人，收到决定书之日起60日内可申请行政复议，也可在收到决定书6个月内向法院提起行政诉讼。</w:t>
            </w:r>
          </w:p>
        </w:tc>
        <w:tc>
          <w:tcPr>
            <w:tcW w:w="4365" w:type="dxa"/>
            <w:vMerge w:val="continue"/>
            <w:noWrap w:val="0"/>
            <w:vAlign w:val="center"/>
          </w:tcPr>
          <w:p w14:paraId="097B108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vMerge w:val="continue"/>
            <w:noWrap w:val="0"/>
            <w:vAlign w:val="center"/>
          </w:tcPr>
          <w:p w14:paraId="4315EF6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r>
      <w:tr w14:paraId="507A5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793" w:type="dxa"/>
            <w:vMerge w:val="continue"/>
            <w:noWrap w:val="0"/>
            <w:vAlign w:val="center"/>
          </w:tcPr>
          <w:p w14:paraId="240DD77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5D261EC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4034" w:type="dxa"/>
            <w:vMerge w:val="continue"/>
            <w:noWrap w:val="0"/>
            <w:vAlign w:val="center"/>
          </w:tcPr>
          <w:p w14:paraId="2B3CE0F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245" w:type="dxa"/>
            <w:vMerge w:val="continue"/>
            <w:noWrap w:val="0"/>
            <w:vAlign w:val="center"/>
          </w:tcPr>
          <w:p w14:paraId="635522B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eastAsia="zh-CN"/>
              </w:rPr>
            </w:pPr>
          </w:p>
        </w:tc>
        <w:tc>
          <w:tcPr>
            <w:tcW w:w="1335" w:type="dxa"/>
            <w:shd w:val="clear" w:color="auto" w:fill="auto"/>
            <w:noWrap w:val="0"/>
            <w:vAlign w:val="center"/>
          </w:tcPr>
          <w:p w14:paraId="3AFCB9E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公告</w:t>
            </w:r>
          </w:p>
        </w:tc>
        <w:tc>
          <w:tcPr>
            <w:tcW w:w="6945" w:type="dxa"/>
            <w:shd w:val="clear" w:color="auto" w:fill="auto"/>
            <w:noWrap w:val="0"/>
            <w:vAlign w:val="center"/>
          </w:tcPr>
          <w:p w14:paraId="529C663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在门户网站进行公告</w:t>
            </w:r>
            <w:r>
              <w:rPr>
                <w:rFonts w:hint="eastAsia" w:ascii="仿宋" w:hAnsi="仿宋" w:eastAsia="仿宋" w:cs="仿宋"/>
                <w:color w:val="000000"/>
                <w:kern w:val="0"/>
                <w:sz w:val="20"/>
                <w:szCs w:val="20"/>
                <w:lang w:eastAsia="zh-CN"/>
              </w:rPr>
              <w:t>。</w:t>
            </w:r>
          </w:p>
        </w:tc>
        <w:tc>
          <w:tcPr>
            <w:tcW w:w="4365" w:type="dxa"/>
            <w:vMerge w:val="continue"/>
            <w:noWrap w:val="0"/>
            <w:vAlign w:val="center"/>
          </w:tcPr>
          <w:p w14:paraId="63307A7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p>
        </w:tc>
        <w:tc>
          <w:tcPr>
            <w:tcW w:w="1485" w:type="dxa"/>
            <w:shd w:val="clear" w:color="auto" w:fill="auto"/>
            <w:noWrap w:val="0"/>
            <w:vAlign w:val="center"/>
          </w:tcPr>
          <w:p w14:paraId="7A2CC8A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办公室</w:t>
            </w:r>
          </w:p>
        </w:tc>
      </w:tr>
      <w:tr w14:paraId="2051B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793" w:type="dxa"/>
            <w:shd w:val="clear" w:color="auto" w:fill="auto"/>
            <w:noWrap w:val="0"/>
            <w:vAlign w:val="center"/>
          </w:tcPr>
          <w:p w14:paraId="559A376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6</w:t>
            </w:r>
          </w:p>
        </w:tc>
        <w:tc>
          <w:tcPr>
            <w:tcW w:w="1290" w:type="dxa"/>
            <w:gridSpan w:val="2"/>
            <w:shd w:val="clear" w:color="auto" w:fill="auto"/>
            <w:noWrap w:val="0"/>
            <w:vAlign w:val="center"/>
          </w:tcPr>
          <w:p w14:paraId="6E6D7E3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对外国投资者或者外商投资企业未按照《外商投资信息报告办法》要求报送投资信息，且在商务主管部门通知后未按照本办法予以补报或更正的行为的处罚</w:t>
            </w:r>
          </w:p>
        </w:tc>
        <w:tc>
          <w:tcPr>
            <w:tcW w:w="4034" w:type="dxa"/>
            <w:shd w:val="clear" w:color="auto" w:fill="auto"/>
            <w:noWrap w:val="0"/>
            <w:vAlign w:val="center"/>
          </w:tcPr>
          <w:p w14:paraId="6007455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《外商投资信息报告办法》第二条 外国投资者直接或者间接在中国境内进行投资活动，应由外国投资者或者外商投资企业根据本办法向商务主管部门报送投资信息。第七条 外国投资者或者外商投资企业应当及时报送投资信息，遵循真实、准确、完整原则，不得进行虚假或误导性报告，不得有重大遗漏。第二十五条 外国投资者或者外商投资企业未按照本办法要求报送投资信息，且在商务主管部门通知后未按照本办法第十九条予以补报或更正的，由商务主管部门责令其于20个工作日内改正;逾期不改正的，处十万元以上三十万元以下罚款;逾期不改正且存在以下情形的，处三十万元以上五十万元以下罚款：</w:t>
            </w:r>
          </w:p>
        </w:tc>
        <w:tc>
          <w:tcPr>
            <w:tcW w:w="1245" w:type="dxa"/>
            <w:shd w:val="clear" w:color="auto" w:fill="auto"/>
            <w:noWrap w:val="0"/>
            <w:vAlign w:val="center"/>
          </w:tcPr>
          <w:p w14:paraId="14E9E0F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行政处罚</w:t>
            </w:r>
          </w:p>
        </w:tc>
        <w:tc>
          <w:tcPr>
            <w:tcW w:w="1335" w:type="dxa"/>
            <w:shd w:val="clear" w:color="auto" w:fill="auto"/>
            <w:noWrap w:val="0"/>
            <w:vAlign w:val="center"/>
          </w:tcPr>
          <w:p w14:paraId="254B688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6945" w:type="dxa"/>
            <w:shd w:val="clear" w:color="auto" w:fill="auto"/>
            <w:noWrap w:val="0"/>
            <w:vAlign w:val="center"/>
          </w:tcPr>
          <w:p w14:paraId="403E4C9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1.规范处罚行为；2.综合运用“双随机、一公开”开展监管工作；3.强化社会监督，依法及时处理投诉举报。</w:t>
            </w:r>
          </w:p>
        </w:tc>
        <w:tc>
          <w:tcPr>
            <w:tcW w:w="4365" w:type="dxa"/>
            <w:shd w:val="clear" w:color="auto" w:fill="auto"/>
            <w:noWrap w:val="0"/>
            <w:vAlign w:val="center"/>
          </w:tcPr>
          <w:p w14:paraId="1D6DD6B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因不履行或不正确履行行政职责，出现以下情形的，行政机关及其相关人员应承担相应责任：</w:t>
            </w:r>
          </w:p>
          <w:p w14:paraId="79BCD4E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1.不具备行政执法资格实施行政处罚的；</w:t>
            </w:r>
          </w:p>
          <w:p w14:paraId="71139E4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2.无法律或事实依据实施行政处罚的；</w:t>
            </w:r>
          </w:p>
          <w:p w14:paraId="4E9CC16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3.违反规定改变处罚种类或者处罚幅度的；</w:t>
            </w:r>
          </w:p>
          <w:p w14:paraId="49F00C9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4.违反法定程序进行处罚的；</w:t>
            </w:r>
          </w:p>
          <w:p w14:paraId="39A8E9B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5.依法应组织听证而没有组织听证的；</w:t>
            </w:r>
          </w:p>
          <w:p w14:paraId="6C3E4B5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6.对应当予以制止和处罚的违法节约能源有关法律法规的行为不予制止、处罚的；</w:t>
            </w:r>
          </w:p>
          <w:p w14:paraId="0AA022D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7.利用职权收受贿赂或者获取不正当利益的；滥用职权或者玩忽职守侵犯行政相对人合法权利的；</w:t>
            </w:r>
          </w:p>
          <w:p w14:paraId="2A84E62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8.其他违反法律法规规章文件的行为</w:t>
            </w:r>
            <w:r>
              <w:rPr>
                <w:rFonts w:hint="eastAsia" w:ascii="仿宋" w:hAnsi="仿宋" w:eastAsia="仿宋" w:cs="仿宋"/>
                <w:color w:val="000000"/>
                <w:kern w:val="0"/>
                <w:sz w:val="20"/>
                <w:szCs w:val="20"/>
                <w:lang w:eastAsia="zh-CN"/>
              </w:rPr>
              <w:t>。</w:t>
            </w:r>
          </w:p>
        </w:tc>
        <w:tc>
          <w:tcPr>
            <w:tcW w:w="1485" w:type="dxa"/>
            <w:shd w:val="clear" w:color="auto" w:fill="auto"/>
            <w:noWrap w:val="0"/>
            <w:vAlign w:val="center"/>
          </w:tcPr>
          <w:p w14:paraId="42939CE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外贸经济管理股</w:t>
            </w:r>
          </w:p>
        </w:tc>
      </w:tr>
      <w:tr w14:paraId="513A5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93" w:type="dxa"/>
            <w:vMerge w:val="restart"/>
            <w:noWrap w:val="0"/>
            <w:vAlign w:val="center"/>
          </w:tcPr>
          <w:p w14:paraId="3F8FCCA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7</w:t>
            </w:r>
          </w:p>
        </w:tc>
        <w:tc>
          <w:tcPr>
            <w:tcW w:w="1290" w:type="dxa"/>
            <w:gridSpan w:val="2"/>
            <w:vMerge w:val="restart"/>
            <w:noWrap w:val="0"/>
            <w:vAlign w:val="center"/>
          </w:tcPr>
          <w:p w14:paraId="7EE87EB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散装水泥推广应用、禁止施工现场搅拌混凝土和现场配置砂浆监督检查</w:t>
            </w:r>
          </w:p>
        </w:tc>
        <w:tc>
          <w:tcPr>
            <w:tcW w:w="4034" w:type="dxa"/>
            <w:vMerge w:val="restart"/>
            <w:noWrap w:val="0"/>
            <w:vAlign w:val="center"/>
          </w:tcPr>
          <w:p w14:paraId="3E4C7AD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1.《河南省发展散装水泥管理规定》（省政府令第121号）第十九条：“各级散装水泥管理机构应当加强对散装水泥推广应用情况的监督检查,及时查处违法行为。” 2.《商务部、公安部、建设部、交通部、质检总局、环保总局关于在部分城市限期禁止现场搅拌砂浆工作的通知》（商改发〔2007〕205号）第十条：“散装水泥行政主管部门应与建设行政主管部门、质检部门等密切配合，加强对预拌砂浆生产企业产品质量和建设施工现场的监督检查……”3.《河南省污染防治攻坚战领导小组办公室关于加强禁止现场搅拌混凝土和现场配置砂浆管控减少扬尘污染的通知》（豫环攻坚办[2019]81号）：“各级散装水泥主管部门应明确监管责任，建立台账，安排专人负责辖区施工工地“两个禁止”工作落实情况。”4、《河南省污染防治攻坚战领导小组办公室关于印发河南省2020年大气、水、土壤污染防治攻坚战实施方案的通知》（豫环攻坚办[2020]7号）：“28.全面提升“扬尘”污染治理水平。严格落实城市建成区内“两个禁止”（禁止现场搅拌混凝土和禁止现场配置砂浆）要求，加快“两个禁止”综合信息监管平台建设，实施动态监控。”5、《南阳市污染防治攻坚战领导小组办公室关于印发南阳市城市建成区内加强施工现场两个禁止管控减少扬尘污染实施方案的通知》（宛环攻坚办[2019]348号）：“各级散装水泥办公室（散装水泥管理机构）要经常性进行督查，对督查中存在的问题以照片、文字的方式形成材料，反馈至攻坚办及相关部门，以便及时查处。”</w:t>
            </w:r>
          </w:p>
        </w:tc>
        <w:tc>
          <w:tcPr>
            <w:tcW w:w="1245" w:type="dxa"/>
            <w:vMerge w:val="restart"/>
            <w:noWrap w:val="0"/>
            <w:vAlign w:val="center"/>
          </w:tcPr>
          <w:p w14:paraId="065E3CA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行政检查</w:t>
            </w:r>
          </w:p>
        </w:tc>
        <w:tc>
          <w:tcPr>
            <w:tcW w:w="1335" w:type="dxa"/>
            <w:noWrap w:val="0"/>
            <w:vAlign w:val="center"/>
          </w:tcPr>
          <w:p w14:paraId="2F8A986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监督检查</w:t>
            </w:r>
          </w:p>
        </w:tc>
        <w:tc>
          <w:tcPr>
            <w:tcW w:w="6945" w:type="dxa"/>
            <w:noWrap w:val="0"/>
            <w:vAlign w:val="center"/>
          </w:tcPr>
          <w:p w14:paraId="77820E5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执法人员对散装水泥推广应用、禁止施工现场搅拌混凝土和现场配置砂浆监督检查进行监督、检查，及时、全面、客观、公正地调查收集相关的证据，查明事实。与当事人有直接利害关系的应当回避；在监督检查时，执法人员不得少于两人；并应当向当事人或有关人员出示执法证件。</w:t>
            </w:r>
          </w:p>
        </w:tc>
        <w:tc>
          <w:tcPr>
            <w:tcW w:w="4365" w:type="dxa"/>
            <w:vMerge w:val="restart"/>
            <w:noWrap w:val="0"/>
            <w:vAlign w:val="center"/>
          </w:tcPr>
          <w:p w14:paraId="191750E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因不履行或不正确履行行政职责，出现以下情形的，行政机关及其相关人员应承担相应责任：</w:t>
            </w:r>
          </w:p>
          <w:p w14:paraId="5C81F86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1.不具备行政执法资格实施行政处罚的；</w:t>
            </w:r>
          </w:p>
          <w:p w14:paraId="6B2CB35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2.无法律或事实依据实施行政处罚的；</w:t>
            </w:r>
          </w:p>
          <w:p w14:paraId="2EC8030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3.违反规定改变处罚种类或者处罚幅度的；</w:t>
            </w:r>
          </w:p>
          <w:p w14:paraId="297B12B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4.违反法定程序进行处罚的；</w:t>
            </w:r>
          </w:p>
          <w:p w14:paraId="2B81898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5.依法应组织听证而没有组织听证的；</w:t>
            </w:r>
          </w:p>
          <w:p w14:paraId="7121F40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6.对应当予以制止和处罚的违法节约能源有关法律法规的行为不予制止、处罚的；</w:t>
            </w:r>
          </w:p>
          <w:p w14:paraId="588E970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7.利用职权收受贿赂或者获取不正当利益的；滥用职权或者玩忽职守侵犯行政相对人合法权利的；</w:t>
            </w:r>
          </w:p>
          <w:p w14:paraId="1E8E0F6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8.其他违反法律法规规章文件的行为。</w:t>
            </w:r>
          </w:p>
        </w:tc>
        <w:tc>
          <w:tcPr>
            <w:tcW w:w="1485" w:type="dxa"/>
            <w:vMerge w:val="restart"/>
            <w:noWrap w:val="0"/>
            <w:vAlign w:val="center"/>
          </w:tcPr>
          <w:p w14:paraId="18C6A14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市场秩序股</w:t>
            </w:r>
          </w:p>
        </w:tc>
      </w:tr>
      <w:tr w14:paraId="35FD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793" w:type="dxa"/>
            <w:vMerge w:val="continue"/>
            <w:noWrap w:val="0"/>
            <w:vAlign w:val="center"/>
          </w:tcPr>
          <w:p w14:paraId="0D9A4ED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5FE7167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3C6026F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7E5FC49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33758DE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处置</w:t>
            </w:r>
          </w:p>
        </w:tc>
        <w:tc>
          <w:tcPr>
            <w:tcW w:w="6945" w:type="dxa"/>
            <w:noWrap w:val="0"/>
            <w:vAlign w:val="center"/>
          </w:tcPr>
          <w:p w14:paraId="24273E3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发现存在问题，提出整改意见，下发整改通知书。</w:t>
            </w:r>
          </w:p>
        </w:tc>
        <w:tc>
          <w:tcPr>
            <w:tcW w:w="4365" w:type="dxa"/>
            <w:vMerge w:val="continue"/>
            <w:noWrap w:val="0"/>
            <w:vAlign w:val="center"/>
          </w:tcPr>
          <w:p w14:paraId="52717E9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42E7128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20FDD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793" w:type="dxa"/>
            <w:vMerge w:val="continue"/>
            <w:noWrap w:val="0"/>
            <w:vAlign w:val="center"/>
          </w:tcPr>
          <w:p w14:paraId="66BA138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2F12AF7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5665AD9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3975B3A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3EA5311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告知</w:t>
            </w:r>
          </w:p>
        </w:tc>
        <w:tc>
          <w:tcPr>
            <w:tcW w:w="6945" w:type="dxa"/>
            <w:noWrap w:val="0"/>
            <w:vAlign w:val="center"/>
          </w:tcPr>
          <w:p w14:paraId="1EC9EA9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书面告知当事人拟作出整改决定的事实、理由、依据、整改内容，以及当事人享有的陈述权、申辩权和听证权。</w:t>
            </w:r>
          </w:p>
        </w:tc>
        <w:tc>
          <w:tcPr>
            <w:tcW w:w="4365" w:type="dxa"/>
            <w:vMerge w:val="continue"/>
            <w:noWrap w:val="0"/>
            <w:vAlign w:val="center"/>
          </w:tcPr>
          <w:p w14:paraId="0175BFE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50C0924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59D41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793" w:type="dxa"/>
            <w:vMerge w:val="continue"/>
            <w:noWrap w:val="0"/>
            <w:vAlign w:val="center"/>
          </w:tcPr>
          <w:p w14:paraId="2DA762E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4E2CA6D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039AFD8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34332ED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0F013C4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公开</w:t>
            </w:r>
          </w:p>
        </w:tc>
        <w:tc>
          <w:tcPr>
            <w:tcW w:w="6945" w:type="dxa"/>
            <w:noWrap w:val="0"/>
            <w:vAlign w:val="center"/>
          </w:tcPr>
          <w:p w14:paraId="50DAF60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向社会公开整改情况，并督促企业进行整改，其他法律法规规章文件规定应履行的责任。</w:t>
            </w:r>
          </w:p>
        </w:tc>
        <w:tc>
          <w:tcPr>
            <w:tcW w:w="4365" w:type="dxa"/>
            <w:vMerge w:val="continue"/>
            <w:noWrap w:val="0"/>
            <w:vAlign w:val="center"/>
          </w:tcPr>
          <w:p w14:paraId="49F65D2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restart"/>
            <w:noWrap w:val="0"/>
            <w:vAlign w:val="center"/>
          </w:tcPr>
          <w:p w14:paraId="0EB7132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办公室</w:t>
            </w:r>
          </w:p>
        </w:tc>
      </w:tr>
      <w:tr w14:paraId="39B72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793" w:type="dxa"/>
            <w:vMerge w:val="continue"/>
            <w:noWrap w:val="0"/>
            <w:vAlign w:val="center"/>
          </w:tcPr>
          <w:p w14:paraId="6D0248E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c>
          <w:tcPr>
            <w:tcW w:w="1290" w:type="dxa"/>
            <w:gridSpan w:val="2"/>
            <w:vMerge w:val="continue"/>
            <w:noWrap w:val="0"/>
            <w:vAlign w:val="center"/>
          </w:tcPr>
          <w:p w14:paraId="02AF0E8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c>
          <w:tcPr>
            <w:tcW w:w="4034" w:type="dxa"/>
            <w:vMerge w:val="continue"/>
            <w:noWrap w:val="0"/>
            <w:vAlign w:val="center"/>
          </w:tcPr>
          <w:p w14:paraId="528889B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c>
          <w:tcPr>
            <w:tcW w:w="1245" w:type="dxa"/>
            <w:vMerge w:val="continue"/>
            <w:noWrap w:val="0"/>
            <w:vAlign w:val="center"/>
          </w:tcPr>
          <w:p w14:paraId="78D40A6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c>
          <w:tcPr>
            <w:tcW w:w="1335" w:type="dxa"/>
            <w:noWrap w:val="0"/>
            <w:vAlign w:val="center"/>
          </w:tcPr>
          <w:p w14:paraId="0C37686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事后监督</w:t>
            </w:r>
          </w:p>
        </w:tc>
        <w:tc>
          <w:tcPr>
            <w:tcW w:w="6945" w:type="dxa"/>
            <w:noWrap w:val="0"/>
            <w:vAlign w:val="center"/>
          </w:tcPr>
          <w:p w14:paraId="05DD8BD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事后督查整改情况</w:t>
            </w:r>
          </w:p>
        </w:tc>
        <w:tc>
          <w:tcPr>
            <w:tcW w:w="4365" w:type="dxa"/>
            <w:vMerge w:val="continue"/>
            <w:noWrap w:val="0"/>
            <w:vAlign w:val="center"/>
          </w:tcPr>
          <w:p w14:paraId="247120C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c>
          <w:tcPr>
            <w:tcW w:w="1485" w:type="dxa"/>
            <w:vMerge w:val="continue"/>
            <w:noWrap w:val="0"/>
            <w:vAlign w:val="center"/>
          </w:tcPr>
          <w:p w14:paraId="16B153B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r>
      <w:tr w14:paraId="235F9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trPr>
        <w:tc>
          <w:tcPr>
            <w:tcW w:w="793" w:type="dxa"/>
            <w:vMerge w:val="continue"/>
            <w:noWrap w:val="0"/>
            <w:vAlign w:val="center"/>
          </w:tcPr>
          <w:p w14:paraId="414302A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c>
          <w:tcPr>
            <w:tcW w:w="1290" w:type="dxa"/>
            <w:gridSpan w:val="2"/>
            <w:vMerge w:val="continue"/>
            <w:noWrap w:val="0"/>
            <w:vAlign w:val="center"/>
          </w:tcPr>
          <w:p w14:paraId="09AB756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c>
          <w:tcPr>
            <w:tcW w:w="4034" w:type="dxa"/>
            <w:vMerge w:val="continue"/>
            <w:noWrap w:val="0"/>
            <w:vAlign w:val="center"/>
          </w:tcPr>
          <w:p w14:paraId="7EC4385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c>
          <w:tcPr>
            <w:tcW w:w="1245" w:type="dxa"/>
            <w:vMerge w:val="continue"/>
            <w:noWrap w:val="0"/>
            <w:vAlign w:val="center"/>
          </w:tcPr>
          <w:p w14:paraId="4E7F019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c>
          <w:tcPr>
            <w:tcW w:w="1335" w:type="dxa"/>
            <w:noWrap w:val="0"/>
            <w:vAlign w:val="center"/>
          </w:tcPr>
          <w:p w14:paraId="6DBE614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案件提交</w:t>
            </w:r>
          </w:p>
        </w:tc>
        <w:tc>
          <w:tcPr>
            <w:tcW w:w="6945" w:type="dxa"/>
            <w:noWrap w:val="0"/>
            <w:vAlign w:val="center"/>
          </w:tcPr>
          <w:p w14:paraId="5960266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对监督检查中发现的问题拒不整改的，提交相关部门按规定处罚。</w:t>
            </w:r>
          </w:p>
        </w:tc>
        <w:tc>
          <w:tcPr>
            <w:tcW w:w="4365" w:type="dxa"/>
            <w:vMerge w:val="continue"/>
            <w:noWrap w:val="0"/>
            <w:vAlign w:val="center"/>
          </w:tcPr>
          <w:p w14:paraId="3FF01BD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c>
          <w:tcPr>
            <w:tcW w:w="1485" w:type="dxa"/>
            <w:vMerge w:val="continue"/>
            <w:noWrap w:val="0"/>
            <w:vAlign w:val="center"/>
          </w:tcPr>
          <w:p w14:paraId="10B1C6D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4"/>
                <w:szCs w:val="24"/>
              </w:rPr>
            </w:pPr>
          </w:p>
        </w:tc>
      </w:tr>
      <w:tr w14:paraId="0721B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793" w:type="dxa"/>
            <w:shd w:val="clear" w:color="auto" w:fill="auto"/>
            <w:noWrap w:val="0"/>
            <w:vAlign w:val="center"/>
          </w:tcPr>
          <w:p w14:paraId="7BE0683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8</w:t>
            </w:r>
          </w:p>
        </w:tc>
        <w:tc>
          <w:tcPr>
            <w:tcW w:w="1290" w:type="dxa"/>
            <w:gridSpan w:val="2"/>
            <w:shd w:val="clear" w:color="auto" w:fill="auto"/>
            <w:noWrap w:val="0"/>
            <w:vAlign w:val="center"/>
          </w:tcPr>
          <w:p w14:paraId="4D89D55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对外国投资者、外商投资企业遵守《外商投资信息报告办法》情况实施监督检查</w:t>
            </w:r>
          </w:p>
        </w:tc>
        <w:tc>
          <w:tcPr>
            <w:tcW w:w="4034" w:type="dxa"/>
            <w:shd w:val="clear" w:color="auto" w:fill="auto"/>
            <w:noWrap w:val="0"/>
            <w:vAlign w:val="center"/>
          </w:tcPr>
          <w:p w14:paraId="32C69FA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《外商投资信息报告办法》第二十条　、第二十一条 、第二十二条、第二十三条 、第二十四条 依照相关条例情况实施监督检查</w:t>
            </w:r>
          </w:p>
        </w:tc>
        <w:tc>
          <w:tcPr>
            <w:tcW w:w="1245" w:type="dxa"/>
            <w:shd w:val="clear" w:color="auto" w:fill="auto"/>
            <w:noWrap w:val="0"/>
            <w:vAlign w:val="center"/>
          </w:tcPr>
          <w:p w14:paraId="5A15F5A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行政检查</w:t>
            </w:r>
          </w:p>
        </w:tc>
        <w:tc>
          <w:tcPr>
            <w:tcW w:w="1335" w:type="dxa"/>
            <w:shd w:val="clear" w:color="auto" w:fill="auto"/>
            <w:noWrap w:val="0"/>
            <w:vAlign w:val="center"/>
          </w:tcPr>
          <w:p w14:paraId="2216346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6945" w:type="dxa"/>
            <w:shd w:val="clear" w:color="auto" w:fill="auto"/>
            <w:noWrap w:val="0"/>
            <w:vAlign w:val="center"/>
          </w:tcPr>
          <w:p w14:paraId="1CD9705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1.综合运用“双随机、一公开”开展监管工作；2.强化社会监督，依法及时处理投诉举报。</w:t>
            </w:r>
          </w:p>
        </w:tc>
        <w:tc>
          <w:tcPr>
            <w:tcW w:w="4365" w:type="dxa"/>
            <w:shd w:val="clear" w:color="auto" w:fill="auto"/>
            <w:noWrap w:val="0"/>
            <w:vAlign w:val="center"/>
          </w:tcPr>
          <w:p w14:paraId="43D7E86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1.商务主管部门实施监督检查妨碍被检查人正常的生产经营活动的。</w:t>
            </w:r>
          </w:p>
          <w:p w14:paraId="4809919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2.接受被检查人提供的财物或者服务，不得谋取其他非法利益的。</w:t>
            </w:r>
          </w:p>
        </w:tc>
        <w:tc>
          <w:tcPr>
            <w:tcW w:w="1485" w:type="dxa"/>
            <w:shd w:val="clear" w:color="auto" w:fill="auto"/>
            <w:noWrap w:val="0"/>
            <w:vAlign w:val="center"/>
          </w:tcPr>
          <w:p w14:paraId="2F38704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外贸经济管理股</w:t>
            </w:r>
          </w:p>
        </w:tc>
      </w:tr>
      <w:tr w14:paraId="3BC6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793" w:type="dxa"/>
            <w:vMerge w:val="restart"/>
            <w:noWrap w:val="0"/>
            <w:vAlign w:val="center"/>
          </w:tcPr>
          <w:p w14:paraId="4C47340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9</w:t>
            </w:r>
          </w:p>
        </w:tc>
        <w:tc>
          <w:tcPr>
            <w:tcW w:w="1290" w:type="dxa"/>
            <w:gridSpan w:val="2"/>
            <w:vMerge w:val="restart"/>
            <w:noWrap w:val="0"/>
            <w:vAlign w:val="center"/>
          </w:tcPr>
          <w:p w14:paraId="44C84BF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成品油零售经营资格审批（初审）</w:t>
            </w:r>
          </w:p>
        </w:tc>
        <w:tc>
          <w:tcPr>
            <w:tcW w:w="4034" w:type="dxa"/>
            <w:vMerge w:val="restart"/>
            <w:noWrap w:val="0"/>
            <w:vAlign w:val="center"/>
          </w:tcPr>
          <w:p w14:paraId="79528FB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关于取消和下放石油成品油经营资格行政审批权限有关事项的通知》（豫商运行〔2020〕41号）二、下放成品油零售经营资格审批权限自2020年1月10日起，成品油零售经营资格行政许可和行政许可注销审批权限由省商务厅下放到各省辖市人民政府和济源示范区、郑州航空港经济综合实验区、中国（河南）自由贸易试验区各片区管委会，由省辖市人民政府（管委会）指定当地承担商务工作职能的部门（以下简称市级商务主管部门）具体负责审批和管理业务。所在辖区县级商务部门初审后，转报市级商务主管部门审批。</w:t>
            </w:r>
          </w:p>
        </w:tc>
        <w:tc>
          <w:tcPr>
            <w:tcW w:w="1245" w:type="dxa"/>
            <w:vMerge w:val="restart"/>
            <w:noWrap w:val="0"/>
            <w:vAlign w:val="center"/>
          </w:tcPr>
          <w:p w14:paraId="4D5CF0E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其他职权</w:t>
            </w:r>
          </w:p>
        </w:tc>
        <w:tc>
          <w:tcPr>
            <w:tcW w:w="1335" w:type="dxa"/>
            <w:shd w:val="clear" w:color="auto" w:fill="auto"/>
            <w:noWrap w:val="0"/>
            <w:vAlign w:val="center"/>
          </w:tcPr>
          <w:p w14:paraId="1715BE0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处罚决定</w:t>
            </w:r>
          </w:p>
        </w:tc>
        <w:tc>
          <w:tcPr>
            <w:tcW w:w="6945" w:type="dxa"/>
            <w:shd w:val="clear" w:color="auto" w:fill="auto"/>
            <w:noWrap w:val="0"/>
            <w:vAlign w:val="center"/>
          </w:tcPr>
          <w:p w14:paraId="5E73D99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违法事实成立，应给予行政处罚的，由案件承办人填写《行政处罚审批表》，报责任科室核审，主管部门负责人审查决定；重大案件由商务主管部门负责人组织集体讨论决定。</w:t>
            </w:r>
          </w:p>
        </w:tc>
        <w:tc>
          <w:tcPr>
            <w:tcW w:w="4365" w:type="dxa"/>
            <w:vMerge w:val="restart"/>
            <w:noWrap w:val="0"/>
            <w:vAlign w:val="center"/>
          </w:tcPr>
          <w:p w14:paraId="211F24A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因不履行或不正确履行行政职责，有下列情形的，行政机关及相关工作人员应承担相应责任：1.对符合法定条件的项目申请不予受理、核准的；2.对不符合法定条件的项目予以受理、核准的；3.擅自增设、变更项目核准程序或核准条件的；4.未在法定时限内作出核准决定的；5.擅自变更、延续、撤销已核准项目的；6.未采纳国土、规划、环保、节能等有关部门出具的意见书，造成重大安全隐患或者责任事故的； 7.未采纳经地方政府认可的社会稳定风险评估报告或者采纳未经地方政府认可的社会稳定风险评估报告，造成社会稳定风险或者引发群体性事件的；8.在项目监管中滥用职权、玩忽职守，造成较大损失的；9.索取或者收受他人财物或者谋取其他利益的；10.其他违反法律法规政策规定的行为。</w:t>
            </w:r>
          </w:p>
        </w:tc>
        <w:tc>
          <w:tcPr>
            <w:tcW w:w="1485" w:type="dxa"/>
            <w:vMerge w:val="restart"/>
            <w:noWrap w:val="0"/>
            <w:vAlign w:val="center"/>
          </w:tcPr>
          <w:p w14:paraId="4B3D4CC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市场秩序股</w:t>
            </w:r>
          </w:p>
        </w:tc>
      </w:tr>
      <w:tr w14:paraId="5A36C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793" w:type="dxa"/>
            <w:vMerge w:val="continue"/>
            <w:noWrap w:val="0"/>
            <w:vAlign w:val="center"/>
          </w:tcPr>
          <w:p w14:paraId="20D4BE2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3E1597C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14141FE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3F1E08B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shd w:val="clear" w:color="auto" w:fill="auto"/>
            <w:noWrap w:val="0"/>
            <w:vAlign w:val="center"/>
          </w:tcPr>
          <w:p w14:paraId="7C9222E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告知</w:t>
            </w:r>
          </w:p>
        </w:tc>
        <w:tc>
          <w:tcPr>
            <w:tcW w:w="6945" w:type="dxa"/>
            <w:shd w:val="clear" w:color="auto" w:fill="auto"/>
            <w:noWrap w:val="0"/>
            <w:vAlign w:val="center"/>
          </w:tcPr>
          <w:p w14:paraId="3B5A868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作出《行政处罚事先告知书》送达给违法企业或个人。</w:t>
            </w:r>
          </w:p>
        </w:tc>
        <w:tc>
          <w:tcPr>
            <w:tcW w:w="4365" w:type="dxa"/>
            <w:vMerge w:val="continue"/>
            <w:noWrap w:val="0"/>
            <w:vAlign w:val="center"/>
          </w:tcPr>
          <w:p w14:paraId="660E131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0DF90DF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36B62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793" w:type="dxa"/>
            <w:vMerge w:val="continue"/>
            <w:noWrap w:val="0"/>
            <w:vAlign w:val="center"/>
          </w:tcPr>
          <w:p w14:paraId="4F28CF6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36FE181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4B94089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0652E8A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shd w:val="clear" w:color="auto" w:fill="auto"/>
            <w:noWrap w:val="0"/>
            <w:vAlign w:val="center"/>
          </w:tcPr>
          <w:p w14:paraId="15781AA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送达</w:t>
            </w:r>
          </w:p>
        </w:tc>
        <w:tc>
          <w:tcPr>
            <w:tcW w:w="6945" w:type="dxa"/>
            <w:shd w:val="clear" w:color="auto" w:fill="auto"/>
            <w:noWrap w:val="0"/>
            <w:vAlign w:val="center"/>
          </w:tcPr>
          <w:p w14:paraId="642EDAF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3日内若无异议，则作出《行政处罚决定书》送达给违法企业或个人，收到决定书之日起60日内可申请行政复议，也可在收到决定书6个月内向法院提起行政诉讼。</w:t>
            </w:r>
          </w:p>
        </w:tc>
        <w:tc>
          <w:tcPr>
            <w:tcW w:w="4365" w:type="dxa"/>
            <w:vMerge w:val="continue"/>
            <w:noWrap w:val="0"/>
            <w:vAlign w:val="center"/>
          </w:tcPr>
          <w:p w14:paraId="52CC56E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6CBE5E9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0D403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793" w:type="dxa"/>
            <w:vMerge w:val="continue"/>
            <w:noWrap w:val="0"/>
            <w:vAlign w:val="center"/>
          </w:tcPr>
          <w:p w14:paraId="1769600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7B915C4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2AB22A0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420B565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shd w:val="clear" w:color="auto" w:fill="auto"/>
            <w:noWrap w:val="0"/>
            <w:vAlign w:val="center"/>
          </w:tcPr>
          <w:p w14:paraId="3350214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公告</w:t>
            </w:r>
          </w:p>
        </w:tc>
        <w:tc>
          <w:tcPr>
            <w:tcW w:w="6945" w:type="dxa"/>
            <w:shd w:val="clear" w:color="auto" w:fill="auto"/>
            <w:noWrap w:val="0"/>
            <w:vAlign w:val="center"/>
          </w:tcPr>
          <w:p w14:paraId="0C5B457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在门户网站进行公告。</w:t>
            </w:r>
          </w:p>
        </w:tc>
        <w:tc>
          <w:tcPr>
            <w:tcW w:w="4365" w:type="dxa"/>
            <w:vMerge w:val="continue"/>
            <w:noWrap w:val="0"/>
            <w:vAlign w:val="center"/>
          </w:tcPr>
          <w:p w14:paraId="6BB56B0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shd w:val="clear" w:color="auto" w:fill="auto"/>
            <w:noWrap w:val="0"/>
            <w:vAlign w:val="center"/>
          </w:tcPr>
          <w:p w14:paraId="3F544C3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2DA04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793" w:type="dxa"/>
            <w:vMerge w:val="restart"/>
            <w:noWrap w:val="0"/>
            <w:vAlign w:val="center"/>
          </w:tcPr>
          <w:p w14:paraId="37B3A0D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w:t>
            </w:r>
          </w:p>
        </w:tc>
        <w:tc>
          <w:tcPr>
            <w:tcW w:w="1290" w:type="dxa"/>
            <w:gridSpan w:val="2"/>
            <w:vMerge w:val="restart"/>
            <w:noWrap w:val="0"/>
            <w:vAlign w:val="center"/>
          </w:tcPr>
          <w:p w14:paraId="5BBC03F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报废机动车回收企业资质认定</w:t>
            </w:r>
          </w:p>
        </w:tc>
        <w:tc>
          <w:tcPr>
            <w:tcW w:w="4034" w:type="dxa"/>
            <w:vMerge w:val="restart"/>
            <w:noWrap w:val="0"/>
            <w:vAlign w:val="center"/>
          </w:tcPr>
          <w:p w14:paraId="782DCD8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商务部关于《报废机动车回收管理办法实施细则》第十条 收到回收拆解企业资质认定的申请及材料后，地（市）级商务主管部门应当对申请材料进行初审，连同初审意见报省级商务主管部门。</w:t>
            </w:r>
          </w:p>
        </w:tc>
        <w:tc>
          <w:tcPr>
            <w:tcW w:w="1245" w:type="dxa"/>
            <w:vMerge w:val="restart"/>
            <w:noWrap w:val="0"/>
            <w:vAlign w:val="center"/>
          </w:tcPr>
          <w:p w14:paraId="3FC5530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其他职权</w:t>
            </w:r>
          </w:p>
        </w:tc>
        <w:tc>
          <w:tcPr>
            <w:tcW w:w="1335" w:type="dxa"/>
            <w:shd w:val="clear" w:color="auto" w:fill="auto"/>
            <w:noWrap w:val="0"/>
            <w:vAlign w:val="center"/>
          </w:tcPr>
          <w:p w14:paraId="61973EA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公告</w:t>
            </w:r>
          </w:p>
        </w:tc>
        <w:tc>
          <w:tcPr>
            <w:tcW w:w="6945" w:type="dxa"/>
            <w:shd w:val="clear" w:color="auto" w:fill="auto"/>
            <w:noWrap w:val="0"/>
            <w:vAlign w:val="center"/>
          </w:tcPr>
          <w:p w14:paraId="790309A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在门户网站进行公告。</w:t>
            </w:r>
          </w:p>
        </w:tc>
        <w:tc>
          <w:tcPr>
            <w:tcW w:w="4365" w:type="dxa"/>
            <w:vMerge w:val="restart"/>
            <w:shd w:val="clear" w:color="auto" w:fill="auto"/>
            <w:noWrap w:val="0"/>
            <w:vAlign w:val="center"/>
          </w:tcPr>
          <w:p w14:paraId="12D3761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restart"/>
            <w:shd w:val="clear" w:color="auto" w:fill="auto"/>
            <w:noWrap w:val="0"/>
            <w:vAlign w:val="center"/>
          </w:tcPr>
          <w:p w14:paraId="14529AC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办公室</w:t>
            </w:r>
          </w:p>
        </w:tc>
      </w:tr>
      <w:tr w14:paraId="61635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793" w:type="dxa"/>
            <w:vMerge w:val="continue"/>
            <w:noWrap w:val="0"/>
            <w:vAlign w:val="center"/>
          </w:tcPr>
          <w:p w14:paraId="01EF7BF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3CE4C11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4A569FA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7D64C02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1A5803F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受理</w:t>
            </w:r>
          </w:p>
        </w:tc>
        <w:tc>
          <w:tcPr>
            <w:tcW w:w="6945" w:type="dxa"/>
            <w:noWrap w:val="0"/>
            <w:vAlign w:val="center"/>
          </w:tcPr>
          <w:p w14:paraId="7448F3A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对接收的申报材料，决定是否受理；不予受理的依法告知理由。</w:t>
            </w:r>
          </w:p>
        </w:tc>
        <w:tc>
          <w:tcPr>
            <w:tcW w:w="4365" w:type="dxa"/>
            <w:vMerge w:val="continue"/>
            <w:noWrap w:val="0"/>
            <w:vAlign w:val="center"/>
          </w:tcPr>
          <w:p w14:paraId="2BAC788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537B726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5B600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793" w:type="dxa"/>
            <w:vMerge w:val="continue"/>
            <w:noWrap w:val="0"/>
            <w:vAlign w:val="center"/>
          </w:tcPr>
          <w:p w14:paraId="4BAD8ED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0D5B26E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68FEFFD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296FA7B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7747618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初审</w:t>
            </w:r>
          </w:p>
        </w:tc>
        <w:tc>
          <w:tcPr>
            <w:tcW w:w="6945" w:type="dxa"/>
            <w:noWrap w:val="0"/>
            <w:vAlign w:val="center"/>
          </w:tcPr>
          <w:p w14:paraId="1E92025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对申报人提交的材料是否齐全进行审查。</w:t>
            </w:r>
          </w:p>
        </w:tc>
        <w:tc>
          <w:tcPr>
            <w:tcW w:w="4365" w:type="dxa"/>
            <w:vMerge w:val="continue"/>
            <w:noWrap w:val="0"/>
            <w:vAlign w:val="center"/>
          </w:tcPr>
          <w:p w14:paraId="24FEF7D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2085F7F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1B806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793" w:type="dxa"/>
            <w:vMerge w:val="continue"/>
            <w:noWrap w:val="0"/>
            <w:vAlign w:val="center"/>
          </w:tcPr>
          <w:p w14:paraId="1739D1A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45683B9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33BF96E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777592D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2D950D3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决定</w:t>
            </w:r>
          </w:p>
        </w:tc>
        <w:tc>
          <w:tcPr>
            <w:tcW w:w="6945" w:type="dxa"/>
            <w:noWrap w:val="0"/>
            <w:vAlign w:val="center"/>
          </w:tcPr>
          <w:p w14:paraId="67ED842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县商务局根据申报材料做出是否上报的决定。</w:t>
            </w:r>
          </w:p>
        </w:tc>
        <w:tc>
          <w:tcPr>
            <w:tcW w:w="4365" w:type="dxa"/>
            <w:vMerge w:val="continue"/>
            <w:noWrap w:val="0"/>
            <w:vAlign w:val="center"/>
          </w:tcPr>
          <w:p w14:paraId="46E159B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368B0F4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212A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793" w:type="dxa"/>
            <w:vMerge w:val="restart"/>
            <w:noWrap w:val="0"/>
            <w:vAlign w:val="center"/>
          </w:tcPr>
          <w:p w14:paraId="4227D71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11</w:t>
            </w:r>
          </w:p>
        </w:tc>
        <w:tc>
          <w:tcPr>
            <w:tcW w:w="1290" w:type="dxa"/>
            <w:gridSpan w:val="2"/>
            <w:vMerge w:val="restart"/>
            <w:noWrap w:val="0"/>
            <w:vAlign w:val="center"/>
          </w:tcPr>
          <w:p w14:paraId="221A9DB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汽车销售企业信息备案</w:t>
            </w:r>
          </w:p>
        </w:tc>
        <w:tc>
          <w:tcPr>
            <w:tcW w:w="4034" w:type="dxa"/>
            <w:vMerge w:val="restart"/>
            <w:noWrap w:val="0"/>
            <w:vAlign w:val="center"/>
          </w:tcPr>
          <w:p w14:paraId="2EAF802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汽车销售管理办法》（商务部令2017年第1号，2017年7月1日起施行）第七条：“县级以上地方商务主管部门依据本办法对本行政区域内汽车销售及其相关服务活动进行监督管理。”第二十七条：“供应商、经销商应当自取得营业执照之日起90日内通过国务院商务主管部门全国汽车流通信息管理系统备案基本信息。供应商、经销商备案的基本信息发生变更的，应当自信息变更之日起30日内完成信息更新。本办法实施以前已设立的供应商、经销商应当自本办法实施之日起90日内按前款规定备案基本信息。”</w:t>
            </w:r>
          </w:p>
        </w:tc>
        <w:tc>
          <w:tcPr>
            <w:tcW w:w="1245" w:type="dxa"/>
            <w:vMerge w:val="restart"/>
            <w:noWrap w:val="0"/>
            <w:vAlign w:val="center"/>
          </w:tcPr>
          <w:p w14:paraId="39705C0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其他职权</w:t>
            </w:r>
          </w:p>
        </w:tc>
        <w:tc>
          <w:tcPr>
            <w:tcW w:w="1335" w:type="dxa"/>
            <w:noWrap w:val="0"/>
            <w:vAlign w:val="center"/>
          </w:tcPr>
          <w:p w14:paraId="1CE5D7D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收件</w:t>
            </w:r>
          </w:p>
        </w:tc>
        <w:tc>
          <w:tcPr>
            <w:tcW w:w="6945" w:type="dxa"/>
            <w:noWrap w:val="0"/>
            <w:vAlign w:val="center"/>
          </w:tcPr>
          <w:p w14:paraId="0303DBD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接收申报材料不齐全的，一次性告知需补齐的材料。</w:t>
            </w:r>
          </w:p>
        </w:tc>
        <w:tc>
          <w:tcPr>
            <w:tcW w:w="4365" w:type="dxa"/>
            <w:vMerge w:val="restart"/>
            <w:noWrap w:val="0"/>
            <w:vAlign w:val="center"/>
          </w:tcPr>
          <w:p w14:paraId="569BE5B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因不履行或不正确履行行政职责，出现以下情形的，行政机关及其相关人员应承担相应责任：</w:t>
            </w:r>
          </w:p>
          <w:p w14:paraId="206B422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1.不具备行政执法资格实施行政处罚的；</w:t>
            </w:r>
          </w:p>
          <w:p w14:paraId="13411A2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2.无法律或事实依据实施行政处罚的；</w:t>
            </w:r>
          </w:p>
          <w:p w14:paraId="02DBBF2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3.违反规定改变处罚种类或者处罚幅度的；</w:t>
            </w:r>
          </w:p>
          <w:p w14:paraId="5FAB9FE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4.违反法定程序进行处罚的；</w:t>
            </w:r>
          </w:p>
          <w:p w14:paraId="685C068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5.依法应组织听证而没有组织听证的；</w:t>
            </w:r>
          </w:p>
          <w:p w14:paraId="6D0BD1E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6.对应当予以制止和处罚的违法节约能源有关法律法规的行为不予制止、处罚的；</w:t>
            </w:r>
          </w:p>
          <w:p w14:paraId="636F996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7.利用职权收受贿赂或者获取不正当利益的；滥用职权或者玩忽职守侵犯行政相对人合法权利的；</w:t>
            </w:r>
          </w:p>
          <w:p w14:paraId="5C8C17E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8.其他违反法律法规规章文件的行为。</w:t>
            </w:r>
          </w:p>
        </w:tc>
        <w:tc>
          <w:tcPr>
            <w:tcW w:w="1485" w:type="dxa"/>
            <w:vMerge w:val="restart"/>
            <w:noWrap w:val="0"/>
            <w:vAlign w:val="center"/>
          </w:tcPr>
          <w:p w14:paraId="34C6B56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市场秩序股</w:t>
            </w:r>
          </w:p>
        </w:tc>
      </w:tr>
      <w:tr w14:paraId="52FC1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93" w:type="dxa"/>
            <w:vMerge w:val="continue"/>
            <w:noWrap w:val="0"/>
            <w:vAlign w:val="center"/>
          </w:tcPr>
          <w:p w14:paraId="4131980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2ED4791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383A2CA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7C1E93D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5722056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受理</w:t>
            </w:r>
          </w:p>
        </w:tc>
        <w:tc>
          <w:tcPr>
            <w:tcW w:w="6945" w:type="dxa"/>
            <w:noWrap w:val="0"/>
            <w:vAlign w:val="center"/>
          </w:tcPr>
          <w:p w14:paraId="0D5C43B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市民之家综合窗口接收申报材料，决定是否受理；不予受理的依法告知理由。</w:t>
            </w:r>
          </w:p>
        </w:tc>
        <w:tc>
          <w:tcPr>
            <w:tcW w:w="4365" w:type="dxa"/>
            <w:vMerge w:val="continue"/>
            <w:noWrap w:val="0"/>
            <w:vAlign w:val="center"/>
          </w:tcPr>
          <w:p w14:paraId="686DB42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0135D6E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3DC2B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93" w:type="dxa"/>
            <w:vMerge w:val="continue"/>
            <w:noWrap w:val="0"/>
            <w:vAlign w:val="center"/>
          </w:tcPr>
          <w:p w14:paraId="3532B40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3EBB8CE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288DFE8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727FF53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1C6DC47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审核</w:t>
            </w:r>
          </w:p>
        </w:tc>
        <w:tc>
          <w:tcPr>
            <w:tcW w:w="6945" w:type="dxa"/>
            <w:noWrap w:val="0"/>
            <w:vAlign w:val="center"/>
          </w:tcPr>
          <w:p w14:paraId="08F6C86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对申报人提交的材料是否齐全进行审查。</w:t>
            </w:r>
          </w:p>
        </w:tc>
        <w:tc>
          <w:tcPr>
            <w:tcW w:w="4365" w:type="dxa"/>
            <w:vMerge w:val="continue"/>
            <w:noWrap w:val="0"/>
            <w:vAlign w:val="center"/>
          </w:tcPr>
          <w:p w14:paraId="17F343F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60C4AE2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63A8E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793" w:type="dxa"/>
            <w:vMerge w:val="continue"/>
            <w:noWrap w:val="0"/>
            <w:vAlign w:val="center"/>
          </w:tcPr>
          <w:p w14:paraId="41DA08C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10611BE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27D4D4A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75CCEA8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26818E1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决定</w:t>
            </w:r>
          </w:p>
        </w:tc>
        <w:tc>
          <w:tcPr>
            <w:tcW w:w="6945" w:type="dxa"/>
            <w:noWrap w:val="0"/>
            <w:vAlign w:val="center"/>
          </w:tcPr>
          <w:p w14:paraId="5FEA86F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县商务局根据申报材料做出是否备案的决定。</w:t>
            </w:r>
          </w:p>
        </w:tc>
        <w:tc>
          <w:tcPr>
            <w:tcW w:w="4365" w:type="dxa"/>
            <w:vMerge w:val="continue"/>
            <w:noWrap w:val="0"/>
            <w:vAlign w:val="center"/>
          </w:tcPr>
          <w:p w14:paraId="3117C72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20C9641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5E4C4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793" w:type="dxa"/>
            <w:vMerge w:val="restart"/>
            <w:noWrap w:val="0"/>
            <w:vAlign w:val="center"/>
          </w:tcPr>
          <w:p w14:paraId="329F16F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12</w:t>
            </w:r>
          </w:p>
        </w:tc>
        <w:tc>
          <w:tcPr>
            <w:tcW w:w="1290" w:type="dxa"/>
            <w:gridSpan w:val="2"/>
            <w:vMerge w:val="restart"/>
            <w:noWrap w:val="0"/>
            <w:vAlign w:val="center"/>
          </w:tcPr>
          <w:p w14:paraId="7845151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单用途商业预付卡备案登记</w:t>
            </w:r>
          </w:p>
        </w:tc>
        <w:tc>
          <w:tcPr>
            <w:tcW w:w="4034" w:type="dxa"/>
            <w:vMerge w:val="restart"/>
            <w:noWrap w:val="0"/>
            <w:vAlign w:val="center"/>
          </w:tcPr>
          <w:p w14:paraId="3A1DF72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《单用途商业预付卡管理办法（试行）》（商务部令2012年第9号）第七条　发卡企业应在开展单用途卡业务之日起30日内按照下列规定办理备案：（一）集团发卡企业和品牌发卡企业向其工商登记注册地省、自治区、直辖市人民政府商务主管部门备案；（二）规模发卡企业向其工商登记注册地设区的市人民政府商务主管部门备案；（三）其他发卡企业向其工商登记注册地县（市、区）人民政府商务主管部门备案。第八条　发卡企业应向备案机关提交下列材料：（一）《单用途卡发卡企业备案表》；（二）《企业法人营业执照》（副本）复印件；（三）组织机构代码证复印件。发卡企业为外商投资企业的，还应提交外商投资企业批准证书复印件。《单用途卡发卡企业备案表》可以从备案机关处领取或通过商务部政府网站（www.mofcom.gov.cn）下载（格式见附件2）。第九条　规模发卡企业除提交本办法第八条规定的材料外，还应向备案机关提交下列材料：（一）经审计机构审计的上一年度财务报表（加盖公章），但工商注册登记不足一年的规模发卡企业除外；（二）实体卡样本（正反面）、虚拟卡记载的信息样本；（三）单用途卡业务、资金管理制度；（四）单用途卡购卡章程、协议；（五）资金存管账户信息和资金存管协议。第十条　集团发卡企业和品牌发卡企业除提交本办法第八条规定的材料外，还应向备案机关提交下列材料：（一）经审计机构审计的上一年度财务报表及合并财务报表（加盖公章），但工商注册登记不足一年的集团发卡企业、品牌发卡企业除外。（二）实体卡样本（正反面）、虚拟卡记载的信息样本。（三）单用途卡业务、资金管理制度。（四）单用途卡购卡章程、协议。（五）资金存管账户信息和资金存管协议。（六）与售卡企业签订的协议文本及售卡企业清单。（七）集团发卡企业提交集团股权关系说明；品牌发卡企业提交企业标志、注册商标所有权或排他使用权证明。第十一条　备案机关对已备案的发卡企业予以编号，并在商务部和备案机关指定的媒体上公告，提供公众查询服务。第十二条　备案事项发生变更、发卡企业类型改变或单用途卡业务终止时，发卡企业应在变化之日起15个工作日内向备案机关办理变更、注销手续。</w:t>
            </w:r>
          </w:p>
        </w:tc>
        <w:tc>
          <w:tcPr>
            <w:tcW w:w="1245" w:type="dxa"/>
            <w:vMerge w:val="restart"/>
            <w:noWrap w:val="0"/>
            <w:vAlign w:val="center"/>
          </w:tcPr>
          <w:p w14:paraId="4A826D1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其他职权</w:t>
            </w:r>
          </w:p>
        </w:tc>
        <w:tc>
          <w:tcPr>
            <w:tcW w:w="1335" w:type="dxa"/>
            <w:noWrap w:val="0"/>
            <w:vAlign w:val="center"/>
          </w:tcPr>
          <w:p w14:paraId="03BECE9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申请</w:t>
            </w:r>
          </w:p>
        </w:tc>
        <w:tc>
          <w:tcPr>
            <w:tcW w:w="6945" w:type="dxa"/>
            <w:noWrap w:val="0"/>
            <w:vAlign w:val="center"/>
          </w:tcPr>
          <w:p w14:paraId="2AA7FF7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企业以纸质材料在市民之家综合窗口申请，同时在网上提交备案申请。</w:t>
            </w:r>
          </w:p>
        </w:tc>
        <w:tc>
          <w:tcPr>
            <w:tcW w:w="4365" w:type="dxa"/>
            <w:vMerge w:val="restart"/>
            <w:noWrap w:val="0"/>
            <w:vAlign w:val="center"/>
          </w:tcPr>
          <w:p w14:paraId="72F7BDD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1．无正当理由拒绝受理依法提出的单用途商业预付卡发卡企业备案申请的。</w:t>
            </w:r>
            <w:r>
              <w:rPr>
                <w:rFonts w:hint="eastAsia" w:ascii="仿宋" w:hAnsi="仿宋" w:eastAsia="仿宋" w:cs="仿宋"/>
                <w:color w:val="000000"/>
                <w:kern w:val="0"/>
                <w:sz w:val="20"/>
                <w:szCs w:val="20"/>
                <w:lang w:val="en-US" w:eastAsia="zh-CN"/>
              </w:rPr>
              <w:br w:type="textWrapping"/>
            </w:r>
            <w:r>
              <w:rPr>
                <w:rFonts w:hint="eastAsia" w:ascii="仿宋" w:hAnsi="仿宋" w:eastAsia="仿宋" w:cs="仿宋"/>
                <w:color w:val="000000"/>
                <w:kern w:val="0"/>
                <w:sz w:val="20"/>
                <w:szCs w:val="20"/>
                <w:lang w:val="en-US" w:eastAsia="zh-CN"/>
              </w:rPr>
              <w:t>2．审核中有徇私舞弊或者有其他渎职、失职行为的。</w:t>
            </w:r>
            <w:r>
              <w:rPr>
                <w:rFonts w:hint="eastAsia" w:ascii="仿宋" w:hAnsi="仿宋" w:eastAsia="仿宋" w:cs="仿宋"/>
                <w:color w:val="000000"/>
                <w:kern w:val="0"/>
                <w:sz w:val="20"/>
                <w:szCs w:val="20"/>
                <w:lang w:val="en-US" w:eastAsia="zh-CN"/>
              </w:rPr>
              <w:br w:type="textWrapping"/>
            </w:r>
            <w:r>
              <w:rPr>
                <w:rFonts w:hint="eastAsia" w:ascii="仿宋" w:hAnsi="仿宋" w:eastAsia="仿宋" w:cs="仿宋"/>
                <w:color w:val="000000"/>
                <w:kern w:val="0"/>
                <w:sz w:val="20"/>
                <w:szCs w:val="20"/>
                <w:lang w:val="en-US" w:eastAsia="zh-CN"/>
              </w:rPr>
              <w:t>3．不在法定期限内作出单用途商业预付卡发卡企业备案决定的。</w:t>
            </w:r>
            <w:r>
              <w:rPr>
                <w:rFonts w:hint="eastAsia" w:ascii="仿宋" w:hAnsi="仿宋" w:eastAsia="仿宋" w:cs="仿宋"/>
                <w:color w:val="000000"/>
                <w:kern w:val="0"/>
                <w:sz w:val="20"/>
                <w:szCs w:val="20"/>
                <w:lang w:val="en-US" w:eastAsia="zh-CN"/>
              </w:rPr>
              <w:br w:type="textWrapping"/>
            </w:r>
            <w:r>
              <w:rPr>
                <w:rFonts w:hint="eastAsia" w:ascii="仿宋" w:hAnsi="仿宋" w:eastAsia="仿宋" w:cs="仿宋"/>
                <w:color w:val="000000"/>
                <w:kern w:val="0"/>
                <w:sz w:val="20"/>
                <w:szCs w:val="20"/>
                <w:lang w:val="en-US" w:eastAsia="zh-CN"/>
              </w:rPr>
              <w:t>4．作出违法或者不当的单用途商业预付卡发卡企业备案决定的。</w:t>
            </w:r>
            <w:r>
              <w:rPr>
                <w:rFonts w:hint="eastAsia" w:ascii="仿宋" w:hAnsi="仿宋" w:eastAsia="仿宋" w:cs="仿宋"/>
                <w:color w:val="000000"/>
                <w:kern w:val="0"/>
                <w:sz w:val="20"/>
                <w:szCs w:val="20"/>
                <w:lang w:val="en-US" w:eastAsia="zh-CN"/>
              </w:rPr>
              <w:br w:type="textWrapping"/>
            </w:r>
            <w:r>
              <w:rPr>
                <w:rFonts w:hint="eastAsia" w:ascii="仿宋" w:hAnsi="仿宋" w:eastAsia="仿宋" w:cs="仿宋"/>
                <w:color w:val="000000"/>
                <w:kern w:val="0"/>
                <w:sz w:val="20"/>
                <w:szCs w:val="20"/>
                <w:lang w:val="en-US" w:eastAsia="zh-CN"/>
              </w:rPr>
              <w:t>5．其他违反法律法规规章文件规定的行为。</w:t>
            </w:r>
          </w:p>
        </w:tc>
        <w:tc>
          <w:tcPr>
            <w:tcW w:w="1485" w:type="dxa"/>
            <w:vMerge w:val="restart"/>
            <w:noWrap w:val="0"/>
            <w:vAlign w:val="center"/>
          </w:tcPr>
          <w:p w14:paraId="02F0924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市场秩序股</w:t>
            </w:r>
          </w:p>
        </w:tc>
      </w:tr>
      <w:tr w14:paraId="70456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793" w:type="dxa"/>
            <w:vMerge w:val="continue"/>
            <w:noWrap w:val="0"/>
            <w:vAlign w:val="center"/>
          </w:tcPr>
          <w:p w14:paraId="2E9B5E1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5D0C36D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3F17045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000DA49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60EC921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收件</w:t>
            </w:r>
          </w:p>
        </w:tc>
        <w:tc>
          <w:tcPr>
            <w:tcW w:w="6945" w:type="dxa"/>
            <w:noWrap w:val="0"/>
            <w:vAlign w:val="center"/>
          </w:tcPr>
          <w:p w14:paraId="738893B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市民之家综合窗口接收企提交的材料并进行初步审核，符合规定的在网上生成备案号，不符合规定的下发一次性书面告知。</w:t>
            </w:r>
          </w:p>
        </w:tc>
        <w:tc>
          <w:tcPr>
            <w:tcW w:w="4365" w:type="dxa"/>
            <w:vMerge w:val="continue"/>
            <w:noWrap w:val="0"/>
            <w:vAlign w:val="center"/>
          </w:tcPr>
          <w:p w14:paraId="64A9480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588F0A4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74B97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793" w:type="dxa"/>
            <w:vMerge w:val="continue"/>
            <w:noWrap w:val="0"/>
            <w:vAlign w:val="center"/>
          </w:tcPr>
          <w:p w14:paraId="60CBE26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0625C31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1A62C44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74C5E66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506877A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审核</w:t>
            </w:r>
          </w:p>
        </w:tc>
        <w:tc>
          <w:tcPr>
            <w:tcW w:w="6945" w:type="dxa"/>
            <w:noWrap w:val="0"/>
            <w:vAlign w:val="center"/>
          </w:tcPr>
          <w:p w14:paraId="79073CF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符合规定，审核通过生成备案回执单，不符合规定不予通过。</w:t>
            </w:r>
          </w:p>
        </w:tc>
        <w:tc>
          <w:tcPr>
            <w:tcW w:w="4365" w:type="dxa"/>
            <w:vMerge w:val="continue"/>
            <w:noWrap w:val="0"/>
            <w:vAlign w:val="center"/>
          </w:tcPr>
          <w:p w14:paraId="434FE59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0585110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093A6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793" w:type="dxa"/>
            <w:vMerge w:val="continue"/>
            <w:noWrap w:val="0"/>
            <w:vAlign w:val="center"/>
          </w:tcPr>
          <w:p w14:paraId="4EEDE07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42F729F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118C376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33B23B6A">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64EEAE3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送达</w:t>
            </w:r>
          </w:p>
        </w:tc>
        <w:tc>
          <w:tcPr>
            <w:tcW w:w="6945" w:type="dxa"/>
            <w:noWrap w:val="0"/>
            <w:vAlign w:val="center"/>
          </w:tcPr>
          <w:p w14:paraId="207949A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由窗口工作人员送达备案表。</w:t>
            </w:r>
          </w:p>
        </w:tc>
        <w:tc>
          <w:tcPr>
            <w:tcW w:w="4365" w:type="dxa"/>
            <w:vMerge w:val="continue"/>
            <w:noWrap w:val="0"/>
            <w:vAlign w:val="center"/>
          </w:tcPr>
          <w:p w14:paraId="409A360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33A9FEBD">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12FCB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trPr>
        <w:tc>
          <w:tcPr>
            <w:tcW w:w="793" w:type="dxa"/>
            <w:vMerge w:val="continue"/>
            <w:noWrap w:val="0"/>
            <w:vAlign w:val="center"/>
          </w:tcPr>
          <w:p w14:paraId="292BFE6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90" w:type="dxa"/>
            <w:gridSpan w:val="2"/>
            <w:vMerge w:val="continue"/>
            <w:noWrap w:val="0"/>
            <w:vAlign w:val="center"/>
          </w:tcPr>
          <w:p w14:paraId="4606E67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034" w:type="dxa"/>
            <w:vMerge w:val="continue"/>
            <w:noWrap w:val="0"/>
            <w:vAlign w:val="center"/>
          </w:tcPr>
          <w:p w14:paraId="08C1C11F">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245" w:type="dxa"/>
            <w:vMerge w:val="continue"/>
            <w:noWrap w:val="0"/>
            <w:vAlign w:val="center"/>
          </w:tcPr>
          <w:p w14:paraId="1C448FA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335" w:type="dxa"/>
            <w:noWrap w:val="0"/>
            <w:vAlign w:val="center"/>
          </w:tcPr>
          <w:p w14:paraId="2AA1FF9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公告</w:t>
            </w:r>
          </w:p>
        </w:tc>
        <w:tc>
          <w:tcPr>
            <w:tcW w:w="6945" w:type="dxa"/>
            <w:noWrap w:val="0"/>
            <w:vAlign w:val="center"/>
          </w:tcPr>
          <w:p w14:paraId="37572D6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在门户网站进行公告。</w:t>
            </w:r>
          </w:p>
        </w:tc>
        <w:tc>
          <w:tcPr>
            <w:tcW w:w="4365" w:type="dxa"/>
            <w:vMerge w:val="continue"/>
            <w:noWrap w:val="0"/>
            <w:vAlign w:val="center"/>
          </w:tcPr>
          <w:p w14:paraId="5D37F49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1485" w:type="dxa"/>
            <w:vMerge w:val="continue"/>
            <w:noWrap w:val="0"/>
            <w:vAlign w:val="center"/>
          </w:tcPr>
          <w:p w14:paraId="381160F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r>
      <w:tr w14:paraId="0C25B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trPr>
        <w:tc>
          <w:tcPr>
            <w:tcW w:w="793" w:type="dxa"/>
            <w:noWrap w:val="0"/>
            <w:vAlign w:val="center"/>
          </w:tcPr>
          <w:p w14:paraId="29E514B2">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13</w:t>
            </w:r>
          </w:p>
        </w:tc>
        <w:tc>
          <w:tcPr>
            <w:tcW w:w="1290" w:type="dxa"/>
            <w:gridSpan w:val="2"/>
            <w:noWrap w:val="0"/>
            <w:vAlign w:val="center"/>
          </w:tcPr>
          <w:p w14:paraId="2449BDF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二手车交易市场及经营主体备案</w:t>
            </w:r>
          </w:p>
        </w:tc>
        <w:tc>
          <w:tcPr>
            <w:tcW w:w="4034" w:type="dxa"/>
            <w:noWrap w:val="0"/>
            <w:vAlign w:val="center"/>
          </w:tcPr>
          <w:p w14:paraId="006C3CB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河南省商务厅办公室关于进一步规范全省二手车流通秩序促进市场健康发展的通知》（豫商办文〔2020〕52号）对现有二手车流通企业经营主体是否符合《二手车流通企业经营管理规范》进行全面摸排，认真查摆问题整改措施，严格规范管理。对新申请备案的二手车交易市场，要严格按照《二手车流通管理办法》和《二手车流通企业经营管理规范》，科学谋划、合理布局本地二手车交易市场。</w:t>
            </w:r>
          </w:p>
        </w:tc>
        <w:tc>
          <w:tcPr>
            <w:tcW w:w="1245" w:type="dxa"/>
            <w:noWrap w:val="0"/>
            <w:vAlign w:val="center"/>
          </w:tcPr>
          <w:p w14:paraId="55B9454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其他职权</w:t>
            </w:r>
          </w:p>
        </w:tc>
        <w:tc>
          <w:tcPr>
            <w:tcW w:w="1335" w:type="dxa"/>
            <w:noWrap w:val="0"/>
            <w:vAlign w:val="center"/>
          </w:tcPr>
          <w:p w14:paraId="2B2C724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企业</w:t>
            </w:r>
          </w:p>
          <w:p w14:paraId="3381542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申请</w:t>
            </w:r>
          </w:p>
          <w:p w14:paraId="5A6E286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上报</w:t>
            </w:r>
          </w:p>
        </w:tc>
        <w:tc>
          <w:tcPr>
            <w:tcW w:w="6945" w:type="dxa"/>
            <w:noWrap w:val="0"/>
            <w:vAlign w:val="center"/>
          </w:tcPr>
          <w:p w14:paraId="3B8CEEB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受理企业上报材料，对其材料的齐全性、内容的完整性进行查验。符合要求的，直接受理。不符合要求的，一次性告之原因及所补材料。</w:t>
            </w:r>
          </w:p>
          <w:p w14:paraId="2D686D5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4365" w:type="dxa"/>
            <w:noWrap w:val="0"/>
            <w:vAlign w:val="center"/>
          </w:tcPr>
          <w:p w14:paraId="1073A8D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1．无正当理由拒绝受理依法提出的二手车市场经营企业备案申请的。</w:t>
            </w:r>
            <w:r>
              <w:rPr>
                <w:rFonts w:hint="eastAsia" w:ascii="仿宋" w:hAnsi="仿宋" w:eastAsia="仿宋" w:cs="仿宋"/>
                <w:color w:val="000000"/>
                <w:kern w:val="0"/>
                <w:sz w:val="20"/>
                <w:szCs w:val="20"/>
                <w:lang w:val="en-US" w:eastAsia="zh-CN"/>
              </w:rPr>
              <w:br w:type="textWrapping"/>
            </w:r>
            <w:r>
              <w:rPr>
                <w:rFonts w:hint="eastAsia" w:ascii="仿宋" w:hAnsi="仿宋" w:eastAsia="仿宋" w:cs="仿宋"/>
                <w:color w:val="000000"/>
                <w:kern w:val="0"/>
                <w:sz w:val="20"/>
                <w:szCs w:val="20"/>
                <w:lang w:val="en-US" w:eastAsia="zh-CN"/>
              </w:rPr>
              <w:t>2．审核中有徇私舞弊或者有其他渎职、失职行为的。</w:t>
            </w:r>
            <w:r>
              <w:rPr>
                <w:rFonts w:hint="eastAsia" w:ascii="仿宋" w:hAnsi="仿宋" w:eastAsia="仿宋" w:cs="仿宋"/>
                <w:color w:val="000000"/>
                <w:kern w:val="0"/>
                <w:sz w:val="20"/>
                <w:szCs w:val="20"/>
                <w:lang w:val="en-US" w:eastAsia="zh-CN"/>
              </w:rPr>
              <w:br w:type="textWrapping"/>
            </w:r>
            <w:r>
              <w:rPr>
                <w:rFonts w:hint="eastAsia" w:ascii="仿宋" w:hAnsi="仿宋" w:eastAsia="仿宋" w:cs="仿宋"/>
                <w:color w:val="000000"/>
                <w:kern w:val="0"/>
                <w:sz w:val="20"/>
                <w:szCs w:val="20"/>
                <w:lang w:val="en-US" w:eastAsia="zh-CN"/>
              </w:rPr>
              <w:t>3．不在法定期限内作出单用途商业预付卡发卡企业备案决定的。</w:t>
            </w:r>
            <w:r>
              <w:rPr>
                <w:rFonts w:hint="eastAsia" w:ascii="仿宋" w:hAnsi="仿宋" w:eastAsia="仿宋" w:cs="仿宋"/>
                <w:color w:val="000000"/>
                <w:kern w:val="0"/>
                <w:sz w:val="20"/>
                <w:szCs w:val="20"/>
                <w:lang w:val="en-US" w:eastAsia="zh-CN"/>
              </w:rPr>
              <w:br w:type="textWrapping"/>
            </w:r>
            <w:r>
              <w:rPr>
                <w:rFonts w:hint="eastAsia" w:ascii="仿宋" w:hAnsi="仿宋" w:eastAsia="仿宋" w:cs="仿宋"/>
                <w:color w:val="000000"/>
                <w:kern w:val="0"/>
                <w:sz w:val="20"/>
                <w:szCs w:val="20"/>
                <w:lang w:val="en-US" w:eastAsia="zh-CN"/>
              </w:rPr>
              <w:t>4．作出违法或者不当的单用途商业预付卡发卡企业备案决定的。</w:t>
            </w:r>
            <w:r>
              <w:rPr>
                <w:rFonts w:hint="eastAsia" w:ascii="仿宋" w:hAnsi="仿宋" w:eastAsia="仿宋" w:cs="仿宋"/>
                <w:color w:val="000000"/>
                <w:kern w:val="0"/>
                <w:sz w:val="20"/>
                <w:szCs w:val="20"/>
                <w:lang w:val="en-US" w:eastAsia="zh-CN"/>
              </w:rPr>
              <w:br w:type="textWrapping"/>
            </w:r>
            <w:r>
              <w:rPr>
                <w:rFonts w:hint="eastAsia" w:ascii="仿宋" w:hAnsi="仿宋" w:eastAsia="仿宋" w:cs="仿宋"/>
                <w:color w:val="000000"/>
                <w:kern w:val="0"/>
                <w:sz w:val="20"/>
                <w:szCs w:val="20"/>
                <w:lang w:val="en-US" w:eastAsia="zh-CN"/>
              </w:rPr>
              <w:t>5．其他违反法律法规规章文件规定的行为。</w:t>
            </w:r>
          </w:p>
        </w:tc>
        <w:tc>
          <w:tcPr>
            <w:tcW w:w="1485" w:type="dxa"/>
            <w:noWrap w:val="0"/>
            <w:vAlign w:val="center"/>
          </w:tcPr>
          <w:p w14:paraId="1DCD9F03">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市场秩序股</w:t>
            </w:r>
          </w:p>
        </w:tc>
      </w:tr>
      <w:tr w14:paraId="29A7D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793" w:type="dxa"/>
            <w:noWrap w:val="0"/>
            <w:vAlign w:val="center"/>
          </w:tcPr>
          <w:p w14:paraId="53FE277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14</w:t>
            </w:r>
          </w:p>
        </w:tc>
        <w:tc>
          <w:tcPr>
            <w:tcW w:w="1290" w:type="dxa"/>
            <w:gridSpan w:val="2"/>
            <w:noWrap w:val="0"/>
            <w:vAlign w:val="center"/>
          </w:tcPr>
          <w:p w14:paraId="21B0188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不涉及国家规定实施准入特别管理措施的外国投资者直接或者间接在中国境内进行投资活动，应由外国投资者或者外商投资企业根据《外商投资信息报告办法》向商务主管部门报送投资信息</w:t>
            </w:r>
          </w:p>
        </w:tc>
        <w:tc>
          <w:tcPr>
            <w:tcW w:w="4034" w:type="dxa"/>
            <w:noWrap w:val="0"/>
            <w:vAlign w:val="center"/>
          </w:tcPr>
          <w:p w14:paraId="01622F6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《外商投资信息报告办法》（中华人民共和国商务部、国家市场监督管理总局 二〇一九年 第2号令）第二条 、第三条 、第四条 、第五条　、第六条　、第七条 依据相关条例进行信息报送</w:t>
            </w:r>
          </w:p>
        </w:tc>
        <w:tc>
          <w:tcPr>
            <w:tcW w:w="1245" w:type="dxa"/>
            <w:noWrap w:val="0"/>
            <w:vAlign w:val="center"/>
          </w:tcPr>
          <w:p w14:paraId="35291D58">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其他职权</w:t>
            </w:r>
          </w:p>
        </w:tc>
        <w:tc>
          <w:tcPr>
            <w:tcW w:w="1335" w:type="dxa"/>
            <w:noWrap w:val="0"/>
            <w:vAlign w:val="center"/>
          </w:tcPr>
          <w:p w14:paraId="5F68EC0C">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6945" w:type="dxa"/>
            <w:noWrap w:val="0"/>
            <w:vAlign w:val="center"/>
          </w:tcPr>
          <w:p w14:paraId="4C4C1CD4">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1.综合运用“双随机、一公开”开展监管工作；2.强化社会监督，依法及时处理投诉举报。</w:t>
            </w:r>
          </w:p>
        </w:tc>
        <w:tc>
          <w:tcPr>
            <w:tcW w:w="4365" w:type="dxa"/>
            <w:noWrap w:val="0"/>
            <w:vAlign w:val="center"/>
          </w:tcPr>
          <w:p w14:paraId="3F26D53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1.商务主管部门实施监督检查妨碍被检查人正常的生产经营活动的。</w:t>
            </w:r>
          </w:p>
          <w:p w14:paraId="309C5C1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2.接受被检查人提供的财物或者服务，不得谋取其他非法利益的。</w:t>
            </w:r>
          </w:p>
        </w:tc>
        <w:tc>
          <w:tcPr>
            <w:tcW w:w="1485" w:type="dxa"/>
            <w:noWrap w:val="0"/>
            <w:vAlign w:val="center"/>
          </w:tcPr>
          <w:p w14:paraId="5AE4A83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外贸经济管理股</w:t>
            </w:r>
          </w:p>
        </w:tc>
      </w:tr>
      <w:tr w14:paraId="6C519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490" w:type="dxa"/>
            <w:gridSpan w:val="2"/>
            <w:noWrap w:val="0"/>
            <w:vAlign w:val="center"/>
          </w:tcPr>
          <w:p w14:paraId="3974BBD5">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p>
        </w:tc>
        <w:tc>
          <w:tcPr>
            <w:tcW w:w="20002" w:type="dxa"/>
            <w:gridSpan w:val="7"/>
            <w:noWrap w:val="0"/>
            <w:vAlign w:val="center"/>
          </w:tcPr>
          <w:p w14:paraId="5FC61A80">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center"/>
              <w:outlineLvl w:val="9"/>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 xml:space="preserve">服务电话：  0377-68266166              投诉机构:桐柏县商务局      投诉电话：0377—68266166   </w:t>
            </w:r>
          </w:p>
        </w:tc>
      </w:tr>
    </w:tbl>
    <w:p w14:paraId="63625D2D">
      <w:pPr>
        <w:widowControl/>
        <w:adjustRightInd w:val="0"/>
        <w:snapToGrid w:val="0"/>
        <w:spacing w:line="600" w:lineRule="exact"/>
        <w:jc w:val="left"/>
        <w:rPr>
          <w:rFonts w:hint="eastAsia" w:ascii="仿宋_GB2312" w:hAnsi="仿宋_GB2312" w:eastAsia="仿宋_GB2312" w:cs="仿宋_GB2312"/>
          <w:sz w:val="32"/>
          <w:szCs w:val="32"/>
          <w:lang w:eastAsia="zh-CN"/>
        </w:rPr>
      </w:pPr>
    </w:p>
    <w:sectPr>
      <w:footerReference r:id="rId3" w:type="default"/>
      <w:footerReference r:id="rId4" w:type="even"/>
      <w:pgSz w:w="23811" w:h="16838" w:orient="landscape"/>
      <w:pgMar w:top="1587" w:right="1531" w:bottom="1474" w:left="1531" w:header="851" w:footer="992" w:gutter="0"/>
      <w:pgNumType w:fmt="decimal"/>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D5F907-F765-4297-8480-9E910993590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2" w:fontKey="{6FE71748-615C-491D-AEA6-B66965545319}"/>
  </w:font>
  <w:font w:name="仿宋_GB2312">
    <w:panose1 w:val="02010609030101010101"/>
    <w:charset w:val="86"/>
    <w:family w:val="auto"/>
    <w:pitch w:val="default"/>
    <w:sig w:usb0="00000001" w:usb1="080E0000" w:usb2="00000000" w:usb3="00000000" w:csb0="00040000" w:csb1="00000000"/>
    <w:embedRegular r:id="rId3" w:fontKey="{05E41250-89C6-4B97-8B18-825330EEC12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87BB5">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 name="文本框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507852">
                          <w:pPr>
                            <w:snapToGrid w:val="0"/>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7</w:t>
                          </w:r>
                          <w:r>
                            <w:rPr>
                              <w:rFonts w:ascii="宋体" w:hAnsi="宋体"/>
                              <w:sz w:val="28"/>
                            </w:rPr>
                            <w:fldChar w:fldCharType="end"/>
                          </w:r>
                          <w:r>
                            <w:rPr>
                              <w:rFonts w:ascii="宋体" w:hAnsi="宋体"/>
                              <w:sz w:val="28"/>
                            </w:rPr>
                            <w:t xml:space="preserve"> —</w:t>
                          </w:r>
                        </w:p>
                      </w:txbxContent>
                    </wps:txbx>
                    <wps:bodyPr wrap="none" lIns="0" tIns="0" rIns="0" bIns="0" upright="0">
                      <a:spAutoFit/>
                    </wps:bodyPr>
                  </wps:wsp>
                </a:graphicData>
              </a:graphic>
            </wp:anchor>
          </w:drawing>
        </mc:Choice>
        <mc:Fallback>
          <w:pict>
            <v:shape id="文本框4"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32R1+gA1Jt0FTEvDez/kzMkP6MykBxVt/iIdgnHU9nTRVg6JiPxotVytKgwJjM0XxGFPz0OE9EF6&#10;S7LR0IjDK5ry4ydIY+qckqs5f6uNQT+vjfvLgZjZw3LvY4/ZSsNumBrf+faEfHqce0Mdrjkl5qND&#10;WfOKzEacjd1sHELU+67sUK4H4d0hYROlt1xhhJ0K48AKu2m58kb8eS9ZTz/U5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hVuL40QAAAAYBAAAPAAAAAAAAAAEAIAAAACIAAABkcnMvZG93bnJldi54&#10;bWxQSwECFAAUAAAACACHTuJAO9FpRMgBAACYAwAADgAAAAAAAAABACAAAAAgAQAAZHJzL2Uyb0Rv&#10;Yy54bWxQSwUGAAAAAAYABgBZAQAAWgUAAAAA&#10;">
              <v:fill on="f" focussize="0,0"/>
              <v:stroke on="f"/>
              <v:imagedata o:title=""/>
              <o:lock v:ext="edit" aspectratio="f"/>
              <v:textbox inset="0mm,0mm,0mm,0mm" style="mso-fit-shape-to-text:t;">
                <w:txbxContent>
                  <w:p w14:paraId="10507852">
                    <w:pPr>
                      <w:snapToGrid w:val="0"/>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7</w:t>
                    </w:r>
                    <w:r>
                      <w:rPr>
                        <w:rFonts w:ascii="宋体" w:hAnsi="宋体"/>
                        <w:sz w:val="28"/>
                      </w:rP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D84B3">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19F6CE3">
                          <w:pPr>
                            <w:pStyle w:val="7"/>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6</w:t>
                          </w:r>
                          <w:r>
                            <w:rPr>
                              <w:rFonts w:ascii="宋体" w:hAnsi="宋体"/>
                              <w:sz w:val="28"/>
                            </w:rPr>
                            <w:fldChar w:fldCharType="end"/>
                          </w:r>
                          <w:r>
                            <w:rPr>
                              <w:rFonts w:ascii="宋体" w:hAnsi="宋体"/>
                              <w:sz w:val="28"/>
                            </w:rPr>
                            <w:t xml:space="preserve"> —</w:t>
                          </w:r>
                        </w:p>
                      </w:txbxContent>
                    </wps:txbx>
                    <wps:bodyPr wrap="none" lIns="0" tIns="0" rIns="0" bIns="0" upright="0">
                      <a:spAutoFit/>
                    </wps:bodyPr>
                  </wps:wsp>
                </a:graphicData>
              </a:graphic>
            </wp:anchor>
          </w:drawing>
        </mc:Choice>
        <mc:Fallback>
          <w:pict>
            <v:shape id="文本框 4" o:spid="_x0000_s1026" o:spt="202" type="#_x0000_t202" style="position:absolute;left:0pt;margin-top:1pt;height:144pt;width:144pt;mso-position-horizontal:outside;mso-position-horizontal-relative:margin;mso-wrap-style:none;z-index:251660288;mso-width-relative:page;mso-height-relative:page;" filled="f" stroked="f" coordsize="21600,21600" o:gfxdata="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rpcfVAAAABgEAAA8AAAAAAAAAAQAgAAAAIgAA&#10;AGRycy9kb3ducmV2LnhtbFBLAQIUABQAAAAIAIdO4kDPSGeE0gEAAKMDAAAOAAAAAAAAAAEAIAAA&#10;ACQBAABkcnMvZTJvRG9jLnhtbFBLBQYAAAAABgAGAFkBAABoBQAAAAA=&#10;">
              <v:fill on="f" focussize="0,0"/>
              <v:stroke on="f" weight="1.25pt"/>
              <v:imagedata o:title=""/>
              <o:lock v:ext="edit" aspectratio="f"/>
              <v:textbox inset="0mm,0mm,0mm,0mm" style="mso-fit-shape-to-text:t;">
                <w:txbxContent>
                  <w:p w14:paraId="419F6CE3">
                    <w:pPr>
                      <w:pStyle w:val="7"/>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6</w:t>
                    </w:r>
                    <w:r>
                      <w:rPr>
                        <w:rFonts w:ascii="宋体" w:hAnsi="宋体"/>
                        <w:sz w:val="28"/>
                      </w:rPr>
                      <w:fldChar w:fldCharType="end"/>
                    </w:r>
                    <w:r>
                      <w:rPr>
                        <w:rFonts w:ascii="宋体" w:hAnsi="宋体"/>
                        <w:sz w:val="28"/>
                      </w:rPr>
                      <w:t xml:space="preserve"> —</w:t>
                    </w:r>
                  </w:p>
                </w:txbxContent>
              </v:textbox>
            </v:shape>
          </w:pict>
        </mc:Fallback>
      </mc:AlternateContent>
    </w:r>
  </w:p>
  <w:p w14:paraId="40BE8139">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NotTrackMoves/>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8B0F4F"/>
    <w:rsid w:val="000F30CA"/>
    <w:rsid w:val="001913E7"/>
    <w:rsid w:val="001B148A"/>
    <w:rsid w:val="001B2507"/>
    <w:rsid w:val="001F28B6"/>
    <w:rsid w:val="00201DEB"/>
    <w:rsid w:val="0025764A"/>
    <w:rsid w:val="00262463"/>
    <w:rsid w:val="00317272"/>
    <w:rsid w:val="0035499E"/>
    <w:rsid w:val="003D0732"/>
    <w:rsid w:val="005C48E3"/>
    <w:rsid w:val="006A6ECE"/>
    <w:rsid w:val="006C281A"/>
    <w:rsid w:val="006C4CF1"/>
    <w:rsid w:val="007171F4"/>
    <w:rsid w:val="007B0574"/>
    <w:rsid w:val="007F5781"/>
    <w:rsid w:val="008B0F4F"/>
    <w:rsid w:val="008D1FEC"/>
    <w:rsid w:val="008F4379"/>
    <w:rsid w:val="009115FF"/>
    <w:rsid w:val="00967BD3"/>
    <w:rsid w:val="00971707"/>
    <w:rsid w:val="009A0231"/>
    <w:rsid w:val="00A0216D"/>
    <w:rsid w:val="00A15B33"/>
    <w:rsid w:val="00A54D57"/>
    <w:rsid w:val="00AB165E"/>
    <w:rsid w:val="00B4205E"/>
    <w:rsid w:val="00CB0EF2"/>
    <w:rsid w:val="00D13BDC"/>
    <w:rsid w:val="00D36A94"/>
    <w:rsid w:val="00D97290"/>
    <w:rsid w:val="00E67E55"/>
    <w:rsid w:val="00F379FC"/>
    <w:rsid w:val="00FB6808"/>
    <w:rsid w:val="00FF7FED"/>
    <w:rsid w:val="013C246A"/>
    <w:rsid w:val="07147E1B"/>
    <w:rsid w:val="099B720B"/>
    <w:rsid w:val="09AF5816"/>
    <w:rsid w:val="0A797821"/>
    <w:rsid w:val="17CE4F1B"/>
    <w:rsid w:val="181968DC"/>
    <w:rsid w:val="1A4B462B"/>
    <w:rsid w:val="1A6F7D64"/>
    <w:rsid w:val="25B85ED3"/>
    <w:rsid w:val="2B9D103D"/>
    <w:rsid w:val="30DB69BF"/>
    <w:rsid w:val="341848EF"/>
    <w:rsid w:val="4A904C92"/>
    <w:rsid w:val="55A919FA"/>
    <w:rsid w:val="55B9642A"/>
    <w:rsid w:val="5960675F"/>
    <w:rsid w:val="63B773BA"/>
    <w:rsid w:val="79CD4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iPriority="99"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ascii="Calibri" w:hAnsi="Calibri"/>
      <w:kern w:val="0"/>
      <w:sz w:val="24"/>
    </w:rPr>
  </w:style>
  <w:style w:type="paragraph" w:styleId="4">
    <w:name w:val="Body Text"/>
    <w:basedOn w:val="1"/>
    <w:link w:val="15"/>
    <w:qFormat/>
    <w:uiPriority w:val="0"/>
    <w:pPr>
      <w:spacing w:after="120"/>
    </w:pPr>
    <w:rPr>
      <w:rFonts w:ascii="Calibri" w:hAnsi="Calibri"/>
    </w:rPr>
  </w:style>
  <w:style w:type="paragraph" w:styleId="5">
    <w:name w:val="Plain Text"/>
    <w:basedOn w:val="1"/>
    <w:link w:val="16"/>
    <w:unhideWhenUsed/>
    <w:qFormat/>
    <w:uiPriority w:val="99"/>
    <w:rPr>
      <w:rFonts w:ascii="宋体" w:hAnsi="Courier New" w:cs="Courier New"/>
    </w:rPr>
  </w:style>
  <w:style w:type="paragraph" w:styleId="6">
    <w:name w:val="Balloon Text"/>
    <w:basedOn w:val="1"/>
    <w:link w:val="17"/>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Hyperlink"/>
    <w:qFormat/>
    <w:uiPriority w:val="0"/>
    <w:rPr>
      <w:color w:val="0000FF"/>
      <w:u w:val="single"/>
    </w:rPr>
  </w:style>
  <w:style w:type="paragraph" w:customStyle="1" w:styleId="12">
    <w:name w:val="普通(网站)1"/>
    <w:basedOn w:val="1"/>
    <w:qFormat/>
    <w:uiPriority w:val="0"/>
    <w:pPr>
      <w:spacing w:beforeAutospacing="1" w:afterAutospacing="1"/>
      <w:jc w:val="left"/>
    </w:pPr>
    <w:rPr>
      <w:rFonts w:ascii="Calibri" w:hAnsi="Calibri"/>
      <w:kern w:val="0"/>
      <w:sz w:val="24"/>
    </w:rPr>
  </w:style>
  <w:style w:type="character" w:customStyle="1" w:styleId="13">
    <w:name w:val="页眉 Char"/>
    <w:link w:val="8"/>
    <w:qFormat/>
    <w:uiPriority w:val="99"/>
    <w:rPr>
      <w:rFonts w:ascii="Times New Roman" w:hAnsi="Times New Roman" w:eastAsia="宋体" w:cs="Times New Roman"/>
      <w:sz w:val="18"/>
      <w:szCs w:val="18"/>
    </w:rPr>
  </w:style>
  <w:style w:type="character" w:customStyle="1" w:styleId="14">
    <w:name w:val="页脚 Char"/>
    <w:link w:val="7"/>
    <w:qFormat/>
    <w:uiPriority w:val="99"/>
    <w:rPr>
      <w:rFonts w:ascii="Times New Roman" w:hAnsi="Times New Roman" w:eastAsia="宋体" w:cs="Times New Roman"/>
      <w:sz w:val="18"/>
      <w:szCs w:val="18"/>
    </w:rPr>
  </w:style>
  <w:style w:type="character" w:customStyle="1" w:styleId="15">
    <w:name w:val="正文文本 Char"/>
    <w:link w:val="4"/>
    <w:qFormat/>
    <w:uiPriority w:val="0"/>
    <w:rPr>
      <w:rFonts w:ascii="Calibri" w:hAnsi="Calibri" w:eastAsia="宋体" w:cs="Times New Roman"/>
    </w:rPr>
  </w:style>
  <w:style w:type="character" w:customStyle="1" w:styleId="16">
    <w:name w:val="纯文本 Char"/>
    <w:link w:val="5"/>
    <w:qFormat/>
    <w:uiPriority w:val="99"/>
    <w:rPr>
      <w:rFonts w:ascii="宋体" w:hAnsi="Courier New" w:eastAsia="宋体" w:cs="Courier New"/>
    </w:rPr>
  </w:style>
  <w:style w:type="character" w:customStyle="1" w:styleId="17">
    <w:name w:val="批注框文本 Char"/>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AA8AC7-F763-49D2-BEED-7F400DB719BA}">
  <ds:schemaRefs/>
</ds:datastoreItem>
</file>

<file path=docProps/app.xml><?xml version="1.0" encoding="utf-8"?>
<Properties xmlns="http://schemas.openxmlformats.org/officeDocument/2006/extended-properties" xmlns:vt="http://schemas.openxmlformats.org/officeDocument/2006/docPropsVTypes">
  <Template>Normal</Template>
  <Pages>7</Pages>
  <Words>9191</Words>
  <Characters>9411</Characters>
  <Lines>16</Lines>
  <Paragraphs>4</Paragraphs>
  <TotalTime>6</TotalTime>
  <ScaleCrop>false</ScaleCrop>
  <LinksUpToDate>false</LinksUpToDate>
  <CharactersWithSpaces>9469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2019-12-02T02:32:00Z</dcterms:created>
  <dc:creator>Administrator</dc:creator>
  <cp:lastModifiedBy>不如归去</cp:lastModifiedBy>
  <cp:lastPrinted>2024-08-27T03:04:00Z</cp:lastPrinted>
  <dcterms:modified xsi:type="dcterms:W3CDTF">2024-09-26T01:03:53Z</dcterms:modified>
  <dc:title>方编办〔2023〕  号</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AF6A5234F0904AA1A3BFB68E273B9CE7_13</vt:lpwstr>
  </property>
</Properties>
</file>