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2022"/>
        <w:gridCol w:w="1304"/>
        <w:gridCol w:w="1145"/>
        <w:gridCol w:w="1230"/>
        <w:gridCol w:w="1708"/>
        <w:gridCol w:w="2250"/>
        <w:gridCol w:w="1312"/>
        <w:gridCol w:w="1054"/>
      </w:tblGrid>
      <w:tr w14:paraId="1323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是否由专家参与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B11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46D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企业是否取得合法有效的建设用地批准文件，包括建设用地规划许可证、建设用地批准书等，审批文件是否在有效期内。​</w:t>
            </w:r>
          </w:p>
          <w:p w14:paraId="31D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吴城镇人民政府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吴城镇人民政府综合行政执法大队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B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7C9EDE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71D3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7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有无取得建筑规划许可证，是否按照规划许可施工，建筑垃圾是否按照规定运输处理。违规户外广告、牌匾标识、非法小广告检查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吴城镇人民政府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吴城镇人民政府综合行政执法大队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33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DCC25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65C8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D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交通运输类</w:t>
            </w:r>
            <w:r>
              <w:rPr>
                <w:rFonts w:hint="default"/>
                <w:vertAlign w:val="baseline"/>
                <w:lang w:val="en-US" w:eastAsia="zh-CN"/>
              </w:rPr>
              <w:t>检查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吴城镇人民政府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吴城镇人民政府综合行政执法大队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B1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2158B3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330D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3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消防设施是否完好有效、消防通道是否畅通、消防安全制度是否落实等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吴城镇人民政府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吴城镇人民政府综合行政执法大队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0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F4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022453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0B42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682A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B504F5"/>
    <w:rsid w:val="4C373DBF"/>
    <w:rsid w:val="6D44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656</Characters>
  <Lines>0</Lines>
  <Paragraphs>0</Paragraphs>
  <TotalTime>1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2025-07-03T07:42:00Z</dcterms:created>
  <dc:creator>zfdbg</dc:creator>
  <cp:lastModifiedBy>学生</cp:lastModifiedBy>
  <dcterms:modified xsi:type="dcterms:W3CDTF">2025-07-07T07:25:37Z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eyJoZGlkIjoiNWZkM2YxMTk4OWU1Yzk0YTAzYWZjMmNjNWQ3ODVkYjgiLCJ1c2VySWQiOiI3NDc5Nzk3MTYifQ==</vt:lpwstr>
  </property>
  <property fmtid="{D5CDD505-2E9C-101B-9397-08002B2CF9AE}" pid="4" name="ICV">
    <vt:lpwstr>3F27EC73DC0C4C0F8164F720308667E4_13</vt:lpwstr>
  </property>
</Properties>
</file>